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1"/>
        <w:jc w:val="center"/>
        <w:rPr>
          <w:b w:val="1"/>
        </w:rPr>
      </w:pPr>
      <w:r>
        <w:rPr>
          <w:b w:val="1"/>
        </w:rPr>
        <w:t>2026年推荐优秀应届本科毕业生免试攻读硕士研究生工作方案</w:t>
      </w:r>
    </w:p>
    <w:p>
      <w:pPr>
        <w:snapToGrid w:val="1"/>
        <w:spacing w:line="240"/>
        <w:ind/>
        <w:jc w:val="center"/>
        <w:rPr>
          <w:b w:val="1"/>
          <w:sz w:val="22"/>
        </w:rPr>
      </w:pPr>
      <w:r>
        <w:rPr>
          <w:b w:val="1"/>
          <w:i w:val="0"/>
          <w:strike w:val="0"/>
          <w:color w:val="000000"/>
          <w:sz w:val="22"/>
          <w:u w:val="none"/>
        </w:rPr>
        <w:t>2025-09-10 来源：山西财经大学</w:t>
      </w:r>
    </w:p>
    <w:p>
      <w:pPr>
        <w:snapToGrid w:val="1"/>
        <w:spacing w:line="240"/>
        <w:ind/>
        <w:rPr>
          <w:sz w:val="22"/>
        </w:rPr>
      </w:pPr>
      <w:r>
        <w:rPr>
          <w:rFonts w:ascii="仿宋" w:hAnsi="仿宋" w:eastAsia="仿宋" w:cs="仿宋"/>
          <w:i w:val="0"/>
          <w:strike w:val="0"/>
          <w:color w:val="000000"/>
          <w:sz w:val="22"/>
          <w:u w:val="none"/>
        </w:rPr>
        <w:t>按照教育部、山西省教育厅、山西省招生考试管理中心相关通知精神，为做好我校2026年推荐优秀应届本科毕业生免试攻读硕士研究生（以下简称推免生）工作，结合学校实际，制定本工作方案。</w:t>
      </w:r>
    </w:p>
    <w:p>
      <w:pPr>
        <w:snapToGrid w:val="1"/>
        <w:spacing w:line="240"/>
        <w:ind/>
        <w:rPr>
          <w:sz w:val="22"/>
        </w:rPr>
      </w:pPr>
      <w:r>
        <w:rPr>
          <w:rFonts w:ascii="黑体" w:hAnsi="黑体" w:eastAsia="黑体" w:cs="黑体"/>
          <w:i w:val="0"/>
          <w:strike w:val="0"/>
          <w:color w:val="000000"/>
          <w:sz w:val="22"/>
          <w:u w:val="none"/>
        </w:rPr>
        <w:t>一、组织领导</w:t>
      </w:r>
    </w:p>
    <w:p>
      <w:pPr>
        <w:snapToGrid w:val="1"/>
        <w:spacing w:line="240"/>
        <w:ind/>
        <w:rPr>
          <w:sz w:val="22"/>
        </w:rPr>
      </w:pPr>
      <w:r>
        <w:rPr>
          <w:rFonts w:ascii="仿宋" w:hAnsi="仿宋" w:eastAsia="仿宋" w:cs="仿宋"/>
          <w:i w:val="0"/>
          <w:strike w:val="0"/>
          <w:color w:val="000000"/>
          <w:sz w:val="22"/>
          <w:u w:val="none"/>
        </w:rPr>
        <w:t>成立学校2026年推荐优秀应届本科毕业生免试攻读硕士研究生工作领导组（以下简称学校推免工作领导组）。全面负责推免过程中的各项工作，审定推免生工作方案，指导和监督相关部门及各学院开展推免工作，审定推荐及接收推免生名单。</w:t>
      </w:r>
    </w:p>
    <w:p>
      <w:pPr>
        <w:snapToGrid w:val="1"/>
        <w:spacing w:line="240"/>
        <w:ind/>
        <w:rPr>
          <w:sz w:val="22"/>
        </w:rPr>
      </w:pPr>
      <w:r>
        <w:rPr>
          <w:rFonts w:ascii="仿宋" w:hAnsi="仿宋" w:eastAsia="仿宋" w:cs="仿宋"/>
          <w:i w:val="0"/>
          <w:strike w:val="0"/>
          <w:color w:val="000000"/>
          <w:sz w:val="22"/>
          <w:u w:val="none"/>
        </w:rPr>
        <w:t>组  长：田祥宇</w:t>
      </w:r>
    </w:p>
    <w:p>
      <w:pPr>
        <w:snapToGrid w:val="1"/>
        <w:spacing w:line="240"/>
        <w:ind/>
        <w:rPr>
          <w:sz w:val="22"/>
        </w:rPr>
      </w:pPr>
      <w:r>
        <w:rPr>
          <w:rFonts w:ascii="仿宋" w:hAnsi="仿宋" w:eastAsia="仿宋" w:cs="仿宋"/>
          <w:i w:val="0"/>
          <w:strike w:val="0"/>
          <w:color w:val="000000"/>
          <w:sz w:val="22"/>
          <w:u w:val="none"/>
        </w:rPr>
        <w:t>副组长：张  韬  李向阳</w:t>
      </w:r>
    </w:p>
    <w:p>
      <w:pPr>
        <w:snapToGrid w:val="1"/>
        <w:spacing w:line="240"/>
        <w:ind/>
        <w:rPr>
          <w:sz w:val="22"/>
        </w:rPr>
      </w:pPr>
      <w:r>
        <w:rPr>
          <w:rFonts w:ascii="仿宋" w:hAnsi="仿宋" w:eastAsia="仿宋" w:cs="仿宋"/>
          <w:i w:val="0"/>
          <w:strike w:val="0"/>
          <w:color w:val="000000"/>
          <w:sz w:val="22"/>
          <w:u w:val="none"/>
        </w:rPr>
        <w:t>成  员：纪委、学生工作部、教务部、科研部、团委、研究生院主要负责人，各学院院长（书记或主持行政工作的副院长）</w:t>
      </w:r>
    </w:p>
    <w:p>
      <w:pPr>
        <w:snapToGrid w:val="1"/>
        <w:spacing w:line="240"/>
        <w:ind/>
        <w:rPr>
          <w:sz w:val="22"/>
        </w:rPr>
      </w:pPr>
      <w:r>
        <w:rPr>
          <w:rFonts w:ascii="仿宋" w:hAnsi="仿宋" w:eastAsia="仿宋" w:cs="仿宋"/>
          <w:i w:val="0"/>
          <w:strike w:val="0"/>
          <w:color w:val="000000"/>
          <w:sz w:val="22"/>
          <w:u w:val="none"/>
        </w:rPr>
        <w:t>领导组办公室设在研究生院，办公室主任由研究生院负责人兼任。</w:t>
      </w:r>
    </w:p>
    <w:p>
      <w:pPr>
        <w:snapToGrid w:val="1"/>
        <w:spacing w:line="240"/>
        <w:ind/>
        <w:rPr>
          <w:sz w:val="22"/>
        </w:rPr>
      </w:pPr>
      <w:r>
        <w:rPr>
          <w:rFonts w:ascii="仿宋" w:hAnsi="仿宋" w:eastAsia="仿宋" w:cs="仿宋"/>
          <w:i w:val="0"/>
          <w:strike w:val="0"/>
          <w:color w:val="000000"/>
          <w:sz w:val="22"/>
          <w:u w:val="none"/>
        </w:rPr>
        <w:t>主要职责为：</w:t>
      </w:r>
    </w:p>
    <w:p>
      <w:pPr>
        <w:snapToGrid w:val="1"/>
        <w:spacing w:line="240"/>
        <w:ind/>
        <w:rPr>
          <w:sz w:val="22"/>
        </w:rPr>
      </w:pPr>
      <w:r>
        <w:rPr>
          <w:rFonts w:ascii="仿宋" w:hAnsi="仿宋" w:eastAsia="仿宋" w:cs="仿宋"/>
          <w:i w:val="0"/>
          <w:strike w:val="0"/>
          <w:color w:val="000000"/>
          <w:sz w:val="22"/>
          <w:u w:val="none"/>
        </w:rPr>
        <w:t>（一）</w:t>
      </w:r>
      <w:r>
        <w:rPr>
          <w:sz w:val="22"/>
        </w:rPr>
        <w:fldChar w:fldCharType="begin"/>
      </w:r>
      <w:r>
        <w:rPr>
          <w:sz w:val="22"/>
        </w:rPr>
        <w:instrText>HYPERLINK http://jjw.sxufe.edu.cn/ normalLink \tdft \tdfe -10 \tdfid \tddp \tdop \tdlt inline \tdds \tdfvi \tdlf \tdtf \l \tdsub normalLink \tdkey ptxf7l \tdkey ptxf7l</w:instrText>
      </w:r>
      <w:r>
        <w:rPr>
          <w:sz w:val="22"/>
        </w:rPr>
        <w:fldChar w:fldCharType="separate"/>
      </w:r>
      <w:r>
        <w:rPr>
          <w:rStyle w:val="000016"/>
          <w:color/>
          <w:sz w:val="22"/>
        </w:rPr>
        <w:t>校纪委</w:t>
      </w:r>
      <w:r>
        <w:rPr>
          <w:sz w:val="22"/>
        </w:rPr>
        <w:fldChar w:fldCharType="end"/>
      </w:r>
      <w:r>
        <w:rPr>
          <w:rFonts w:ascii="仿宋" w:hAnsi="仿宋" w:eastAsia="仿宋" w:cs="仿宋"/>
          <w:i w:val="0"/>
          <w:strike w:val="0"/>
          <w:color w:val="000000"/>
          <w:sz w:val="22"/>
          <w:u w:val="none"/>
        </w:rPr>
        <w:t>：负责推免工作的全过程监督。</w:t>
      </w:r>
    </w:p>
    <w:p>
      <w:pPr>
        <w:snapToGrid w:val="1"/>
        <w:spacing w:line="240"/>
        <w:ind/>
        <w:rPr>
          <w:sz w:val="22"/>
        </w:rPr>
      </w:pPr>
      <w:r>
        <w:rPr>
          <w:rFonts w:ascii="仿宋" w:hAnsi="仿宋" w:eastAsia="仿宋" w:cs="仿宋"/>
          <w:i w:val="0"/>
          <w:strike w:val="0"/>
          <w:color w:val="000000"/>
          <w:sz w:val="22"/>
          <w:u w:val="none"/>
        </w:rPr>
        <w:t>（二）研究生院：制定推免生的推荐、接收工作方案，提出推免计划分配办法，对各学院推免工作细则和推荐学生进行审核。</w:t>
      </w:r>
    </w:p>
    <w:p>
      <w:pPr>
        <w:snapToGrid w:val="1"/>
        <w:spacing w:line="240"/>
        <w:ind/>
        <w:rPr>
          <w:sz w:val="22"/>
        </w:rPr>
      </w:pPr>
      <w:r>
        <w:rPr>
          <w:rFonts w:ascii="仿宋" w:hAnsi="仿宋" w:eastAsia="仿宋" w:cs="仿宋"/>
          <w:i w:val="0"/>
          <w:strike w:val="0"/>
          <w:color w:val="000000"/>
          <w:sz w:val="22"/>
          <w:u w:val="none"/>
        </w:rPr>
        <w:t>（三）各相关部门：负责审核学生课程学业成绩、科研创新能力、荣誉和奖励等相关内容和材料的真实性和有效性；其中学生课程学业成绩、国家级大学生创新创业训练项目由教务部负责认定；科研创新能力由科研部负责认定；荣誉和奖励由项目组织部门负责认定。</w:t>
      </w:r>
    </w:p>
    <w:p>
      <w:pPr>
        <w:snapToGrid w:val="1"/>
        <w:spacing w:line="240"/>
        <w:ind/>
        <w:rPr>
          <w:sz w:val="22"/>
        </w:rPr>
      </w:pPr>
      <w:r>
        <w:rPr>
          <w:rFonts w:ascii="仿宋" w:hAnsi="仿宋" w:eastAsia="仿宋" w:cs="仿宋"/>
          <w:i w:val="0"/>
          <w:strike w:val="0"/>
          <w:color w:val="000000"/>
          <w:sz w:val="22"/>
          <w:u w:val="none"/>
        </w:rPr>
        <w:t>（四）各学院：按照学校工作方案，制定本学院推免工作细则；组织实施本学院推免工作；成立学院推免工作小组，组长由学院院长（书记或主持行政工作的副院长）担任，成员包括学院其他班子成员、毕业班辅导员、教师代表等；通过党政联席会议研究决定推荐人选并进行公示。</w:t>
      </w:r>
    </w:p>
    <w:p>
      <w:pPr>
        <w:snapToGrid w:val="1"/>
        <w:spacing w:line="240"/>
        <w:ind/>
        <w:rPr>
          <w:sz w:val="22"/>
        </w:rPr>
      </w:pPr>
      <w:r>
        <w:rPr>
          <w:rFonts w:ascii="黑体" w:hAnsi="黑体" w:eastAsia="黑体" w:cs="黑体"/>
          <w:i w:val="0"/>
          <w:strike w:val="0"/>
          <w:color w:val="000000"/>
          <w:sz w:val="22"/>
          <w:u w:val="none"/>
        </w:rPr>
        <w:t>二、计划分配</w:t>
      </w:r>
    </w:p>
    <w:p>
      <w:pPr>
        <w:snapToGrid w:val="1"/>
        <w:spacing w:line="240"/>
        <w:ind/>
        <w:rPr>
          <w:sz w:val="22"/>
        </w:rPr>
      </w:pPr>
      <w:r>
        <w:rPr>
          <w:rFonts w:ascii="仿宋" w:hAnsi="仿宋" w:eastAsia="仿宋" w:cs="仿宋"/>
          <w:i w:val="0"/>
          <w:strike w:val="0"/>
          <w:color w:val="000000"/>
          <w:sz w:val="22"/>
          <w:u w:val="none"/>
        </w:rPr>
        <w:t>按照“四个面向”、“三个优先”的原则，突出国家战略导向、山西省战略需求和高质量发展需要，增量名额重点支持优势学科和一流专业发展，在此基础上进一步优化调整存量分配。</w:t>
      </w:r>
    </w:p>
    <w:p>
      <w:pPr>
        <w:snapToGrid w:val="1"/>
        <w:spacing w:line="240"/>
        <w:ind/>
        <w:rPr>
          <w:sz w:val="22"/>
        </w:rPr>
      </w:pPr>
      <w:r>
        <w:rPr>
          <w:rFonts w:ascii="仿宋" w:hAnsi="仿宋" w:eastAsia="仿宋" w:cs="仿宋"/>
          <w:i w:val="0"/>
          <w:strike w:val="0"/>
          <w:color w:val="000000"/>
          <w:sz w:val="22"/>
          <w:u w:val="none"/>
        </w:rPr>
        <w:t>2026年教育部下达我校推免计划257个，我校预计本科毕业生为3989人（其中中德学院248人），根据学校实际，中德学院按照毕业生人数的50%（124人）计入毕业生总数，实际参与推荐人数折合为3865人，推荐比例达到6.65%，比上一年增长1.76%。</w:t>
      </w:r>
    </w:p>
    <w:p>
      <w:pPr>
        <w:snapToGrid w:val="1"/>
        <w:spacing w:line="240"/>
        <w:ind/>
        <w:rPr>
          <w:sz w:val="22"/>
        </w:rPr>
      </w:pPr>
      <w:r>
        <w:rPr>
          <w:rFonts w:ascii="仿宋" w:hAnsi="仿宋" w:eastAsia="仿宋" w:cs="仿宋"/>
          <w:i w:val="0"/>
          <w:strike w:val="0"/>
          <w:color w:val="000000"/>
          <w:sz w:val="22"/>
          <w:u w:val="none"/>
        </w:rPr>
        <w:t>根据权重计算（小数点后尾数大于等于0.456取整数，否则舍去），具体指标分配如下：</w:t>
      </w:r>
    </w:p>
    <w:tbl>
      <w:tblPr>
        <w:tblStyle w:val="000015"/>
        <w:tblLayout w:type="fixed"/>
      </w:tblPr>
      <w:tblGrid>
        <w:gridCol w:w="1383"/>
        <w:gridCol w:w="1383"/>
        <w:gridCol w:w="1383"/>
        <w:gridCol w:w="1383"/>
        <w:gridCol w:w="1383"/>
        <w:gridCol w:w="1383"/>
      </w:tblGrid>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序号</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学院（国家一流本科专业）</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应届本科毕业生数（人）</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推免计划（人）</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小计（人）</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b w:val="1"/>
                <w:i w:val="0"/>
                <w:strike w:val="0"/>
                <w:color w:val="000000"/>
                <w:spacing w:val="0"/>
                <w:sz w:val="22"/>
                <w:u w:val="none"/>
              </w:rPr>
              <w:t>备注</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经济学院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353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经济学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统计学院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经济统计学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统计学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金融学院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343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保险学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金融学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金融工程</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4</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财政与公共经济学院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国际贸易学院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289</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17</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19</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国际经济与贸易</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管理科学与工程学院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284</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16</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管理科学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信息学院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238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14</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电子商务</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计算机科学与技术</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信息管理与信息系统</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工商管理学院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268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15</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19</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工商管理</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市场营销</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物流管理</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9</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会计学院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390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22</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会计学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财务管理</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审计学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资产评估</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文化旅游与新闻艺术学院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350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旅游管理</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11</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公共管理学院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176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法学院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157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9</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法学</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w:t>
            </w: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经贸外语学院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95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14</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应用数学学院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145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资源环境学院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137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体育学院</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112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中德学院(总人数减半）</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124</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合计</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3865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257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257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国家一流专业35个班级</w:t>
            </w:r>
          </w:p>
        </w:tc>
      </w:tr>
    </w:tbl>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黑体" w:hAnsi="黑体" w:eastAsia="黑体" w:cs="黑体"/>
          <w:i w:val="0"/>
          <w:strike w:val="0"/>
          <w:color w:val="000000"/>
          <w:sz w:val="22"/>
          <w:u w:val="none"/>
        </w:rPr>
        <w:t>三、遴选推荐</w:t>
      </w:r>
    </w:p>
    <w:p>
      <w:pPr>
        <w:snapToGrid w:val="1"/>
        <w:spacing w:line="240"/>
        <w:ind/>
        <w:rPr>
          <w:sz w:val="22"/>
        </w:rPr>
      </w:pPr>
      <w:r>
        <w:rPr>
          <w:rFonts w:ascii="楷体" w:hAnsi="楷体" w:eastAsia="楷体" w:cs="楷体"/>
          <w:b w:val="1"/>
          <w:i w:val="0"/>
          <w:strike w:val="0"/>
          <w:color w:val="000000"/>
          <w:sz w:val="22"/>
          <w:u w:val="none"/>
        </w:rPr>
        <w:t>（一）推荐条件</w:t>
      </w:r>
    </w:p>
    <w:p>
      <w:pPr>
        <w:snapToGrid w:val="1"/>
        <w:spacing w:line="240"/>
        <w:ind/>
        <w:rPr>
          <w:sz w:val="22"/>
        </w:rPr>
      </w:pPr>
      <w:r>
        <w:rPr>
          <w:rFonts w:ascii="仿宋" w:hAnsi="仿宋" w:eastAsia="仿宋" w:cs="仿宋"/>
          <w:i w:val="0"/>
          <w:strike w:val="0"/>
          <w:color w:val="000000"/>
          <w:sz w:val="22"/>
          <w:u w:val="none"/>
        </w:rPr>
        <w:t>1.纳入国家普通本科招生计划录取的我校2026届毕业生。</w:t>
      </w:r>
    </w:p>
    <w:p>
      <w:pPr>
        <w:snapToGrid w:val="1"/>
        <w:spacing w:line="240"/>
        <w:ind/>
        <w:rPr>
          <w:sz w:val="22"/>
        </w:rPr>
      </w:pPr>
      <w:r>
        <w:rPr>
          <w:rFonts w:ascii="仿宋" w:hAnsi="仿宋" w:eastAsia="仿宋" w:cs="仿宋"/>
          <w:i w:val="0"/>
          <w:strike w:val="0"/>
          <w:color w:val="000000"/>
          <w:sz w:val="22"/>
          <w:u w:val="none"/>
        </w:rPr>
        <w:t>2.政治思想和道德方面：</w:t>
      </w:r>
    </w:p>
    <w:p>
      <w:pPr>
        <w:snapToGrid w:val="1"/>
        <w:spacing w:line="240"/>
        <w:ind/>
        <w:rPr>
          <w:sz w:val="22"/>
        </w:rPr>
      </w:pPr>
      <w:r>
        <w:rPr>
          <w:rFonts w:ascii="仿宋" w:hAnsi="仿宋" w:eastAsia="仿宋" w:cs="仿宋"/>
          <w:i w:val="0"/>
          <w:strike w:val="0"/>
          <w:color w:val="000000"/>
          <w:sz w:val="22"/>
          <w:u w:val="none"/>
        </w:rPr>
        <w:t>（1）拥护中国共产党领导，具有爱国主义和集体主义精神，理想信念坚定，社会责任感强。</w:t>
      </w:r>
    </w:p>
    <w:p>
      <w:pPr>
        <w:snapToGrid w:val="1"/>
        <w:spacing w:line="240"/>
        <w:ind/>
        <w:rPr>
          <w:sz w:val="22"/>
        </w:rPr>
      </w:pPr>
      <w:r>
        <w:rPr>
          <w:rFonts w:ascii="仿宋" w:hAnsi="仿宋" w:eastAsia="仿宋" w:cs="仿宋"/>
          <w:i w:val="0"/>
          <w:strike w:val="0"/>
          <w:color w:val="000000"/>
          <w:sz w:val="22"/>
          <w:u w:val="none"/>
        </w:rPr>
        <w:t>（2）诚实守信，学风端正，无任何考试作弊和学术不端行为。</w:t>
      </w:r>
    </w:p>
    <w:p>
      <w:pPr>
        <w:snapToGrid w:val="1"/>
        <w:spacing w:line="240"/>
        <w:ind/>
        <w:rPr>
          <w:sz w:val="22"/>
        </w:rPr>
      </w:pPr>
      <w:r>
        <w:rPr>
          <w:rFonts w:ascii="仿宋" w:hAnsi="仿宋" w:eastAsia="仿宋" w:cs="仿宋"/>
          <w:i w:val="0"/>
          <w:strike w:val="0"/>
          <w:color w:val="000000"/>
          <w:sz w:val="22"/>
          <w:u w:val="none"/>
        </w:rPr>
        <w:t>（3）品行表现优良，遵纪守法，无任何违法、违纪受处分记录。</w:t>
      </w:r>
    </w:p>
    <w:p>
      <w:pPr>
        <w:snapToGrid w:val="1"/>
        <w:spacing w:line="240"/>
        <w:ind/>
        <w:rPr>
          <w:sz w:val="22"/>
        </w:rPr>
      </w:pPr>
      <w:r>
        <w:rPr>
          <w:rFonts w:ascii="仿宋" w:hAnsi="仿宋" w:eastAsia="仿宋" w:cs="仿宋"/>
          <w:i w:val="0"/>
          <w:strike w:val="0"/>
          <w:color w:val="000000"/>
          <w:sz w:val="22"/>
          <w:u w:val="none"/>
        </w:rPr>
        <w:t>3.课程学业成绩和综合能力方面：</w:t>
      </w:r>
    </w:p>
    <w:p>
      <w:pPr>
        <w:snapToGrid w:val="1"/>
        <w:spacing w:line="240"/>
        <w:ind/>
        <w:rPr>
          <w:sz w:val="22"/>
        </w:rPr>
      </w:pPr>
      <w:r>
        <w:rPr>
          <w:rFonts w:ascii="仿宋" w:hAnsi="仿宋" w:eastAsia="仿宋" w:cs="仿宋"/>
          <w:i w:val="0"/>
          <w:strike w:val="0"/>
          <w:color w:val="000000"/>
          <w:sz w:val="22"/>
          <w:u w:val="none"/>
        </w:rPr>
        <w:t>（1）勤奋学习、刻苦钻研、成绩优秀，学术研究兴趣浓厚、有较强的创新意识、创新能力和专业素养。</w:t>
      </w:r>
    </w:p>
    <w:p>
      <w:pPr>
        <w:snapToGrid w:val="1"/>
        <w:spacing w:line="240"/>
        <w:ind/>
        <w:rPr>
          <w:sz w:val="22"/>
        </w:rPr>
      </w:pPr>
      <w:r>
        <w:rPr>
          <w:rFonts w:ascii="仿宋" w:hAnsi="仿宋" w:eastAsia="仿宋" w:cs="仿宋"/>
          <w:i w:val="0"/>
          <w:strike w:val="0"/>
          <w:color w:val="000000"/>
          <w:sz w:val="22"/>
          <w:u w:val="none"/>
        </w:rPr>
        <w:t>（2）课程学业成绩排名为所在专业前30%（含），且前六学期没有不及格课程。</w:t>
      </w:r>
    </w:p>
    <w:p>
      <w:pPr>
        <w:snapToGrid w:val="1"/>
        <w:spacing w:line="240"/>
        <w:ind/>
        <w:jc w:val="left"/>
        <w:rPr>
          <w:sz w:val="22"/>
        </w:rPr>
      </w:pPr>
      <w:r>
        <w:rPr>
          <w:rFonts w:ascii="仿宋" w:hAnsi="仿宋" w:eastAsia="仿宋" w:cs="仿宋"/>
          <w:i w:val="0"/>
          <w:strike w:val="0"/>
          <w:color w:val="000000"/>
          <w:sz w:val="22"/>
          <w:u w:val="none"/>
        </w:rPr>
        <w:t>（3）英语水平的要求作为推免的参考条件，达到下列条件之一同等条件下优先推荐。</w:t>
      </w:r>
    </w:p>
    <w:p>
      <w:pPr>
        <w:snapToGrid w:val="1"/>
        <w:spacing w:line="240"/>
        <w:ind/>
        <w:jc w:val="left"/>
        <w:rPr>
          <w:sz w:val="22"/>
        </w:rPr>
      </w:pPr>
      <w:r>
        <w:rPr>
          <w:rFonts w:ascii="仿宋" w:hAnsi="仿宋" w:eastAsia="仿宋" w:cs="仿宋"/>
          <w:i w:val="0"/>
          <w:strike w:val="0"/>
          <w:color w:val="000000"/>
          <w:sz w:val="22"/>
          <w:u w:val="none"/>
        </w:rPr>
        <w:t>大学英语四级（CET4）成绩不低于497分；</w:t>
      </w:r>
    </w:p>
    <w:p>
      <w:pPr>
        <w:snapToGrid w:val="1"/>
        <w:spacing w:line="240"/>
        <w:ind/>
        <w:jc w:val="left"/>
        <w:rPr>
          <w:sz w:val="22"/>
        </w:rPr>
      </w:pPr>
      <w:r>
        <w:rPr>
          <w:rFonts w:ascii="仿宋" w:hAnsi="仿宋" w:eastAsia="仿宋" w:cs="仿宋"/>
          <w:i w:val="0"/>
          <w:strike w:val="0"/>
          <w:color w:val="000000"/>
          <w:sz w:val="22"/>
          <w:u w:val="none"/>
        </w:rPr>
        <w:t>大学英语六级（CET6）成绩不低于425分；</w:t>
      </w:r>
    </w:p>
    <w:p>
      <w:pPr>
        <w:snapToGrid w:val="1"/>
        <w:spacing w:line="240"/>
        <w:ind/>
        <w:jc w:val="left"/>
        <w:rPr>
          <w:sz w:val="22"/>
        </w:rPr>
      </w:pPr>
      <w:r>
        <w:rPr>
          <w:rFonts w:ascii="仿宋" w:hAnsi="仿宋" w:eastAsia="仿宋" w:cs="仿宋"/>
          <w:i w:val="0"/>
          <w:strike w:val="0"/>
          <w:color w:val="000000"/>
          <w:sz w:val="22"/>
          <w:u w:val="none"/>
        </w:rPr>
        <w:t>雅思（IELTS）成绩不低于6.0分；</w:t>
      </w:r>
    </w:p>
    <w:p>
      <w:pPr>
        <w:snapToGrid w:val="1"/>
        <w:spacing w:line="240"/>
        <w:ind/>
        <w:jc w:val="left"/>
        <w:rPr>
          <w:sz w:val="22"/>
        </w:rPr>
      </w:pPr>
      <w:r>
        <w:rPr>
          <w:rFonts w:ascii="仿宋" w:hAnsi="仿宋" w:eastAsia="仿宋" w:cs="仿宋"/>
          <w:i w:val="0"/>
          <w:strike w:val="0"/>
          <w:color w:val="000000"/>
          <w:sz w:val="22"/>
          <w:u w:val="none"/>
        </w:rPr>
        <w:t>新GRE成绩不低于210分；</w:t>
      </w:r>
    </w:p>
    <w:p>
      <w:pPr>
        <w:snapToGrid w:val="1"/>
        <w:spacing w:line="240"/>
        <w:ind/>
        <w:jc w:val="left"/>
        <w:rPr>
          <w:sz w:val="22"/>
        </w:rPr>
      </w:pPr>
      <w:r>
        <w:rPr>
          <w:rFonts w:ascii="仿宋" w:hAnsi="仿宋" w:eastAsia="仿宋" w:cs="仿宋"/>
          <w:i w:val="0"/>
          <w:strike w:val="0"/>
          <w:color w:val="000000"/>
          <w:sz w:val="22"/>
          <w:u w:val="none"/>
        </w:rPr>
        <w:t>托福（TOEFL）成绩不低于90分；</w:t>
      </w:r>
    </w:p>
    <w:p>
      <w:pPr>
        <w:snapToGrid w:val="1"/>
        <w:spacing w:line="240"/>
        <w:ind/>
        <w:jc w:val="left"/>
        <w:rPr>
          <w:sz w:val="22"/>
        </w:rPr>
      </w:pPr>
      <w:r>
        <w:rPr>
          <w:rFonts w:ascii="仿宋" w:hAnsi="仿宋" w:eastAsia="仿宋" w:cs="仿宋"/>
          <w:i w:val="0"/>
          <w:strike w:val="0"/>
          <w:color w:val="000000"/>
          <w:sz w:val="22"/>
          <w:u w:val="none"/>
        </w:rPr>
        <w:t>公共英语四级PETS4考试成绩不低于60分。</w:t>
      </w:r>
    </w:p>
    <w:p>
      <w:pPr>
        <w:snapToGrid w:val="1"/>
        <w:spacing w:line="240"/>
        <w:ind/>
        <w:jc w:val="left"/>
        <w:rPr>
          <w:sz w:val="22"/>
        </w:rPr>
      </w:pPr>
      <w:r>
        <w:rPr>
          <w:rFonts w:ascii="仿宋" w:hAnsi="仿宋" w:eastAsia="仿宋" w:cs="仿宋"/>
          <w:i w:val="0"/>
          <w:strike w:val="0"/>
          <w:color w:val="000000"/>
          <w:sz w:val="22"/>
          <w:u w:val="none"/>
        </w:rPr>
        <w:t>（4）英语专业推免生的专业英语四级考试成绩须在60分（含60分）以上。</w:t>
      </w:r>
    </w:p>
    <w:p>
      <w:pPr>
        <w:snapToGrid w:val="1"/>
        <w:spacing w:line="240"/>
        <w:ind/>
        <w:rPr>
          <w:sz w:val="22"/>
        </w:rPr>
      </w:pPr>
      <w:r>
        <w:rPr>
          <w:rFonts w:ascii="仿宋" w:hAnsi="仿宋" w:eastAsia="仿宋" w:cs="仿宋"/>
          <w:i w:val="0"/>
          <w:strike w:val="0"/>
          <w:color w:val="000000"/>
          <w:sz w:val="22"/>
          <w:u w:val="none"/>
        </w:rPr>
        <w:t>4.身心素质方面：</w:t>
      </w:r>
    </w:p>
    <w:p>
      <w:pPr>
        <w:snapToGrid w:val="1"/>
        <w:spacing w:line="240"/>
        <w:ind/>
        <w:rPr>
          <w:sz w:val="22"/>
        </w:rPr>
      </w:pPr>
      <w:r>
        <w:rPr>
          <w:rFonts w:ascii="仿宋" w:hAnsi="仿宋" w:eastAsia="仿宋" w:cs="仿宋"/>
          <w:i w:val="0"/>
          <w:strike w:val="0"/>
          <w:color w:val="000000"/>
          <w:sz w:val="22"/>
          <w:u w:val="none"/>
        </w:rPr>
        <w:t>身体健康，体育成绩达到本科教学标准要求；体检符合教育部《普通高等学校招生体检工作指导意见》的要求。</w:t>
      </w:r>
    </w:p>
    <w:p>
      <w:pPr>
        <w:snapToGrid w:val="1"/>
        <w:spacing w:line="240"/>
        <w:ind/>
        <w:rPr>
          <w:sz w:val="22"/>
        </w:rPr>
      </w:pPr>
      <w:r>
        <w:rPr>
          <w:rFonts w:ascii="仿宋" w:hAnsi="仿宋" w:eastAsia="仿宋" w:cs="仿宋"/>
          <w:i w:val="0"/>
          <w:strike w:val="0"/>
          <w:color w:val="000000"/>
          <w:sz w:val="22"/>
          <w:u w:val="none"/>
        </w:rPr>
        <w:t>5.学生在校期间参军入伍服兵役、参加志愿服务、到国际组织实习，同等条件下优先推荐。</w:t>
      </w:r>
    </w:p>
    <w:p>
      <w:pPr>
        <w:snapToGrid w:val="1"/>
        <w:spacing w:line="240"/>
        <w:ind/>
        <w:rPr>
          <w:sz w:val="22"/>
        </w:rPr>
      </w:pPr>
      <w:r>
        <w:rPr>
          <w:rFonts w:ascii="楷体" w:hAnsi="楷体" w:eastAsia="楷体" w:cs="楷体"/>
          <w:b w:val="1"/>
          <w:i w:val="0"/>
          <w:strike w:val="0"/>
          <w:color w:val="000000"/>
          <w:sz w:val="22"/>
          <w:u w:val="none"/>
        </w:rPr>
        <w:t>（二）综合成绩计算办法</w:t>
      </w:r>
    </w:p>
    <w:p>
      <w:pPr>
        <w:snapToGrid w:val="1"/>
        <w:spacing w:line="240"/>
        <w:ind/>
        <w:rPr>
          <w:sz w:val="22"/>
        </w:rPr>
      </w:pPr>
      <w:r>
        <w:rPr>
          <w:rFonts w:ascii="仿宋" w:hAnsi="仿宋" w:eastAsia="仿宋" w:cs="仿宋"/>
          <w:i w:val="0"/>
          <w:strike w:val="0"/>
          <w:color w:val="000000"/>
          <w:sz w:val="22"/>
          <w:u w:val="none"/>
        </w:rPr>
        <w:t>综合成绩包括：课程学业成绩占80%，科研创新能力占10%，荣誉和奖励占10%。</w:t>
      </w:r>
    </w:p>
    <w:p>
      <w:pPr>
        <w:snapToGrid w:val="1"/>
        <w:spacing w:line="240"/>
        <w:ind/>
        <w:rPr>
          <w:sz w:val="22"/>
        </w:rPr>
      </w:pPr>
      <w:r>
        <w:rPr>
          <w:rFonts w:ascii="仿宋" w:hAnsi="仿宋" w:eastAsia="仿宋" w:cs="仿宋"/>
          <w:i w:val="0"/>
          <w:strike w:val="0"/>
          <w:color w:val="000000"/>
          <w:sz w:val="22"/>
          <w:u w:val="none"/>
        </w:rPr>
        <w:t>计算公式：综合成绩=课程学业成绩×80%+科研创新能力得分×10%+荣誉和奖励得分×10%。</w:t>
      </w:r>
    </w:p>
    <w:p>
      <w:pPr>
        <w:snapToGrid w:val="1"/>
        <w:spacing w:line="240"/>
        <w:ind/>
        <w:rPr>
          <w:sz w:val="22"/>
        </w:rPr>
      </w:pPr>
      <w:r>
        <w:rPr>
          <w:rFonts w:ascii="仿宋" w:hAnsi="仿宋" w:eastAsia="仿宋" w:cs="仿宋"/>
          <w:i w:val="0"/>
          <w:strike w:val="0"/>
          <w:color w:val="000000"/>
          <w:sz w:val="22"/>
          <w:u w:val="none"/>
        </w:rPr>
        <w:t>其中，课程学业成绩=∑前六学期每门课程总评成绩×该课程学分/所有前六学期课程总学分。</w:t>
      </w:r>
    </w:p>
    <w:p>
      <w:pPr>
        <w:snapToGrid w:val="1"/>
        <w:spacing w:line="240"/>
        <w:ind/>
        <w:rPr>
          <w:sz w:val="22"/>
        </w:rPr>
      </w:pPr>
      <w:r>
        <w:rPr>
          <w:rFonts w:ascii="仿宋" w:hAnsi="仿宋" w:eastAsia="仿宋" w:cs="仿宋"/>
          <w:i w:val="0"/>
          <w:strike w:val="0"/>
          <w:color w:val="000000"/>
          <w:sz w:val="22"/>
          <w:u w:val="none"/>
        </w:rPr>
        <w:t>科研创新能力得分=(本人科研创新能力累计得分÷所有申请参加推免的学生的科研创新能力累计得分中的最高分)×100。其中“所有申请参加推免的学生的科研创新能力累计得分中的最高分”，在按班级、专业或学院排序时，应分别取本班级、本专业或本学院的最高分。</w:t>
      </w:r>
    </w:p>
    <w:p>
      <w:pPr>
        <w:snapToGrid w:val="1"/>
        <w:spacing w:line="240"/>
        <w:ind/>
        <w:rPr>
          <w:sz w:val="22"/>
        </w:rPr>
      </w:pPr>
      <w:r>
        <w:rPr>
          <w:rFonts w:ascii="仿宋" w:hAnsi="仿宋" w:eastAsia="仿宋" w:cs="仿宋"/>
          <w:i w:val="0"/>
          <w:strike w:val="0"/>
          <w:color w:val="000000"/>
          <w:sz w:val="22"/>
          <w:u w:val="none"/>
        </w:rPr>
        <w:t>荣誉和奖励得分=(本人获奖累计得分÷所有申请参加推免的学生的获奖累计得分中的最高分)×100。其中“所有申请参加推免的学生的获奖累计得分中的最高分”，在按班级、专业或学院排序时，应分别取本班级、本专业或本学院的最高分。</w:t>
      </w:r>
    </w:p>
    <w:p>
      <w:pPr>
        <w:snapToGrid w:val="1"/>
        <w:spacing w:line="240"/>
        <w:ind/>
        <w:rPr>
          <w:sz w:val="22"/>
        </w:rPr>
      </w:pPr>
      <w:r>
        <w:rPr>
          <w:rFonts w:ascii="仿宋" w:hAnsi="仿宋" w:eastAsia="仿宋" w:cs="仿宋"/>
          <w:i w:val="0"/>
          <w:strike w:val="0"/>
          <w:color w:val="000000"/>
          <w:sz w:val="22"/>
          <w:u w:val="none"/>
        </w:rPr>
        <w:t>综合成绩排序依据由学院根据实际情况选择按班级、专业或学院从高到低进行推荐。</w:t>
      </w:r>
    </w:p>
    <w:p>
      <w:pPr>
        <w:snapToGrid w:val="1"/>
        <w:spacing w:line="240"/>
        <w:ind/>
        <w:rPr>
          <w:sz w:val="22"/>
        </w:rPr>
      </w:pPr>
      <w:r>
        <w:rPr>
          <w:rFonts w:ascii="仿宋" w:hAnsi="仿宋" w:eastAsia="仿宋" w:cs="仿宋"/>
          <w:i w:val="0"/>
          <w:strike w:val="0"/>
          <w:color w:val="000000"/>
          <w:sz w:val="22"/>
          <w:u w:val="none"/>
        </w:rPr>
        <w:t>课程总评成绩按100分制换算，如课程总评成绩按五级（优秀、良好、中等、及格、不及格）记分，则统一记分标准为：优秀95分，良好85分，中等75分，及格65分。</w:t>
      </w:r>
    </w:p>
    <w:p>
      <w:pPr>
        <w:snapToGrid w:val="1"/>
        <w:spacing w:line="240"/>
        <w:ind/>
        <w:rPr>
          <w:sz w:val="22"/>
        </w:rPr>
      </w:pPr>
      <w:r>
        <w:rPr>
          <w:rFonts w:ascii="楷体" w:hAnsi="楷体" w:eastAsia="楷体" w:cs="楷体"/>
          <w:b w:val="1"/>
          <w:i w:val="0"/>
          <w:strike w:val="0"/>
          <w:color w:val="000000"/>
          <w:sz w:val="22"/>
          <w:u w:val="none"/>
        </w:rPr>
        <w:t>（三）科研创新能力记分</w:t>
      </w:r>
    </w:p>
    <w:p>
      <w:pPr>
        <w:snapToGrid w:val="1"/>
        <w:spacing w:line="240"/>
        <w:ind/>
        <w:rPr>
          <w:sz w:val="22"/>
        </w:rPr>
      </w:pPr>
      <w:r>
        <w:rPr>
          <w:rFonts w:ascii="仿宋" w:hAnsi="仿宋" w:eastAsia="仿宋" w:cs="仿宋"/>
          <w:i w:val="0"/>
          <w:strike w:val="0"/>
          <w:color w:val="000000"/>
          <w:sz w:val="22"/>
          <w:u w:val="none"/>
        </w:rPr>
        <w:t>1.发表学术论文等级和记分</w:t>
      </w:r>
    </w:p>
    <w:tbl>
      <w:tblPr>
        <w:tblStyle w:val="000015"/>
        <w:tblLayout w:type="fixed"/>
      </w:tblPr>
      <w:tblGrid>
        <w:gridCol w:w="720"/>
        <w:gridCol w:w="720"/>
        <w:gridCol w:w="720"/>
        <w:gridCol w:w="720"/>
        <w:gridCol w:w="720"/>
        <w:gridCol w:w="720"/>
      </w:tblGrid>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论文</w:t>
            </w:r>
          </w:p>
          <w:p>
            <w:pPr>
              <w:snapToGrid w:val="1"/>
              <w:spacing w:before="0" w:after="0" w:line="240"/>
              <w:ind/>
              <w:jc w:val="center"/>
              <w:rPr>
                <w:sz w:val="22"/>
              </w:rPr>
            </w:pPr>
            <w:r>
              <w:rPr>
                <w:rFonts w:ascii="宋体" w:hAnsi="宋体" w:eastAsia="宋体" w:cs="宋体"/>
                <w:i w:val="0"/>
                <w:strike w:val="0"/>
                <w:color w:val="000000"/>
                <w:spacing w:val="0"/>
                <w:sz w:val="22"/>
                <w:u w:val="none"/>
              </w:rPr>
              <w:t>级别</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A1</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A2</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A3</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A4</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B1</w:t>
            </w: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记分</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50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40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10</w:t>
            </w:r>
          </w:p>
        </w:tc>
      </w:tr>
    </w:tbl>
    <w:p>
      <w:pPr>
        <w:snapToGrid w:val="1"/>
        <w:spacing w:line="240"/>
        <w:ind/>
        <w:rPr>
          <w:sz w:val="22"/>
        </w:rPr>
      </w:pPr>
      <w:r>
        <w:rPr>
          <w:rFonts w:ascii="仿宋" w:hAnsi="仿宋" w:eastAsia="仿宋" w:cs="仿宋"/>
          <w:i w:val="0"/>
          <w:strike w:val="0"/>
          <w:color w:val="000000"/>
          <w:sz w:val="22"/>
          <w:u w:val="none"/>
        </w:rPr>
        <w:t>说明：所发表的学术论文，仅限学生本科阶段以独立作者或第一作者发表的与学业相关的科研论文，第一署名单位为“山西财经大学”，且必须已经正式出版。</w:t>
      </w:r>
    </w:p>
    <w:p>
      <w:pPr>
        <w:snapToGrid w:val="1"/>
        <w:spacing w:line="240"/>
        <w:ind/>
        <w:rPr>
          <w:sz w:val="22"/>
        </w:rPr>
      </w:pPr>
      <w:r>
        <w:rPr>
          <w:rFonts w:ascii="仿宋" w:hAnsi="仿宋" w:eastAsia="仿宋" w:cs="仿宋"/>
          <w:i w:val="0"/>
          <w:strike w:val="0"/>
          <w:color w:val="000000"/>
          <w:sz w:val="22"/>
          <w:u w:val="none"/>
        </w:rPr>
        <w:t>学术论文的级别按照《山西财经大学科研成果管理办法》(山财校〔2023〕80号)由科研部负责认定，科研部负责人签字盖章后计入本人成绩。</w:t>
      </w:r>
    </w:p>
    <w:p>
      <w:pPr>
        <w:pBdr>
          <w:bottom/>
        </w:pBdr>
        <w:snapToGrid w:val="1"/>
        <w:spacing w:line="240"/>
        <w:ind/>
        <w:rPr>
          <w:sz w:val="22"/>
        </w:rPr>
      </w:pPr>
      <w:r>
        <w:rPr>
          <w:rFonts w:ascii="仿宋" w:hAnsi="仿宋" w:eastAsia="仿宋" w:cs="仿宋"/>
          <w:i w:val="0"/>
          <w:strike w:val="0"/>
          <w:color w:val="000000"/>
          <w:sz w:val="22"/>
          <w:u w:val="none"/>
        </w:rPr>
        <w:t>2.承担科研项目等级和记分</w:t>
      </w:r>
    </w:p>
    <w:tbl>
      <w:tblPr>
        <w:tblStyle w:val="000015"/>
        <w:tblLayout w:type="fixed"/>
      </w:tblPr>
      <w:tblGrid>
        <w:gridCol w:w="720"/>
        <w:gridCol w:w="720"/>
        <w:gridCol w:w="720"/>
        <w:gridCol w:w="720"/>
        <w:gridCol w:w="720"/>
      </w:tblGrid>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项目级别</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A1</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A2</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A3</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A4</w:t>
            </w: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记分</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50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40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30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25</w:t>
            </w:r>
          </w:p>
        </w:tc>
      </w:tr>
    </w:tbl>
    <w:p>
      <w:pPr>
        <w:snapToGrid w:val="1"/>
        <w:spacing w:line="240"/>
        <w:ind/>
        <w:rPr>
          <w:sz w:val="22"/>
        </w:rPr>
      </w:pPr>
      <w:r>
        <w:rPr>
          <w:rFonts w:ascii="仿宋" w:hAnsi="仿宋" w:eastAsia="仿宋" w:cs="仿宋"/>
          <w:i w:val="0"/>
          <w:strike w:val="0"/>
          <w:color w:val="000000"/>
          <w:sz w:val="22"/>
          <w:u w:val="none"/>
        </w:rPr>
        <w:t>说明：</w:t>
      </w:r>
    </w:p>
    <w:p>
      <w:pPr>
        <w:snapToGrid w:val="1"/>
        <w:spacing w:line="240"/>
        <w:ind/>
        <w:rPr>
          <w:sz w:val="22"/>
        </w:rPr>
      </w:pPr>
      <w:r>
        <w:rPr>
          <w:rFonts w:ascii="仿宋" w:hAnsi="仿宋" w:eastAsia="仿宋" w:cs="仿宋"/>
          <w:i w:val="0"/>
          <w:strike w:val="0"/>
          <w:color w:val="000000"/>
          <w:sz w:val="22"/>
          <w:u w:val="none"/>
        </w:rPr>
        <w:t>（1）所主持的项目为纵向课题，立项单位为“山西财经大学”。</w:t>
      </w:r>
    </w:p>
    <w:p>
      <w:pPr>
        <w:snapToGrid w:val="1"/>
        <w:spacing w:line="240"/>
        <w:ind/>
        <w:rPr>
          <w:sz w:val="22"/>
        </w:rPr>
      </w:pPr>
      <w:r>
        <w:rPr>
          <w:rFonts w:ascii="仿宋" w:hAnsi="仿宋" w:eastAsia="仿宋" w:cs="仿宋"/>
          <w:i w:val="0"/>
          <w:strike w:val="0"/>
          <w:color w:val="000000"/>
          <w:sz w:val="22"/>
          <w:u w:val="none"/>
        </w:rPr>
        <w:t>（2）主持国家级大学生创新创业训练项目按照A3记分。</w:t>
      </w:r>
    </w:p>
    <w:p>
      <w:pPr>
        <w:snapToGrid w:val="1"/>
        <w:spacing w:line="240"/>
        <w:ind/>
        <w:rPr>
          <w:sz w:val="22"/>
        </w:rPr>
      </w:pPr>
      <w:r>
        <w:rPr>
          <w:rFonts w:ascii="仿宋" w:hAnsi="仿宋" w:eastAsia="仿宋" w:cs="仿宋"/>
          <w:i w:val="0"/>
          <w:strike w:val="0"/>
          <w:color w:val="000000"/>
          <w:sz w:val="22"/>
          <w:u w:val="none"/>
        </w:rPr>
        <w:t>（3）同一项目获得不同级别的立项，以最高级别的立项对应记分。</w:t>
      </w:r>
    </w:p>
    <w:p>
      <w:pPr>
        <w:snapToGrid w:val="1"/>
        <w:spacing w:line="240"/>
        <w:ind/>
        <w:rPr>
          <w:sz w:val="22"/>
        </w:rPr>
      </w:pPr>
      <w:r>
        <w:rPr>
          <w:rFonts w:ascii="仿宋" w:hAnsi="仿宋" w:eastAsia="仿宋" w:cs="仿宋"/>
          <w:i w:val="0"/>
          <w:strike w:val="0"/>
          <w:color w:val="000000"/>
          <w:sz w:val="22"/>
          <w:u w:val="none"/>
        </w:rPr>
        <w:t>（4）已结项的项目独立主持人记满分；由2人参与时主持人记70%，另一人记30%；由3人及以上人数参与时，主持人记50%，其余人记50%的平均分。</w:t>
      </w:r>
    </w:p>
    <w:p>
      <w:pPr>
        <w:snapToGrid w:val="1"/>
        <w:spacing w:line="240"/>
        <w:ind/>
        <w:rPr>
          <w:sz w:val="22"/>
        </w:rPr>
      </w:pPr>
      <w:r>
        <w:rPr>
          <w:rFonts w:ascii="仿宋" w:hAnsi="仿宋" w:eastAsia="仿宋" w:cs="仿宋"/>
          <w:i w:val="0"/>
          <w:strike w:val="0"/>
          <w:color w:val="000000"/>
          <w:sz w:val="22"/>
          <w:u w:val="none"/>
        </w:rPr>
        <w:t>（5）只立项没有结项的项目，主持人记50%，其余参与人记25%的平均分。</w:t>
      </w:r>
    </w:p>
    <w:p>
      <w:pPr>
        <w:snapToGrid w:val="1"/>
        <w:spacing w:line="240"/>
        <w:ind/>
        <w:rPr>
          <w:sz w:val="22"/>
        </w:rPr>
      </w:pPr>
      <w:r>
        <w:rPr>
          <w:rFonts w:ascii="仿宋" w:hAnsi="仿宋" w:eastAsia="仿宋" w:cs="仿宋"/>
          <w:i w:val="0"/>
          <w:strike w:val="0"/>
          <w:color w:val="000000"/>
          <w:sz w:val="22"/>
          <w:u w:val="none"/>
        </w:rPr>
        <w:t>（6）参与教职工主持的项目一律不计分。</w:t>
      </w:r>
    </w:p>
    <w:p>
      <w:pPr>
        <w:snapToGrid w:val="1"/>
        <w:spacing w:line="240"/>
        <w:ind/>
        <w:rPr>
          <w:sz w:val="22"/>
        </w:rPr>
      </w:pPr>
      <w:r>
        <w:rPr>
          <w:rFonts w:ascii="仿宋" w:hAnsi="仿宋" w:eastAsia="仿宋" w:cs="仿宋"/>
          <w:i w:val="0"/>
          <w:strike w:val="0"/>
          <w:color w:val="000000"/>
          <w:sz w:val="22"/>
          <w:u w:val="none"/>
        </w:rPr>
        <w:t>承担科研项目的级别按照《山西财经大学科研成果管理办法》由科研部负责认定，科研部负责人签字盖章后计入本人成绩。主持和参与大学生创新创业训练项目教务部进行认定，教务部负责人签字盖章后计入本人成绩。</w:t>
      </w:r>
    </w:p>
    <w:p>
      <w:pPr>
        <w:snapToGrid w:val="1"/>
        <w:spacing w:line="240"/>
        <w:ind/>
        <w:rPr>
          <w:sz w:val="22"/>
        </w:rPr>
      </w:pPr>
      <w:r>
        <w:rPr>
          <w:rFonts w:ascii="楷体" w:hAnsi="楷体" w:eastAsia="楷体" w:cs="楷体"/>
          <w:b w:val="1"/>
          <w:i w:val="0"/>
          <w:strike w:val="0"/>
          <w:color w:val="000000"/>
          <w:sz w:val="22"/>
          <w:u w:val="none"/>
        </w:rPr>
        <w:t>（四）荣誉和奖励记分</w:t>
      </w:r>
    </w:p>
    <w:p>
      <w:pPr>
        <w:snapToGrid w:val="1"/>
        <w:spacing w:line="240"/>
        <w:ind/>
        <w:rPr>
          <w:sz w:val="22"/>
        </w:rPr>
      </w:pPr>
      <w:r>
        <w:rPr>
          <w:rFonts w:ascii="仿宋" w:hAnsi="仿宋" w:eastAsia="仿宋" w:cs="仿宋"/>
          <w:i w:val="0"/>
          <w:strike w:val="0"/>
          <w:color w:val="000000"/>
          <w:sz w:val="22"/>
          <w:u w:val="none"/>
        </w:rPr>
        <w:t>学生获奖应为国家级（特等、一等、二等、三等）。</w:t>
      </w:r>
    </w:p>
    <w:tbl>
      <w:tblPr>
        <w:tblStyle w:val="000015"/>
        <w:tblLayout w:type="fixed"/>
      </w:tblPr>
      <w:tblGrid>
        <w:gridCol w:w="720"/>
        <w:gridCol w:w="720"/>
        <w:gridCol w:w="720"/>
        <w:gridCol w:w="720"/>
        <w:gridCol w:w="720"/>
      </w:tblGrid>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级别</w:t>
            </w:r>
          </w:p>
        </w:tc>
        <w:tc>
          <w:tcPr>
            <w:tcW w:w="288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国家级</w:t>
            </w: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等次</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特等</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一等</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二等</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三等</w:t>
            </w: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记分</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55</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50</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45</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宋体" w:hAnsi="宋体" w:eastAsia="宋体" w:cs="宋体"/>
                <w:i w:val="0"/>
                <w:strike w:val="0"/>
                <w:color w:val="000000"/>
                <w:spacing w:val="0"/>
                <w:sz w:val="22"/>
                <w:u w:val="none"/>
              </w:rPr>
              <w:t>40</w:t>
            </w:r>
          </w:p>
        </w:tc>
      </w:tr>
    </w:tbl>
    <w:p>
      <w:pPr>
        <w:snapToGrid w:val="1"/>
        <w:spacing w:line="240"/>
        <w:ind/>
        <w:rPr>
          <w:sz w:val="22"/>
        </w:rPr>
      </w:pPr>
      <w:r>
        <w:rPr>
          <w:rFonts w:ascii="仿宋" w:hAnsi="仿宋" w:eastAsia="仿宋" w:cs="仿宋"/>
          <w:i w:val="0"/>
          <w:strike w:val="0"/>
          <w:color w:val="000000"/>
          <w:sz w:val="22"/>
          <w:u w:val="none"/>
        </w:rPr>
        <w:t>说明：</w:t>
      </w:r>
    </w:p>
    <w:p>
      <w:pPr>
        <w:snapToGrid w:val="1"/>
        <w:spacing w:line="240"/>
        <w:ind/>
        <w:rPr>
          <w:sz w:val="22"/>
        </w:rPr>
      </w:pPr>
      <w:r>
        <w:rPr>
          <w:rFonts w:ascii="仿宋" w:hAnsi="仿宋" w:eastAsia="仿宋" w:cs="仿宋"/>
          <w:i w:val="0"/>
          <w:strike w:val="0"/>
          <w:color w:val="000000"/>
          <w:sz w:val="22"/>
          <w:u w:val="none"/>
        </w:rPr>
        <w:t>1.荣誉和奖励包含学生在本科阶段作为主力成员参加与学业相关的国内权威竞赛（全国赛）并获得三等奖以上奖励（国际赛事参照执行，但不得低于国内赛事相关要求），具体为：中国“互联网+”大学生创新创业大赛；“挑战杯”全国大学生课外学术科技作品竞赛；“创青春”全国大学生创业大赛；全国大学生数学建模竞赛；“外研社杯”全国英语大赛；全国大学生广告艺术大赛；中国大学生计算机设计大赛；全国大学生电子商务“创新、创意及创业”挑战赛；全国大学生物流设计大赛；全国大学生市场调查与分析大赛；学创杯大学生创业综合模拟大赛；全国大学生统计建模大赛；全国大学生能源经济学术创意大赛；中国高校计算机大赛；蓝桥杯全国软件和信息技术专业人才大赛。</w:t>
      </w:r>
    </w:p>
    <w:p>
      <w:pPr>
        <w:snapToGrid w:val="1"/>
        <w:spacing w:line="240"/>
        <w:ind/>
        <w:rPr>
          <w:sz w:val="22"/>
        </w:rPr>
      </w:pPr>
      <w:r>
        <w:rPr>
          <w:rFonts w:ascii="仿宋" w:hAnsi="仿宋" w:eastAsia="仿宋" w:cs="仿宋"/>
          <w:i w:val="0"/>
          <w:strike w:val="0"/>
          <w:color w:val="000000"/>
          <w:sz w:val="22"/>
          <w:u w:val="none"/>
        </w:rPr>
        <w:t>2.同一项目获得多项奖励，取最高层次记分。</w:t>
      </w:r>
    </w:p>
    <w:p>
      <w:pPr>
        <w:snapToGrid w:val="1"/>
        <w:spacing w:line="240"/>
        <w:ind/>
        <w:rPr>
          <w:sz w:val="22"/>
        </w:rPr>
      </w:pPr>
      <w:r>
        <w:rPr>
          <w:rFonts w:ascii="仿宋" w:hAnsi="仿宋" w:eastAsia="仿宋" w:cs="仿宋"/>
          <w:i w:val="0"/>
          <w:strike w:val="0"/>
          <w:color w:val="000000"/>
          <w:sz w:val="22"/>
          <w:u w:val="none"/>
        </w:rPr>
        <w:t>3.同一项奖励多人参与，由2人参与时第一参与人记70%，另一人记30%；由3人及以上人数参与时，第一参与人记50%，其余人记50%的平均分。</w:t>
      </w:r>
    </w:p>
    <w:p>
      <w:pPr>
        <w:snapToGrid w:val="1"/>
        <w:spacing w:line="240"/>
        <w:ind/>
        <w:rPr>
          <w:sz w:val="22"/>
        </w:rPr>
      </w:pPr>
      <w:r>
        <w:rPr>
          <w:rFonts w:ascii="仿宋" w:hAnsi="仿宋" w:eastAsia="仿宋" w:cs="仿宋"/>
          <w:i w:val="0"/>
          <w:strike w:val="0"/>
          <w:color w:val="000000"/>
          <w:sz w:val="22"/>
          <w:u w:val="none"/>
        </w:rPr>
        <w:t>4.获得的各类奖学金不记获奖分。</w:t>
      </w:r>
    </w:p>
    <w:p>
      <w:pPr>
        <w:snapToGrid w:val="1"/>
        <w:spacing w:line="240"/>
        <w:ind/>
        <w:rPr>
          <w:sz w:val="22"/>
        </w:rPr>
      </w:pPr>
      <w:r>
        <w:rPr>
          <w:rFonts w:ascii="仿宋" w:hAnsi="仿宋" w:eastAsia="仿宋" w:cs="仿宋"/>
          <w:i w:val="0"/>
          <w:strike w:val="0"/>
          <w:color w:val="000000"/>
          <w:sz w:val="22"/>
          <w:u w:val="none"/>
        </w:rPr>
        <w:t>学生获得的荣誉和奖励，由各学院统一到赛事的组织部门进行认定，由部门负责人签字盖章后计入本人成绩。</w:t>
      </w:r>
    </w:p>
    <w:p>
      <w:pPr>
        <w:snapToGrid w:val="1"/>
        <w:spacing w:line="240"/>
        <w:ind/>
        <w:rPr>
          <w:sz w:val="22"/>
        </w:rPr>
      </w:pPr>
      <w:r>
        <w:rPr>
          <w:rFonts w:ascii="仿宋" w:hAnsi="仿宋" w:eastAsia="仿宋" w:cs="仿宋"/>
          <w:i w:val="0"/>
          <w:strike w:val="0"/>
          <w:color w:val="000000"/>
          <w:sz w:val="22"/>
          <w:u w:val="none"/>
        </w:rPr>
        <w:t>科研成果、荣誉和奖励等计分项目的有效期，截止时间为本方案发布之日前的各项有效成果、荣誉和奖励。</w:t>
      </w:r>
    </w:p>
    <w:p>
      <w:pPr>
        <w:snapToGrid w:val="1"/>
        <w:spacing w:line="240"/>
        <w:ind/>
        <w:jc w:val="left"/>
        <w:rPr>
          <w:sz w:val="22"/>
        </w:rPr>
      </w:pPr>
      <w:r>
        <w:rPr>
          <w:rFonts w:ascii="楷体" w:hAnsi="楷体" w:eastAsia="楷体" w:cs="楷体"/>
          <w:b w:val="1"/>
          <w:i w:val="0"/>
          <w:strike w:val="0"/>
          <w:color w:val="000000"/>
          <w:sz w:val="22"/>
          <w:u w:val="none"/>
        </w:rPr>
        <w:t>（五）相关要求</w:t>
      </w:r>
    </w:p>
    <w:p>
      <w:pPr>
        <w:snapToGrid w:val="1"/>
        <w:spacing w:line="240"/>
        <w:ind/>
        <w:jc w:val="left"/>
        <w:rPr>
          <w:sz w:val="22"/>
        </w:rPr>
      </w:pPr>
      <w:r>
        <w:rPr>
          <w:rFonts w:ascii="仿宋" w:hAnsi="仿宋" w:eastAsia="仿宋" w:cs="仿宋"/>
          <w:i w:val="0"/>
          <w:strike w:val="0"/>
          <w:color w:val="000000"/>
          <w:sz w:val="22"/>
          <w:u w:val="none"/>
        </w:rPr>
        <w:t>1.学生与其亲属或其他利益相关者合作的科研成果、竞赛奖项原则上不纳入学生本人推免遴选综合成绩计算体系，同等条件下可优先考虑。</w:t>
      </w:r>
    </w:p>
    <w:p>
      <w:pPr>
        <w:snapToGrid w:val="1"/>
        <w:spacing w:line="240"/>
        <w:ind/>
        <w:jc w:val="left"/>
        <w:rPr>
          <w:sz w:val="22"/>
        </w:rPr>
      </w:pPr>
      <w:r>
        <w:rPr>
          <w:rFonts w:ascii="仿宋" w:hAnsi="仿宋" w:eastAsia="仿宋" w:cs="仿宋"/>
          <w:i w:val="0"/>
          <w:strike w:val="0"/>
          <w:color w:val="000000"/>
          <w:sz w:val="22"/>
          <w:u w:val="none"/>
        </w:rPr>
        <w:t>2.各学院要成立材料审核专家组，专家组通常不少于5人，可以根据需要邀请本研究领域的校外专家、权威专家、相关期刊杂志单位或赛事主办单位等，审核鉴定学生的科研成果、创新成果、论文、竞赛获奖等真实性，排除抄袭、造假、冒名及有名无实等情况，并组织相关学生在学校一定范围内进行公开面试答辩。对学生提交的多篇科研成果实行代表作评价，评价重点聚焦到创新质量和个人贡献。审核专家组及每位成员都要给出明确审核鉴定意见并签字存档。答辩全程要录音录像，答辩结果要公开公示。通过审核鉴定或答辩的学生有特殊学术专长，须在本学院网站予以公示，并报研究生院在推免系统和研究生院网站上予以公示。未通过审核鉴定或答辩的，不得纳入推免遴选综合成绩计算体系。</w:t>
      </w:r>
    </w:p>
    <w:p>
      <w:pPr>
        <w:snapToGrid w:val="1"/>
        <w:spacing w:line="240"/>
        <w:ind/>
        <w:jc w:val="left"/>
        <w:rPr>
          <w:sz w:val="22"/>
        </w:rPr>
      </w:pPr>
      <w:r>
        <w:rPr>
          <w:rFonts w:ascii="楷体" w:hAnsi="楷体" w:eastAsia="楷体" w:cs="楷体"/>
          <w:b w:val="1"/>
          <w:i w:val="0"/>
          <w:strike w:val="0"/>
          <w:color w:val="000000"/>
          <w:sz w:val="22"/>
          <w:u w:val="none"/>
        </w:rPr>
        <w:t>（六）推荐程序</w:t>
      </w:r>
    </w:p>
    <w:p>
      <w:pPr>
        <w:snapToGrid w:val="1"/>
        <w:spacing w:line="240"/>
        <w:ind/>
        <w:rPr>
          <w:sz w:val="22"/>
        </w:rPr>
      </w:pPr>
      <w:r>
        <w:rPr>
          <w:rFonts w:ascii="仿宋" w:hAnsi="仿宋" w:eastAsia="仿宋" w:cs="仿宋"/>
          <w:i w:val="0"/>
          <w:strike w:val="0"/>
          <w:color w:val="000000"/>
          <w:sz w:val="22"/>
          <w:u w:val="none"/>
        </w:rPr>
        <w:t>1.各学院制定本学院推免工作实施细则，并在学院内向学生公布。</w:t>
      </w:r>
    </w:p>
    <w:p>
      <w:pPr>
        <w:snapToGrid w:val="1"/>
        <w:spacing w:line="240"/>
        <w:ind/>
        <w:rPr>
          <w:sz w:val="22"/>
        </w:rPr>
      </w:pPr>
      <w:r>
        <w:rPr>
          <w:rFonts w:ascii="仿宋" w:hAnsi="仿宋" w:eastAsia="仿宋" w:cs="仿宋"/>
          <w:i w:val="0"/>
          <w:strike w:val="0"/>
          <w:color w:val="000000"/>
          <w:sz w:val="22"/>
          <w:u w:val="none"/>
        </w:rPr>
        <w:t>2.各学院向全体应届毕业生广泛宣传本年度推免生相关政策，鼓励符合条件的优秀学生申报免试研究生，符合条件的学生向所在学院提出申请，并填写《山西财经大学2026年推荐优秀应届本科毕业生免试攻读硕士学位研究生资格申请表》（见附件1）。各学院推免工作小组，根据推免计划指标进行综合分配，按照方案对申请学生的综合成绩进行排序（</w:t>
      </w:r>
      <w:r>
        <w:rPr>
          <w:rFonts w:ascii="仿宋" w:hAnsi="仿宋" w:eastAsia="仿宋" w:cs="仿宋"/>
          <w:b w:val="1"/>
          <w:i w:val="0"/>
          <w:strike w:val="0"/>
          <w:color w:val="000000"/>
          <w:sz w:val="22"/>
          <w:u w:val="none"/>
        </w:rPr>
        <w:t>由学院自主确定按班级、专业或学院排序</w:t>
      </w:r>
      <w:r>
        <w:rPr>
          <w:rFonts w:ascii="仿宋" w:hAnsi="仿宋" w:eastAsia="仿宋" w:cs="仿宋"/>
          <w:i w:val="0"/>
          <w:strike w:val="0"/>
          <w:color w:val="000000"/>
          <w:sz w:val="22"/>
          <w:u w:val="none"/>
        </w:rPr>
        <w:t>），根据学校下达的推荐计划，按1:1确定推荐学生名单。经党政联席会议集体决定后，在本学院公示3天，公示无异议后将推荐学生汇总名单（见附件2）和相关材料签字盖章后报研究生院招生管理科。</w:t>
      </w:r>
    </w:p>
    <w:p>
      <w:pPr>
        <w:snapToGrid w:val="1"/>
        <w:spacing w:line="240"/>
        <w:ind/>
        <w:rPr>
          <w:sz w:val="22"/>
        </w:rPr>
      </w:pPr>
      <w:r>
        <w:rPr>
          <w:rFonts w:ascii="仿宋" w:hAnsi="仿宋" w:eastAsia="仿宋" w:cs="仿宋"/>
          <w:i w:val="0"/>
          <w:strike w:val="0"/>
          <w:color w:val="000000"/>
          <w:sz w:val="22"/>
          <w:u w:val="none"/>
        </w:rPr>
        <w:t>3.研究生院对各学院报送的推荐学生名单和相关材料进行汇总审核后，报学校推免工作领导组审定，同时向学校党委汇报。</w:t>
      </w:r>
    </w:p>
    <w:p>
      <w:pPr>
        <w:snapToGrid w:val="1"/>
        <w:spacing w:line="240"/>
        <w:ind/>
        <w:rPr>
          <w:sz w:val="22"/>
        </w:rPr>
      </w:pPr>
      <w:r>
        <w:rPr>
          <w:rFonts w:ascii="仿宋" w:hAnsi="仿宋" w:eastAsia="仿宋" w:cs="仿宋"/>
          <w:i w:val="0"/>
          <w:strike w:val="0"/>
          <w:color w:val="000000"/>
          <w:sz w:val="22"/>
          <w:u w:val="none"/>
        </w:rPr>
        <w:t>4.学校将审定的名单在研究生院网站进行公示，公示期不少于7天。公示无异议后由学校报山西省招生考试管理中心备案，在“全国推荐优秀应届本科毕业生免试攻读研究生信息公开暨管理服务系统”（以下简称“推免服务系统”）公开，网址:http://yz.chsi.com.cn/tm，未经公示备案的推免生无效。</w:t>
      </w:r>
    </w:p>
    <w:p>
      <w:pPr>
        <w:snapToGrid w:val="1"/>
        <w:spacing w:line="240"/>
        <w:ind/>
        <w:rPr>
          <w:sz w:val="22"/>
        </w:rPr>
      </w:pPr>
      <w:r>
        <w:rPr>
          <w:rFonts w:ascii="仿宋" w:hAnsi="仿宋" w:eastAsia="仿宋" w:cs="仿宋"/>
          <w:i w:val="0"/>
          <w:strike w:val="0"/>
          <w:color w:val="000000"/>
          <w:sz w:val="22"/>
          <w:u w:val="none"/>
        </w:rPr>
        <w:t>5.获得推免生资格的学生通过“推免服务系统”查询招生单位的招收推免生章程和专业目录，填写报考志愿，接收并确认招生单位的复试及待录取通知。</w:t>
      </w:r>
    </w:p>
    <w:p>
      <w:pPr>
        <w:snapToGrid w:val="1"/>
        <w:spacing w:line="240"/>
        <w:ind/>
        <w:rPr>
          <w:sz w:val="22"/>
        </w:rPr>
      </w:pPr>
      <w:r>
        <w:rPr>
          <w:rFonts w:ascii="仿宋" w:hAnsi="仿宋" w:eastAsia="仿宋" w:cs="仿宋"/>
          <w:i w:val="0"/>
          <w:strike w:val="0"/>
          <w:color w:val="000000"/>
          <w:sz w:val="22"/>
          <w:u w:val="none"/>
        </w:rPr>
        <w:t>6．具体工作安排</w:t>
      </w:r>
    </w:p>
    <w:p>
      <w:pPr>
        <w:snapToGrid w:val="1"/>
        <w:spacing w:line="240"/>
        <w:ind/>
        <w:rPr>
          <w:sz w:val="22"/>
        </w:rPr>
      </w:pPr>
      <w:r>
        <w:rPr>
          <w:rFonts w:ascii="仿宋" w:hAnsi="仿宋" w:eastAsia="仿宋" w:cs="仿宋"/>
          <w:i w:val="0"/>
          <w:strike w:val="0"/>
          <w:color w:val="000000"/>
          <w:sz w:val="22"/>
          <w:u w:val="none"/>
        </w:rPr>
        <w:t>9月9日前，各学院成立学院推免工作小组，进行宣传、动员和申报工作，制定本学院推免工作实施细则，组织推免生的遴选，严格审核申请学生的有关证书原件及相关原始材料，并统一以学院为单位向相关职能部门提交相关审核材料（材料复印件由审核单位负责人签字并加盖部门公章），不受理学生个人审核。</w:t>
      </w:r>
    </w:p>
    <w:p>
      <w:pPr>
        <w:snapToGrid w:val="1"/>
        <w:spacing w:line="240"/>
        <w:ind/>
        <w:rPr>
          <w:sz w:val="22"/>
        </w:rPr>
      </w:pPr>
      <w:r>
        <w:rPr>
          <w:rFonts w:ascii="仿宋" w:hAnsi="仿宋" w:eastAsia="仿宋" w:cs="仿宋"/>
          <w:i w:val="0"/>
          <w:strike w:val="0"/>
          <w:color w:val="000000"/>
          <w:sz w:val="22"/>
          <w:u w:val="none"/>
        </w:rPr>
        <w:t>9月16日前，各学院向研究生院报送推荐学生汇总名单（见附件2，纸质版由院长（负责人）签字并加盖公章，电子版通过学校办公平台发送）、学生的成绩单电子版（</w:t>
      </w:r>
      <w:r>
        <w:rPr>
          <w:rFonts w:ascii="仿宋" w:hAnsi="仿宋" w:eastAsia="仿宋" w:cs="仿宋"/>
          <w:b w:val="1"/>
          <w:i w:val="0"/>
          <w:strike w:val="0"/>
          <w:color w:val="000000"/>
          <w:sz w:val="22"/>
          <w:u w:val="none"/>
        </w:rPr>
        <w:t>以“证件号码_姓名”命名的pdf格式</w:t>
      </w:r>
      <w:r>
        <w:rPr>
          <w:rFonts w:ascii="仿宋" w:hAnsi="仿宋" w:eastAsia="仿宋" w:cs="仿宋"/>
          <w:i w:val="0"/>
          <w:strike w:val="0"/>
          <w:color w:val="000000"/>
          <w:sz w:val="22"/>
          <w:u w:val="none"/>
        </w:rPr>
        <w:t>）及以下材料：</w:t>
      </w:r>
    </w:p>
    <w:p>
      <w:pPr>
        <w:snapToGrid w:val="1"/>
        <w:spacing w:line="240"/>
        <w:ind/>
        <w:jc w:val="left"/>
        <w:rPr>
          <w:sz w:val="22"/>
        </w:rPr>
      </w:pPr>
      <w:r>
        <w:rPr>
          <w:rFonts w:ascii="仿宋" w:hAnsi="仿宋" w:eastAsia="仿宋" w:cs="仿宋"/>
          <w:i w:val="0"/>
          <w:strike w:val="0"/>
          <w:color w:val="000000"/>
          <w:sz w:val="22"/>
          <w:u w:val="none"/>
        </w:rPr>
        <w:t>《山西财经大学2026年推荐优秀应届本科毕业生免试攻读硕士学位研究生资格申请表》。</w:t>
      </w:r>
    </w:p>
    <w:p>
      <w:pPr>
        <w:snapToGrid w:val="1"/>
        <w:spacing w:line="240"/>
        <w:ind/>
        <w:jc w:val="left"/>
        <w:rPr>
          <w:sz w:val="22"/>
        </w:rPr>
      </w:pPr>
      <w:r>
        <w:rPr>
          <w:rFonts w:ascii="仿宋" w:hAnsi="仿宋" w:eastAsia="仿宋" w:cs="仿宋"/>
          <w:i w:val="0"/>
          <w:strike w:val="0"/>
          <w:color w:val="000000"/>
          <w:sz w:val="22"/>
          <w:u w:val="none"/>
        </w:rPr>
        <w:t>本人第二代身份证、学生证复印件（身份证复印正反面、学生证复印学生信息和注册情况复印到同一张A4纸上）。</w:t>
      </w:r>
    </w:p>
    <w:p>
      <w:pPr>
        <w:snapToGrid w:val="1"/>
        <w:spacing w:line="240"/>
        <w:ind/>
        <w:jc w:val="left"/>
        <w:rPr>
          <w:sz w:val="22"/>
        </w:rPr>
      </w:pPr>
      <w:r>
        <w:rPr>
          <w:rFonts w:ascii="仿宋" w:hAnsi="仿宋" w:eastAsia="仿宋" w:cs="仿宋"/>
          <w:i w:val="0"/>
          <w:strike w:val="0"/>
          <w:color w:val="000000"/>
          <w:sz w:val="22"/>
          <w:u w:val="none"/>
        </w:rPr>
        <w:t>本科期间成绩单（纸质版和pdf格式电子版），经学校教务处核实后加盖公章。</w:t>
      </w:r>
    </w:p>
    <w:p>
      <w:pPr>
        <w:snapToGrid w:val="1"/>
        <w:spacing w:line="240"/>
        <w:ind/>
        <w:jc w:val="left"/>
        <w:rPr>
          <w:sz w:val="22"/>
        </w:rPr>
      </w:pPr>
      <w:r>
        <w:rPr>
          <w:rFonts w:ascii="仿宋" w:hAnsi="仿宋" w:eastAsia="仿宋" w:cs="仿宋"/>
          <w:i w:val="0"/>
          <w:strike w:val="0"/>
          <w:color w:val="000000"/>
          <w:sz w:val="22"/>
          <w:u w:val="none"/>
        </w:rPr>
        <w:t>英语水平等级考试成绩单复印件一份。</w:t>
      </w:r>
    </w:p>
    <w:p>
      <w:pPr>
        <w:snapToGrid w:val="1"/>
        <w:spacing w:line="240"/>
        <w:ind/>
        <w:jc w:val="left"/>
        <w:rPr>
          <w:sz w:val="22"/>
        </w:rPr>
      </w:pPr>
      <w:r>
        <w:rPr>
          <w:rFonts w:ascii="仿宋" w:hAnsi="仿宋" w:eastAsia="仿宋" w:cs="仿宋"/>
          <w:i w:val="0"/>
          <w:strike w:val="0"/>
          <w:color w:val="000000"/>
          <w:sz w:val="22"/>
          <w:u w:val="none"/>
        </w:rPr>
        <w:t>发表的学术论文和获奖证书等有效材料的复印件一份。</w:t>
      </w:r>
    </w:p>
    <w:p>
      <w:pPr>
        <w:snapToGrid w:val="1"/>
        <w:spacing w:line="240"/>
        <w:ind/>
        <w:jc w:val="left"/>
        <w:rPr>
          <w:sz w:val="22"/>
        </w:rPr>
      </w:pPr>
      <w:r>
        <w:rPr>
          <w:rFonts w:ascii="仿宋" w:hAnsi="仿宋" w:eastAsia="仿宋" w:cs="仿宋"/>
          <w:i w:val="0"/>
          <w:strike w:val="0"/>
          <w:color w:val="000000"/>
          <w:sz w:val="22"/>
          <w:u w:val="none"/>
        </w:rPr>
        <w:t>以上资料原件的真实性和有效性由各学院推免工作小组和相关部门负责审核，所有提交的材料复印件均需由相关审核单位负责人签字并加盖部门公章。</w:t>
      </w:r>
    </w:p>
    <w:p>
      <w:pPr>
        <w:snapToGrid w:val="1"/>
        <w:spacing w:line="240"/>
        <w:ind/>
        <w:rPr>
          <w:sz w:val="22"/>
        </w:rPr>
      </w:pPr>
      <w:r>
        <w:rPr>
          <w:rFonts w:ascii="仿宋" w:hAnsi="仿宋" w:eastAsia="仿宋" w:cs="仿宋"/>
          <w:i w:val="0"/>
          <w:strike w:val="0"/>
          <w:color w:val="000000"/>
          <w:sz w:val="22"/>
          <w:u w:val="none"/>
        </w:rPr>
        <w:t>9月18日，推免生按照教育部规定的时间通过教育部推免服务系统注册相关信息。</w:t>
      </w:r>
    </w:p>
    <w:p>
      <w:pPr>
        <w:snapToGrid w:val="1"/>
        <w:spacing w:line="240"/>
        <w:ind/>
        <w:rPr>
          <w:sz w:val="22"/>
        </w:rPr>
      </w:pPr>
      <w:r>
        <w:rPr>
          <w:rFonts w:ascii="仿宋" w:hAnsi="仿宋" w:eastAsia="仿宋" w:cs="仿宋"/>
          <w:i w:val="0"/>
          <w:strike w:val="0"/>
          <w:color w:val="000000"/>
          <w:sz w:val="22"/>
          <w:u w:val="none"/>
        </w:rPr>
        <w:t>9月20日前，对我校获得推免生资格的学生名单进行公示7天。</w:t>
      </w:r>
    </w:p>
    <w:p>
      <w:pPr>
        <w:snapToGrid w:val="1"/>
        <w:spacing w:line="240"/>
        <w:ind/>
        <w:rPr>
          <w:sz w:val="22"/>
        </w:rPr>
      </w:pPr>
      <w:r>
        <w:rPr>
          <w:rFonts w:ascii="黑体" w:hAnsi="黑体" w:eastAsia="黑体" w:cs="黑体"/>
          <w:i w:val="0"/>
          <w:strike w:val="0"/>
          <w:color w:val="000000"/>
          <w:sz w:val="22"/>
          <w:u w:val="none"/>
        </w:rPr>
        <w:t>四、接收和预录取</w:t>
      </w:r>
    </w:p>
    <w:p>
      <w:pPr>
        <w:snapToGrid w:val="1"/>
        <w:spacing w:line="240"/>
        <w:ind/>
        <w:rPr>
          <w:sz w:val="22"/>
        </w:rPr>
      </w:pPr>
      <w:r>
        <w:rPr>
          <w:rFonts w:ascii="楷体" w:hAnsi="楷体" w:eastAsia="楷体" w:cs="楷体"/>
          <w:b w:val="1"/>
          <w:i w:val="0"/>
          <w:strike w:val="0"/>
          <w:color w:val="000000"/>
          <w:sz w:val="22"/>
          <w:u w:val="none"/>
        </w:rPr>
        <w:t>（一）接收指标分配</w:t>
      </w:r>
    </w:p>
    <w:p>
      <w:pPr>
        <w:snapToGrid w:val="1"/>
        <w:spacing w:line="240"/>
        <w:ind/>
        <w:rPr>
          <w:sz w:val="22"/>
        </w:rPr>
      </w:pPr>
      <w:r>
        <w:rPr>
          <w:rFonts w:ascii="仿宋" w:hAnsi="仿宋" w:eastAsia="仿宋" w:cs="仿宋"/>
          <w:i w:val="0"/>
          <w:strike w:val="0"/>
          <w:color w:val="000000"/>
          <w:sz w:val="22"/>
          <w:u w:val="none"/>
        </w:rPr>
        <w:t>我校各硕士点招生专业（报考专业有毕业年限要求的除外）均接收硕士研究生推免，推免计划纳入2026年硕士研究生招生总计划。</w:t>
      </w:r>
    </w:p>
    <w:p>
      <w:pPr>
        <w:snapToGrid w:val="1"/>
        <w:spacing w:line="240"/>
        <w:ind/>
        <w:rPr>
          <w:sz w:val="22"/>
        </w:rPr>
      </w:pPr>
      <w:r>
        <w:rPr>
          <w:rFonts w:ascii="楷体" w:hAnsi="楷体" w:eastAsia="楷体" w:cs="楷体"/>
          <w:b w:val="1"/>
          <w:i w:val="0"/>
          <w:strike w:val="0"/>
          <w:color w:val="000000"/>
          <w:sz w:val="22"/>
          <w:u w:val="none"/>
        </w:rPr>
        <w:t>（二）接收范围</w:t>
      </w:r>
    </w:p>
    <w:p>
      <w:pPr>
        <w:snapToGrid w:val="1"/>
        <w:spacing w:line="240"/>
        <w:ind/>
        <w:rPr>
          <w:sz w:val="22"/>
        </w:rPr>
      </w:pPr>
      <w:r>
        <w:rPr>
          <w:rFonts w:ascii="仿宋" w:hAnsi="仿宋" w:eastAsia="仿宋" w:cs="仿宋"/>
          <w:i w:val="0"/>
          <w:strike w:val="0"/>
          <w:color w:val="000000"/>
          <w:sz w:val="22"/>
          <w:u w:val="none"/>
        </w:rPr>
        <w:t>我校和外校获得推免生资格并报考我校的学生。</w:t>
      </w:r>
    </w:p>
    <w:p>
      <w:pPr>
        <w:snapToGrid w:val="1"/>
        <w:spacing w:line="240"/>
        <w:ind/>
        <w:rPr>
          <w:sz w:val="22"/>
        </w:rPr>
      </w:pPr>
      <w:r>
        <w:rPr>
          <w:rFonts w:ascii="楷体" w:hAnsi="楷体" w:eastAsia="楷体" w:cs="楷体"/>
          <w:b w:val="1"/>
          <w:i w:val="0"/>
          <w:strike w:val="0"/>
          <w:color w:val="000000"/>
          <w:sz w:val="22"/>
          <w:u w:val="none"/>
        </w:rPr>
        <w:t>（三）接收条件</w:t>
      </w:r>
    </w:p>
    <w:p>
      <w:pPr>
        <w:snapToGrid w:val="1"/>
        <w:spacing w:line="240"/>
        <w:ind/>
        <w:rPr>
          <w:sz w:val="22"/>
        </w:rPr>
      </w:pPr>
      <w:r>
        <w:rPr>
          <w:rFonts w:ascii="仿宋" w:hAnsi="仿宋" w:eastAsia="仿宋" w:cs="仿宋"/>
          <w:i w:val="0"/>
          <w:strike w:val="0"/>
          <w:color w:val="000000"/>
          <w:sz w:val="22"/>
          <w:u w:val="none"/>
        </w:rPr>
        <w:t>1.拥护中国共产党领导，具有正确的政治方向，热爱祖国，愿意为社会主义现代化建设服务，遵纪守法，品行端正。身体和心理健康状况符合有关规定。</w:t>
      </w:r>
    </w:p>
    <w:p>
      <w:pPr>
        <w:snapToGrid w:val="1"/>
        <w:spacing w:line="240"/>
        <w:ind/>
        <w:rPr>
          <w:sz w:val="22"/>
        </w:rPr>
      </w:pPr>
      <w:r>
        <w:rPr>
          <w:rFonts w:ascii="仿宋" w:hAnsi="仿宋" w:eastAsia="仿宋" w:cs="仿宋"/>
          <w:i w:val="0"/>
          <w:strike w:val="0"/>
          <w:color w:val="000000"/>
          <w:sz w:val="22"/>
          <w:u w:val="none"/>
        </w:rPr>
        <w:t>2.校内外已获得推荐免试资格的优秀本科毕业生。学校不接收需要保留入学资格的推免生。</w:t>
      </w:r>
    </w:p>
    <w:p>
      <w:pPr>
        <w:snapToGrid w:val="1"/>
        <w:spacing w:line="240"/>
        <w:ind/>
        <w:rPr>
          <w:sz w:val="22"/>
        </w:rPr>
      </w:pPr>
      <w:r>
        <w:rPr>
          <w:rFonts w:ascii="仿宋" w:hAnsi="仿宋" w:eastAsia="仿宋" w:cs="仿宋"/>
          <w:i w:val="0"/>
          <w:strike w:val="0"/>
          <w:color w:val="000000"/>
          <w:sz w:val="22"/>
          <w:u w:val="none"/>
        </w:rPr>
        <w:t>3.本科期间学习成绩优良，基础扎实，研究兴趣浓厚，具有较强的科研创新精神、创新意识和创新能力。</w:t>
      </w:r>
    </w:p>
    <w:p>
      <w:pPr>
        <w:snapToGrid w:val="1"/>
        <w:spacing w:line="240"/>
        <w:ind/>
        <w:rPr>
          <w:sz w:val="22"/>
        </w:rPr>
      </w:pPr>
      <w:r>
        <w:rPr>
          <w:rFonts w:ascii="仿宋" w:hAnsi="仿宋" w:eastAsia="仿宋" w:cs="仿宋"/>
          <w:i w:val="0"/>
          <w:strike w:val="0"/>
          <w:color w:val="000000"/>
          <w:sz w:val="22"/>
          <w:u w:val="none"/>
        </w:rPr>
        <w:t>4.诚实守信，学风端正，无考试违纪、作弊，无剽窃他人学术成果以及其它违法违纪受处分记录。</w:t>
      </w:r>
    </w:p>
    <w:p>
      <w:pPr>
        <w:snapToGrid w:val="1"/>
        <w:spacing w:line="240"/>
        <w:ind/>
        <w:rPr>
          <w:sz w:val="22"/>
        </w:rPr>
      </w:pPr>
      <w:r>
        <w:rPr>
          <w:rFonts w:ascii="仿宋" w:hAnsi="仿宋" w:eastAsia="仿宋" w:cs="仿宋"/>
          <w:i w:val="0"/>
          <w:strike w:val="0"/>
          <w:color w:val="000000"/>
          <w:sz w:val="22"/>
          <w:u w:val="none"/>
        </w:rPr>
        <w:t>5.通过我校组织的身份确认、复试等；健康状况达到国家规定的健康标准。</w:t>
      </w:r>
    </w:p>
    <w:p>
      <w:pPr>
        <w:snapToGrid w:val="1"/>
        <w:spacing w:line="240"/>
        <w:ind/>
        <w:rPr>
          <w:sz w:val="22"/>
        </w:rPr>
      </w:pPr>
      <w:r>
        <w:rPr>
          <w:rFonts w:ascii="仿宋" w:hAnsi="仿宋" w:eastAsia="仿宋" w:cs="仿宋"/>
          <w:i w:val="0"/>
          <w:strike w:val="0"/>
          <w:color w:val="000000"/>
          <w:sz w:val="22"/>
          <w:u w:val="none"/>
        </w:rPr>
        <w:t>6.按时通过“推免服务系统”报考志愿，并提交相关材料。</w:t>
      </w:r>
    </w:p>
    <w:p>
      <w:pPr>
        <w:snapToGrid w:val="1"/>
        <w:spacing w:line="240"/>
        <w:ind/>
        <w:rPr>
          <w:sz w:val="22"/>
        </w:rPr>
      </w:pPr>
      <w:r>
        <w:rPr>
          <w:rFonts w:ascii="楷体" w:hAnsi="楷体" w:eastAsia="楷体" w:cs="楷体"/>
          <w:b w:val="1"/>
          <w:i w:val="0"/>
          <w:strike w:val="0"/>
          <w:color w:val="000000"/>
          <w:sz w:val="22"/>
          <w:u w:val="none"/>
        </w:rPr>
        <w:t>（四）接收程序</w:t>
      </w:r>
    </w:p>
    <w:p>
      <w:pPr>
        <w:snapToGrid w:val="1"/>
        <w:spacing w:line="240"/>
        <w:ind/>
        <w:rPr>
          <w:sz w:val="22"/>
        </w:rPr>
      </w:pPr>
      <w:r>
        <w:rPr>
          <w:rFonts w:ascii="仿宋" w:hAnsi="仿宋" w:eastAsia="仿宋" w:cs="仿宋"/>
          <w:i w:val="0"/>
          <w:strike w:val="0"/>
          <w:color w:val="000000"/>
          <w:sz w:val="22"/>
          <w:u w:val="none"/>
        </w:rPr>
        <w:t>1.获得推免生资格报考我校硕士研究生的学生，在规定时间内通过“推免服务系统”填写报考志愿，并向我校研究生院提交相关材料。</w:t>
      </w:r>
    </w:p>
    <w:p>
      <w:pPr>
        <w:snapToGrid w:val="1"/>
        <w:spacing w:line="240"/>
        <w:ind/>
        <w:rPr>
          <w:sz w:val="22"/>
        </w:rPr>
      </w:pPr>
      <w:r>
        <w:rPr>
          <w:rFonts w:ascii="仿宋" w:hAnsi="仿宋" w:eastAsia="仿宋" w:cs="仿宋"/>
          <w:i w:val="0"/>
          <w:strike w:val="0"/>
          <w:color w:val="000000"/>
          <w:sz w:val="22"/>
          <w:u w:val="none"/>
        </w:rPr>
        <w:t>2.研究生院对报考者的材料进行审查，确定复试名单，在规定时间内，通过“推免服务系统”向考生发复试通知。</w:t>
      </w:r>
    </w:p>
    <w:p>
      <w:pPr>
        <w:snapToGrid w:val="1"/>
        <w:spacing w:line="240"/>
        <w:ind/>
        <w:rPr>
          <w:sz w:val="22"/>
        </w:rPr>
      </w:pPr>
      <w:r>
        <w:rPr>
          <w:rFonts w:ascii="仿宋" w:hAnsi="仿宋" w:eastAsia="仿宋" w:cs="仿宋"/>
          <w:i w:val="0"/>
          <w:strike w:val="0"/>
          <w:color w:val="000000"/>
          <w:sz w:val="22"/>
          <w:u w:val="none"/>
        </w:rPr>
        <w:t>3.取得复试通知的考生按要求参加我校组织的复试。</w:t>
      </w:r>
    </w:p>
    <w:p>
      <w:pPr>
        <w:snapToGrid w:val="1"/>
        <w:spacing w:line="240"/>
        <w:ind/>
        <w:rPr>
          <w:sz w:val="22"/>
        </w:rPr>
      </w:pPr>
      <w:r>
        <w:rPr>
          <w:rFonts w:ascii="楷体" w:hAnsi="楷体" w:eastAsia="楷体" w:cs="楷体"/>
          <w:b w:val="1"/>
          <w:i w:val="0"/>
          <w:strike w:val="0"/>
          <w:color w:val="000000"/>
          <w:sz w:val="22"/>
          <w:u w:val="none"/>
        </w:rPr>
        <w:t>（五）接收时间安排与工作内容</w:t>
      </w:r>
    </w:p>
    <w:p>
      <w:pPr>
        <w:snapToGrid w:val="1"/>
        <w:spacing w:line="240"/>
        <w:ind/>
        <w:rPr>
          <w:sz w:val="22"/>
        </w:rPr>
      </w:pPr>
      <w:r>
        <w:rPr>
          <w:rFonts w:ascii="仿宋" w:hAnsi="仿宋" w:eastAsia="仿宋" w:cs="仿宋"/>
          <w:i w:val="0"/>
          <w:strike w:val="0"/>
          <w:color w:val="000000"/>
          <w:sz w:val="22"/>
          <w:u w:val="none"/>
        </w:rPr>
        <w:t>1.9月22日-9月23日，推免生通过“推免服务系统”填写报考志愿，研究生院接收并审核报考我校的推免生相关材料，并通过“推免服务系统”给考生发复试通知，考生在此期间通过系统确认复试。</w:t>
      </w:r>
    </w:p>
    <w:p>
      <w:pPr>
        <w:snapToGrid w:val="1"/>
        <w:spacing w:line="240"/>
        <w:ind/>
        <w:rPr>
          <w:sz w:val="22"/>
        </w:rPr>
      </w:pPr>
      <w:r>
        <w:rPr>
          <w:rFonts w:ascii="仿宋" w:hAnsi="仿宋" w:eastAsia="仿宋" w:cs="仿宋"/>
          <w:i w:val="0"/>
          <w:strike w:val="0"/>
          <w:color w:val="000000"/>
          <w:sz w:val="22"/>
          <w:u w:val="none"/>
        </w:rPr>
        <w:t>2.10月11日-10月16日，研究生院及各相关研究生培养单位组织报考我校的推免生（包括校内和校外）进行复试。</w:t>
      </w:r>
    </w:p>
    <w:p>
      <w:pPr>
        <w:snapToGrid w:val="1"/>
        <w:spacing w:line="240"/>
        <w:ind/>
        <w:rPr>
          <w:sz w:val="22"/>
        </w:rPr>
      </w:pPr>
      <w:r>
        <w:rPr>
          <w:rFonts w:ascii="仿宋" w:hAnsi="仿宋" w:eastAsia="仿宋" w:cs="仿宋"/>
          <w:i w:val="0"/>
          <w:strike w:val="0"/>
          <w:color w:val="000000"/>
          <w:sz w:val="22"/>
          <w:u w:val="none"/>
        </w:rPr>
        <w:t>3.10月18日，学校推免工作领导组审定我校2026年拟接收推免生名单，并向校党委汇报。</w:t>
      </w:r>
    </w:p>
    <w:p>
      <w:pPr>
        <w:snapToGrid w:val="1"/>
        <w:spacing w:line="240"/>
        <w:ind/>
        <w:rPr>
          <w:sz w:val="22"/>
        </w:rPr>
      </w:pPr>
      <w:r>
        <w:rPr>
          <w:rFonts w:ascii="仿宋" w:hAnsi="仿宋" w:eastAsia="仿宋" w:cs="仿宋"/>
          <w:i w:val="0"/>
          <w:strike w:val="0"/>
          <w:color w:val="000000"/>
          <w:sz w:val="22"/>
          <w:u w:val="none"/>
        </w:rPr>
        <w:t>4.10月19日，研究生院公示我校2026年拟接收推免生名单，并通过“推免服务系统”给拟录取的推免生发放待录取通知，考生在此期间通过系统确认待录取。</w:t>
      </w:r>
    </w:p>
    <w:p>
      <w:pPr>
        <w:snapToGrid w:val="1"/>
        <w:spacing w:line="240"/>
        <w:ind/>
        <w:rPr>
          <w:sz w:val="22"/>
        </w:rPr>
      </w:pPr>
      <w:r>
        <w:rPr>
          <w:rFonts w:ascii="楷体" w:hAnsi="楷体" w:eastAsia="楷体" w:cs="楷体"/>
          <w:b w:val="1"/>
          <w:i w:val="0"/>
          <w:strike w:val="0"/>
          <w:color w:val="000000"/>
          <w:sz w:val="22"/>
          <w:u w:val="none"/>
        </w:rPr>
        <w:t>（六）接收复试</w:t>
      </w:r>
    </w:p>
    <w:p>
      <w:pPr>
        <w:snapToGrid w:val="1"/>
        <w:spacing w:line="240"/>
        <w:ind/>
        <w:rPr>
          <w:sz w:val="22"/>
        </w:rPr>
      </w:pPr>
      <w:r>
        <w:rPr>
          <w:rFonts w:ascii="仿宋" w:hAnsi="仿宋" w:eastAsia="仿宋" w:cs="仿宋"/>
          <w:i w:val="0"/>
          <w:strike w:val="0"/>
          <w:color w:val="000000"/>
          <w:sz w:val="22"/>
          <w:u w:val="none"/>
        </w:rPr>
        <w:t>具体复试安排根据我校接收推免生复试工作实施细则进行。</w:t>
      </w:r>
    </w:p>
    <w:p>
      <w:pPr>
        <w:snapToGrid w:val="1"/>
        <w:spacing w:line="240"/>
        <w:ind/>
        <w:rPr>
          <w:sz w:val="22"/>
        </w:rPr>
      </w:pPr>
      <w:r>
        <w:rPr>
          <w:rFonts w:ascii="楷体" w:hAnsi="楷体" w:eastAsia="楷体" w:cs="楷体"/>
          <w:b w:val="1"/>
          <w:i w:val="0"/>
          <w:strike w:val="0"/>
          <w:color w:val="000000"/>
          <w:sz w:val="22"/>
          <w:u w:val="none"/>
        </w:rPr>
        <w:t>（七）预录取</w:t>
      </w:r>
    </w:p>
    <w:p>
      <w:pPr>
        <w:snapToGrid w:val="1"/>
        <w:spacing w:line="240"/>
        <w:ind/>
        <w:rPr>
          <w:sz w:val="22"/>
        </w:rPr>
      </w:pPr>
      <w:r>
        <w:rPr>
          <w:rFonts w:ascii="仿宋" w:hAnsi="仿宋" w:eastAsia="仿宋" w:cs="仿宋"/>
          <w:i w:val="0"/>
          <w:strike w:val="0"/>
          <w:color w:val="000000"/>
          <w:sz w:val="22"/>
          <w:u w:val="none"/>
        </w:rPr>
        <w:t>复试结束后，对考生的复试总成绩进行排名，按照本专业拟接收推免生的招生计划从高分到低分进行预录取，录满为止。</w:t>
      </w:r>
    </w:p>
    <w:p>
      <w:pPr>
        <w:snapToGrid w:val="1"/>
        <w:spacing w:line="240"/>
        <w:ind/>
        <w:rPr>
          <w:sz w:val="22"/>
        </w:rPr>
      </w:pPr>
      <w:r>
        <w:rPr>
          <w:rFonts w:ascii="仿宋" w:hAnsi="仿宋" w:eastAsia="仿宋" w:cs="仿宋"/>
          <w:i w:val="0"/>
          <w:strike w:val="0"/>
          <w:color w:val="000000"/>
          <w:sz w:val="22"/>
          <w:u w:val="none"/>
        </w:rPr>
        <w:t>推免硕士生的复试总成绩计算公式:</w:t>
      </w:r>
    </w:p>
    <w:p>
      <w:pPr>
        <w:snapToGrid w:val="1"/>
        <w:spacing w:line="240"/>
        <w:ind/>
        <w:rPr>
          <w:sz w:val="22"/>
        </w:rPr>
      </w:pPr>
      <w:r>
        <w:rPr>
          <w:rFonts w:ascii="仿宋" w:hAnsi="仿宋" w:eastAsia="仿宋" w:cs="仿宋"/>
          <w:i w:val="0"/>
          <w:strike w:val="0"/>
          <w:color w:val="000000"/>
          <w:sz w:val="22"/>
          <w:u w:val="none"/>
        </w:rPr>
        <w:t>复试总成绩=英语（英语专业为第二外国语）口试成绩+专业面试成绩</w:t>
      </w:r>
    </w:p>
    <w:p>
      <w:pPr>
        <w:snapToGrid w:val="1"/>
        <w:spacing w:line="240"/>
        <w:ind/>
        <w:rPr>
          <w:sz w:val="22"/>
        </w:rPr>
      </w:pPr>
      <w:r>
        <w:rPr>
          <w:rFonts w:ascii="仿宋" w:hAnsi="仿宋" w:eastAsia="仿宋" w:cs="仿宋"/>
          <w:i w:val="0"/>
          <w:strike w:val="0"/>
          <w:color w:val="000000"/>
          <w:sz w:val="22"/>
          <w:u w:val="none"/>
        </w:rPr>
        <w:t>研究生院将复试通过的拟接收考生名单报学校推免工作领导组审定，并通过“推免服务系统”向拟录取考生发放待录取通知，并将拟录取名单公示7天。</w:t>
      </w:r>
    </w:p>
    <w:p>
      <w:pPr>
        <w:snapToGrid w:val="1"/>
        <w:spacing w:line="240"/>
        <w:ind/>
        <w:rPr>
          <w:sz w:val="22"/>
        </w:rPr>
      </w:pPr>
      <w:r>
        <w:rPr>
          <w:rFonts w:ascii="仿宋" w:hAnsi="仿宋" w:eastAsia="仿宋" w:cs="仿宋"/>
          <w:i w:val="0"/>
          <w:strike w:val="0"/>
          <w:color w:val="000000"/>
          <w:sz w:val="22"/>
          <w:u w:val="none"/>
        </w:rPr>
        <w:t>有下列情况之一者不予录取：</w:t>
      </w:r>
    </w:p>
    <w:p>
      <w:pPr>
        <w:snapToGrid w:val="1"/>
        <w:spacing w:line="240"/>
        <w:ind/>
        <w:rPr>
          <w:sz w:val="22"/>
        </w:rPr>
      </w:pPr>
      <w:r>
        <w:rPr>
          <w:rFonts w:ascii="仿宋" w:hAnsi="仿宋" w:eastAsia="仿宋" w:cs="仿宋"/>
          <w:i w:val="0"/>
          <w:strike w:val="0"/>
          <w:color w:val="000000"/>
          <w:sz w:val="22"/>
          <w:u w:val="none"/>
        </w:rPr>
        <w:t>1.未在规定时间内通过“推免服务系统”填报志愿并提交相关材料者。</w:t>
      </w:r>
    </w:p>
    <w:p>
      <w:pPr>
        <w:snapToGrid w:val="1"/>
        <w:spacing w:line="240"/>
        <w:ind/>
        <w:rPr>
          <w:sz w:val="22"/>
        </w:rPr>
      </w:pPr>
      <w:r>
        <w:rPr>
          <w:rFonts w:ascii="仿宋" w:hAnsi="仿宋" w:eastAsia="仿宋" w:cs="仿宋"/>
          <w:i w:val="0"/>
          <w:strike w:val="0"/>
          <w:color w:val="000000"/>
          <w:sz w:val="22"/>
          <w:u w:val="none"/>
        </w:rPr>
        <w:t>2.未参加推免生复试考核或复试成绩不合格的申请者（口试或面试成绩低于60分）。</w:t>
      </w:r>
    </w:p>
    <w:p>
      <w:pPr>
        <w:snapToGrid w:val="1"/>
        <w:spacing w:line="240"/>
        <w:ind/>
        <w:rPr>
          <w:sz w:val="22"/>
        </w:rPr>
      </w:pPr>
      <w:r>
        <w:rPr>
          <w:rFonts w:ascii="仿宋" w:hAnsi="仿宋" w:eastAsia="仿宋" w:cs="仿宋"/>
          <w:i w:val="0"/>
          <w:strike w:val="0"/>
          <w:color w:val="000000"/>
          <w:sz w:val="22"/>
          <w:u w:val="none"/>
        </w:rPr>
        <w:t>3.不能按时毕业，入学前未取得学士学位或本科毕业证书或受处分者。</w:t>
      </w:r>
    </w:p>
    <w:p>
      <w:pPr>
        <w:snapToGrid w:val="1"/>
        <w:spacing w:line="240"/>
        <w:ind/>
        <w:rPr>
          <w:sz w:val="22"/>
        </w:rPr>
      </w:pPr>
      <w:r>
        <w:rPr>
          <w:rFonts w:ascii="仿宋" w:hAnsi="仿宋" w:eastAsia="仿宋" w:cs="仿宋"/>
          <w:i w:val="0"/>
          <w:strike w:val="0"/>
          <w:color w:val="000000"/>
          <w:sz w:val="22"/>
          <w:u w:val="none"/>
        </w:rPr>
        <w:t>4.思想品德审查不合格、体检不合格及提交材料内容不真实及弄虚作假者。</w:t>
      </w:r>
    </w:p>
    <w:p>
      <w:pPr>
        <w:snapToGrid w:val="1"/>
        <w:spacing w:line="240"/>
        <w:ind/>
        <w:rPr>
          <w:sz w:val="22"/>
        </w:rPr>
      </w:pPr>
      <w:r>
        <w:rPr>
          <w:rFonts w:ascii="仿宋" w:hAnsi="仿宋" w:eastAsia="仿宋" w:cs="仿宋"/>
          <w:i w:val="0"/>
          <w:strike w:val="0"/>
          <w:color w:val="000000"/>
          <w:sz w:val="22"/>
          <w:u w:val="none"/>
        </w:rPr>
        <w:t>5.已确定拟接收的推免生，如在后续的本科阶段学习过程中有学习成绩不及格、毕业设计（论文）或实习成绩良好以下、报名参加当年全国研究生入学考试或其它与推免工作相冲突的考试，身体及思想政治素质和品德考核不符合录取要求及发现有违法乱纪等行为者。</w:t>
      </w:r>
    </w:p>
    <w:p>
      <w:pPr>
        <w:snapToGrid w:val="1"/>
        <w:spacing w:line="240"/>
        <w:ind/>
        <w:rPr>
          <w:sz w:val="22"/>
        </w:rPr>
      </w:pPr>
      <w:r>
        <w:rPr>
          <w:rFonts w:ascii="楷体" w:hAnsi="楷体" w:eastAsia="楷体" w:cs="楷体"/>
          <w:b w:val="1"/>
          <w:i w:val="0"/>
          <w:strike w:val="0"/>
          <w:color w:val="000000"/>
          <w:sz w:val="22"/>
          <w:u w:val="none"/>
        </w:rPr>
        <w:t>（八）有关要求</w:t>
      </w:r>
    </w:p>
    <w:p>
      <w:pPr>
        <w:snapToGrid w:val="1"/>
        <w:spacing w:line="240"/>
        <w:ind/>
        <w:rPr>
          <w:sz w:val="22"/>
        </w:rPr>
      </w:pPr>
      <w:r>
        <w:rPr>
          <w:rFonts w:ascii="仿宋" w:hAnsi="仿宋" w:eastAsia="仿宋" w:cs="仿宋"/>
          <w:i w:val="0"/>
          <w:strike w:val="0"/>
          <w:color w:val="000000"/>
          <w:sz w:val="22"/>
          <w:u w:val="none"/>
        </w:rPr>
        <w:t>1.各相关学院须将推免工作时间安排及相关内容及时通知给每一位应届本科毕业生，并做好宣传解读，使学生充分了解有关政策、时间安排和程序，确保推免工作平稳有序。</w:t>
      </w:r>
    </w:p>
    <w:p>
      <w:pPr>
        <w:snapToGrid w:val="1"/>
        <w:spacing w:line="240"/>
        <w:ind/>
        <w:rPr>
          <w:sz w:val="22"/>
        </w:rPr>
      </w:pPr>
      <w:r>
        <w:rPr>
          <w:rFonts w:ascii="仿宋" w:hAnsi="仿宋" w:eastAsia="仿宋" w:cs="仿宋"/>
          <w:i w:val="0"/>
          <w:strike w:val="0"/>
          <w:color w:val="000000"/>
          <w:sz w:val="22"/>
          <w:u w:val="none"/>
        </w:rPr>
        <w:t>2.各相关学院要在推荐和接收工作中，坚持德智体美劳全面衡量，以德为先，思想品德考核不合格者不予推荐和接收。加强对考生科研创新能力和专业素质能力的考核，注重学生本科阶段学习情况的过程性评价。要严格执行程序规范，切实提高推免工作质量；要加强推免工作监督管理，保障学生自主报考权利，严肃查处学术不端行为，杜绝弄虚作假等违规违纪行为。</w:t>
      </w:r>
    </w:p>
    <w:p>
      <w:pPr>
        <w:snapToGrid w:val="1"/>
        <w:spacing w:line="240"/>
        <w:ind/>
        <w:jc w:val="left"/>
        <w:rPr>
          <w:sz w:val="22"/>
        </w:rPr>
      </w:pPr>
      <w:r>
        <w:rPr>
          <w:rFonts w:ascii="仿宋" w:hAnsi="仿宋" w:eastAsia="仿宋" w:cs="仿宋"/>
          <w:i w:val="0"/>
          <w:strike w:val="0"/>
          <w:color w:val="000000"/>
          <w:sz w:val="22"/>
          <w:u w:val="none"/>
        </w:rPr>
        <w:t>3.严格落实回避制度。与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依规依纪严肃处理；对未按规定报备声明回避关系且影响推免过程和结果公平公正的学生，学校取消其推免资格。</w:t>
      </w:r>
    </w:p>
    <w:p>
      <w:pPr>
        <w:snapToGrid w:val="1"/>
        <w:spacing w:line="240"/>
        <w:ind/>
        <w:rPr>
          <w:sz w:val="22"/>
        </w:rPr>
      </w:pPr>
      <w:r>
        <w:rPr>
          <w:rFonts w:ascii="仿宋" w:hAnsi="仿宋" w:eastAsia="仿宋" w:cs="仿宋"/>
          <w:i w:val="0"/>
          <w:strike w:val="0"/>
          <w:color w:val="000000"/>
          <w:sz w:val="22"/>
          <w:u w:val="none"/>
        </w:rPr>
        <w:t>4.充分保障学生申诉渠道畅通，坚决纠正工作失误。学校纪委和研究生院在规定时限内接受推免生的各类投诉、申诉，对投诉、申诉问题经调查属实的，由学校推免工作领导组责成有关部门进行复议。复议结果要及时反馈给投诉人或申诉人。</w:t>
      </w:r>
    </w:p>
    <w:p>
      <w:pPr>
        <w:snapToGrid w:val="1"/>
        <w:spacing w:line="240"/>
        <w:ind/>
        <w:rPr>
          <w:sz w:val="22"/>
        </w:rPr>
      </w:pPr>
      <w:r>
        <w:rPr>
          <w:rFonts w:ascii="仿宋" w:hAnsi="仿宋" w:eastAsia="仿宋" w:cs="仿宋"/>
          <w:i w:val="0"/>
          <w:strike w:val="0"/>
          <w:color w:val="000000"/>
          <w:sz w:val="22"/>
          <w:u w:val="none"/>
        </w:rPr>
        <w:t>5.严格落实信息公开，主动接受社会监督。对于应公开的有关信息，要严格按照规定准确、规范、充分、及时予以公开，并按照“谁公开、谁把关”“谁公开、谁解释”的原则，做好对所公开信息的审核把关和解释说明工作。</w:t>
      </w:r>
    </w:p>
    <w:p>
      <w:pPr>
        <w:snapToGrid w:val="1"/>
        <w:spacing w:line="240"/>
        <w:ind/>
        <w:rPr>
          <w:sz w:val="22"/>
        </w:rPr>
      </w:pPr>
      <w:r>
        <w:rPr>
          <w:rFonts w:ascii="仿宋" w:hAnsi="仿宋" w:eastAsia="仿宋" w:cs="仿宋"/>
          <w:i w:val="0"/>
          <w:strike w:val="0"/>
          <w:color w:val="000000"/>
          <w:sz w:val="22"/>
          <w:u w:val="none"/>
        </w:rPr>
        <w:t>咨询电话（传真）：0351—7666904</w:t>
      </w:r>
    </w:p>
    <w:p>
      <w:pPr>
        <w:snapToGrid w:val="1"/>
        <w:spacing w:line="240"/>
        <w:ind/>
        <w:rPr>
          <w:sz w:val="22"/>
        </w:rPr>
      </w:pPr>
      <w:r>
        <w:rPr>
          <w:rFonts w:ascii="仿宋" w:hAnsi="仿宋" w:eastAsia="仿宋" w:cs="仿宋"/>
          <w:i w:val="0"/>
          <w:strike w:val="0"/>
          <w:color w:val="000000"/>
          <w:sz w:val="22"/>
          <w:u w:val="none"/>
        </w:rPr>
        <w:t>电子邮箱：yzb@sxufe.edu.cn</w:t>
      </w:r>
    </w:p>
    <w:p>
      <w:pPr>
        <w:snapToGrid w:val="1"/>
        <w:spacing w:line="240"/>
        <w:ind/>
        <w:rPr>
          <w:sz w:val="22"/>
        </w:rPr>
      </w:pPr>
    </w:p>
    <w:p>
      <w:pPr>
        <w:snapToGrid w:val="1"/>
        <w:spacing w:line="240"/>
        <w:ind/>
        <w:rPr>
          <w:sz w:val="22"/>
        </w:rPr>
      </w:pPr>
      <w:r>
        <w:rPr>
          <w:i w:val="0"/>
          <w:strike w:val="0"/>
          <w:color w:val="000000"/>
          <w:sz w:val="22"/>
          <w:u w:val="none"/>
        </w:rPr>
        <w:t>申诉渠道</w:t>
      </w:r>
    </w:p>
    <w:p>
      <w:pPr>
        <w:pStyle w:val="000001"/>
        <w:rPr/>
      </w:pPr>
      <w:r>
        <w:rPr/>
        <w:t>山西财经大学</w:t>
      </w:r>
    </w:p>
    <w:p>
      <w:pPr>
        <w:snapToGrid w:val="1"/>
        <w:spacing w:line="240"/>
        <w:ind/>
        <w:rPr>
          <w:sz w:val="22"/>
        </w:rPr>
      </w:pPr>
      <w:r>
        <w:rPr>
          <w:i w:val="0"/>
          <w:strike w:val="0"/>
          <w:color w:val="000000"/>
          <w:sz w:val="22"/>
          <w:u w:val="none"/>
        </w:rPr>
        <w:t>地址：太原市坞城路140号</w:t>
      </w:r>
    </w:p>
    <w:p>
      <w:pPr>
        <w:snapToGrid w:val="1"/>
        <w:spacing w:line="240"/>
        <w:ind/>
        <w:rPr>
          <w:sz w:val="22"/>
        </w:rPr>
      </w:pPr>
      <w:r>
        <w:rPr>
          <w:i w:val="0"/>
          <w:strike w:val="0"/>
          <w:color w:val="000000"/>
          <w:sz w:val="22"/>
          <w:u w:val="none"/>
        </w:rPr>
        <w:t>邮编：030006</w:t>
      </w:r>
    </w:p>
    <w:p>
      <w:pPr>
        <w:snapToGrid w:val="1"/>
        <w:spacing w:line="240"/>
        <w:ind/>
        <w:rPr>
          <w:sz w:val="22"/>
        </w:rPr>
      </w:pPr>
      <w:r>
        <w:rPr>
          <w:i w:val="0"/>
          <w:strike w:val="0"/>
          <w:color w:val="000000"/>
          <w:sz w:val="22"/>
          <w:u w:val="none"/>
        </w:rPr>
        <w:t>邮箱：yzb@sxufe.edu.cn</w:t>
      </w:r>
    </w:p>
    <w:p>
      <w:pPr>
        <w:snapToGrid w:val="1"/>
        <w:spacing w:line="240"/>
        <w:ind/>
        <w:rPr>
          <w:sz w:val="22"/>
        </w:rPr>
      </w:pPr>
      <w:r>
        <w:rPr>
          <w:i w:val="0"/>
          <w:strike w:val="0"/>
          <w:color w:val="000000"/>
          <w:sz w:val="22"/>
          <w:u w:val="none"/>
        </w:rPr>
        <w:t>电话：03517666904</w:t>
      </w:r>
    </w:p>
    <w:p>
      <w:pPr>
        <w:snapToGrid w:val="1"/>
        <w:spacing w:line="240"/>
        <w:ind/>
        <w:rPr>
          <w:sz w:val="22"/>
        </w:rPr>
      </w:pPr>
      <w:r>
        <w:rPr>
          <w:i w:val="0"/>
          <w:strike w:val="0"/>
          <w:color w:val="000000"/>
          <w:sz w:val="22"/>
          <w:u w:val="none"/>
        </w:rPr>
        <w:t>传真：03517666904</w:t>
      </w:r>
    </w:p>
    <w:p>
      <w:pPr>
        <w:snapToGrid w:val="1"/>
        <w:spacing w:line="240"/>
        <w:ind/>
        <w:rPr>
          <w:sz w:val="22"/>
        </w:rPr>
      </w:pPr>
      <w:r>
        <w:rPr>
          <w:i w:val="0"/>
          <w:strike w:val="0"/>
          <w:color w:val="000000"/>
          <w:sz w:val="22"/>
          <w:u w:val="none"/>
        </w:rPr>
        <w:t>部门：研究生院招生管理科</w:t>
      </w:r>
    </w:p>
    <w:p>
      <w:pPr>
        <w:pStyle w:val="000001"/>
        <w:rPr/>
      </w:pPr>
      <w:r>
        <w:rPr/>
        <w:t>山西省</w:t>
      </w:r>
    </w:p>
    <w:p>
      <w:pPr>
        <w:snapToGrid w:val="1"/>
        <w:spacing w:line="240"/>
        <w:ind/>
        <w:rPr>
          <w:sz w:val="22"/>
        </w:rPr>
      </w:pPr>
      <w:r>
        <w:rPr>
          <w:i w:val="0"/>
          <w:strike w:val="0"/>
          <w:color w:val="000000"/>
          <w:sz w:val="22"/>
          <w:u w:val="none"/>
        </w:rPr>
        <w:t>地址：暂无</w:t>
      </w:r>
    </w:p>
    <w:p>
      <w:pPr>
        <w:snapToGrid w:val="1"/>
        <w:spacing w:line="240"/>
        <w:ind/>
        <w:rPr>
          <w:sz w:val="22"/>
        </w:rPr>
      </w:pPr>
      <w:r>
        <w:rPr>
          <w:i w:val="0"/>
          <w:strike w:val="0"/>
          <w:color w:val="000000"/>
          <w:sz w:val="22"/>
          <w:u w:val="none"/>
        </w:rPr>
        <w:t>邮编：暂无</w:t>
      </w:r>
    </w:p>
    <w:p>
      <w:pPr>
        <w:snapToGrid w:val="1"/>
        <w:spacing w:line="240"/>
        <w:ind/>
        <w:rPr>
          <w:sz w:val="22"/>
        </w:rPr>
      </w:pPr>
      <w:r>
        <w:rPr>
          <w:i w:val="0"/>
          <w:strike w:val="0"/>
          <w:color w:val="000000"/>
          <w:sz w:val="22"/>
          <w:u w:val="none"/>
        </w:rPr>
        <w:t>邮箱：暂无</w:t>
      </w:r>
    </w:p>
    <w:p>
      <w:pPr>
        <w:snapToGrid w:val="1"/>
        <w:spacing w:line="240"/>
        <w:ind/>
        <w:rPr>
          <w:sz w:val="22"/>
        </w:rPr>
      </w:pPr>
      <w:r>
        <w:rPr>
          <w:i w:val="0"/>
          <w:strike w:val="0"/>
          <w:color w:val="000000"/>
          <w:sz w:val="22"/>
          <w:u w:val="none"/>
        </w:rPr>
        <w:t>电话：暂无</w:t>
      </w:r>
    </w:p>
    <w:p>
      <w:pPr>
        <w:snapToGrid w:val="1"/>
        <w:spacing w:line="240"/>
        <w:ind/>
        <w:rPr>
          <w:sz w:val="22"/>
        </w:rPr>
      </w:pPr>
      <w:r>
        <w:rPr>
          <w:i w:val="0"/>
          <w:strike w:val="0"/>
          <w:color w:val="000000"/>
          <w:sz w:val="22"/>
          <w:u w:val="none"/>
        </w:rPr>
        <w:t>传真：暂无</w:t>
      </w:r>
    </w:p>
    <w:p>
      <w:pPr>
        <w:snapToGrid w:val="1"/>
        <w:spacing w:line="240"/>
        <w:ind/>
        <w:rPr>
          <w:sz w:val="22"/>
        </w:rPr>
      </w:pPr>
      <w:r>
        <w:rPr>
          <w:i w:val="0"/>
          <w:strike w:val="0"/>
          <w:color w:val="000000"/>
          <w:sz w:val="22"/>
          <w:u w:val="none"/>
        </w:rPr>
        <w:t>部门：暂无</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Calibri Light">
    <w:panose1 w:val="020F0302020204030204"/>
    <w:charset w:val="00" w:characterSet="ISO-8859-1"/>
    <w:family w:val="swiss"/>
    <w:pitch w:val="variable"/>
    <w:sig w:usb0="A00002EF" w:usb1="4000207B" w:usb2="00000000" w:usb3="00000000" w:csb0="0000019F" w:csb1="00000000"/>
  </w:font>
  <w:font w:name="Monaco">
    <w:altName w:val="Monaco"/>
    <w:panose1 w:val="00000000000000000000"/>
    <w:charset w:val="00" w:characterSet="ISO-8859-1"/>
    <w:family w:val="auto"/>
    <w:pitch w:val="variable"/>
    <w:sig w:usb0="A00002FF" w:usb1="500039FB" w:usb2="00000000" w:usb3="00000000" w:csb0="00000197" w:csb1="00000000"/>
  </w:font>
  <w:font w:name="Times New Roman">
    <w:panose1 w:val="02020603050405020304"/>
    <w:charset w:val="00" w:characterSet="ISO-8859-1"/>
    <w:family w:val="roman"/>
    <w:pitch w:val="variable"/>
    <w:sig w:usb0="20002A87" w:usb1="80000000" w:usb2="00000008" w:usb3="00000000" w:csb0="000001FF" w:csb1="00000000"/>
  </w:font>
  <w:font w:name="微软雅黑">
    <w:panose1 w:val="020B0503020204020204"/>
    <w:charset w:val="86" w:characterSet="ISO-8859-1"/>
    <w:family w:val="swiss"/>
    <w:pitch w:val="variable"/>
    <w:sig w:usb0="00000001" w:usb1="080E0000" w:usb2="00000016" w:usb3="00000000" w:csb0="0004001F" w:csb1="00000000"/>
  </w:font>
  <w:font w:name="Arial">
    <w:panose1 w:val="020B0604020202020204"/>
    <w:charset w:val="00" w:characterSet="ISO-8859-1"/>
    <w:family w:val="swiss"/>
    <w:pitch w:val="variable"/>
    <w:sig w:usb0="E0000AFF" w:usb1="00007843" w:usb2="00000001" w:usb3="00000000" w:csb0="000001B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ifferentiateMultirowTableHeaders" w:uri="http://schemas.microsoft.com/office/word" w:val="1"/>
    <w:compatSetting w:name="enableOpenTypeFeatures" w:uri="http://schemas.microsoft.com/office/word" w:val="1"/>
    <w:compatSetting w:name="compatibilityMode" w:uri="http://schemas.microsoft.com/office/word" w:val="15"/>
    <w:compatSetting w:name="useWord2013TrackBottomHyphenation" w:uri="http://schemas.microsoft.com/office/word" w:val="1"/>
    <w:compatSetting w:name="doNotFlipMirrorIndents" w:uri="http://schemas.microsoft.com/office/word" w:val="1"/>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olumns 2" w:semiHidden="1" w:unhideWhenUsed="1"/>
    <w:lsdException w:name="toc 2" w:uiPriority="99"/>
    <w:lsdException w:name="List Table 4 Accent 6" w:uiPriority="49"/>
    <w:lsdException w:name="Light List" w:uiPriority="61"/>
    <w:lsdException w:name="Plain Table 5" w:uiPriority="45"/>
    <w:lsdException w:name="Colorful Shading Accent 5" w:uiPriority="71"/>
    <w:lsdException w:name="Quote" w:uiPriority="99"/>
    <w:lsdException w:name="List Table 6 Colorful Accent 2" w:uiPriority="51"/>
    <w:lsdException w:name="Table Theme" w:semiHidden="1" w:unhideWhenUsed="1"/>
    <w:lsdException w:name="Intense Emphasis" w:uiPriority="21" w:qFormat="1"/>
    <w:lsdException w:name="Smart Hyperlink" w:uiPriority="99" w:semiHidden="1" w:unhideWhenUsed="1"/>
    <w:lsdException w:name="Grid Table 7 Colorful Accent 6" w:uiPriority="52"/>
    <w:lsdException w:name="Light Grid Accent 6" w:uiPriority="62"/>
    <w:lsdException w:name="Table Classic 2" w:semiHidden="1" w:unhideWhenUsed="1"/>
    <w:lsdException w:name="Medium Grid 3 Accent 1" w:uiPriority="69"/>
    <w:lsdException w:name="Colorful List Accent 3" w:uiPriority="72"/>
    <w:lsdException w:name="Medium Shading 2 Accent 4" w:uiPriority="64"/>
    <w:lsdException w:name="Light Grid" w:uiPriority="62"/>
    <w:lsdException w:name="List Table 2 Accent 1" w:uiPriority="47"/>
    <w:lsdException w:name="List Table 2 Accent 6" w:uiPriority="47"/>
    <w:lsdException w:name="Revision" w:uiPriority="99" w:semiHidden="1"/>
    <w:lsdException w:name="Table Grid 5" w:semiHidden="1" w:unhideWhenUsed="1"/>
    <w:lsdException w:name="Table Web 3" w:semiHidden="1" w:unhideWhenUsed="1"/>
    <w:lsdException w:name="HTML Definition" w:uiPriority="99"/>
    <w:lsdException w:name="Grid Table 3 Accent 5" w:uiPriority="48"/>
    <w:lsdException w:name="Dark List Accent 1" w:uiPriority="70"/>
    <w:lsdException w:name="Grid Table 4 Accent 4" w:uiPriority="49"/>
    <w:lsdException w:name="Table Grid 4" w:semiHidden="1" w:unhideWhenUsed="1"/>
    <w:lsdException w:name="Colorful Shading Accent 1" w:uiPriority="71"/>
    <w:lsdException w:name="Plain Table 2" w:uiPriority="42"/>
    <w:lsdException w:name="Grid Table 7 Colorful" w:uiPriority="52"/>
    <w:lsdException w:name="Table List 4" w:semiHidden="1" w:unhideWhenUsed="1"/>
    <w:lsdException w:name="List Table 4 Accent 5" w:uiPriority="49"/>
    <w:lsdException w:name="Grid Table 5 Dark Accent 5" w:uiPriority="50"/>
    <w:lsdException w:name="toc 5" w:uiPriority="99"/>
    <w:lsdException w:name="Table Colorful 2" w:semiHidden="1" w:unhideWhenUsed="1"/>
    <w:lsdException w:name="List Table 3 Accent 2" w:uiPriority="48"/>
    <w:lsdException w:name="Grid Table 1 Light" w:uiPriority="46"/>
    <w:lsdException w:name="List Table 1 Light Accent 5" w:uiPriority="46"/>
    <w:lsdException w:name="Light Shading Accent 6" w:uiPriority="60"/>
    <w:lsdException w:name="No List" w:uiPriority="99" w:semiHidden="1" w:unhideWhenUsed="1"/>
    <w:lsdException w:name="Subtitle" w:qFormat="1"/>
    <w:lsdException w:name="toc 7" w:uiPriority="99"/>
    <w:lsdException w:name="List Table 3 Accent 4" w:uiPriority="48"/>
    <w:lsdException w:name="Table Classic 4" w:semiHidden="1" w:unhideWhenUsed="1"/>
    <w:lsdException w:name="Grid Table 7 Colorful Accent 2" w:uiPriority="52"/>
    <w:lsdException w:name="Colorful Grid Accent 5" w:uiPriority="73"/>
    <w:lsdException w:name="toc 4" w:uiPriority="99"/>
    <w:lsdException w:name="Medium Shading 2 Accent 2" w:uiPriority="64"/>
    <w:lsdException w:name="heading 3" w:qFormat="1"/>
    <w:lsdException w:name="Table Professional" w:semiHidden="1" w:unhideWhenUsed="1"/>
    <w:lsdException w:name="Medium Grid 2 Accent 5" w:uiPriority="68"/>
    <w:lsdException w:name="HTML Preformatted" w:uiPriority="99"/>
    <w:lsdException w:name="Grid Table 1 Light Accent 2" w:uiPriority="46"/>
    <w:lsdException w:name="Medium List 2" w:uiPriority="66"/>
    <w:lsdException w:name="Medium Shading 2" w:uiPriority="64"/>
    <w:lsdException w:name="Light Grid Accent 3" w:uiPriority="62"/>
    <w:lsdException w:name="toc 1" w:uiPriority="99"/>
    <w:lsdException w:name="Grid Table 4" w:uiPriority="49"/>
    <w:lsdException w:name="Light List Accent 2" w:uiPriority="61"/>
    <w:lsdException w:name="Outline List 2" w:uiPriority="99" w:semiHidden="1" w:unhideWhenUsed="1"/>
    <w:lsdException w:name="Hashtag" w:uiPriority="99" w:semiHidden="1" w:unhideWhenUsed="1"/>
    <w:lsdException w:name="Table Grid 2" w:semiHidden="1" w:unhideWhenUsed="1"/>
    <w:lsdException w:name="List Table 6 Colorful Accent 3" w:uiPriority="51"/>
    <w:lsdException w:name="Medium Shading 1 Accent 3" w:uiPriority="63"/>
    <w:lsdException w:name="Grid Table 2 Accent 2" w:uiPriority="47"/>
    <w:lsdException w:name="Grid Table 5 Dark Accent 1" w:uiPriority="50"/>
    <w:lsdException w:name="List Table 6 Colorful Accent 6" w:uiPriority="51"/>
    <w:lsdException w:name="heading 6" w:qFormat="1"/>
    <w:lsdException w:name="Table Grid 7" w:semiHidden="1" w:unhideWhenUsed="1"/>
    <w:lsdException w:name="Table Grid 3" w:semiHidden="1" w:unhideWhenUsed="1"/>
    <w:lsdException w:name="Grid Table 1 Light Accent 3" w:uiPriority="46"/>
    <w:lsdException w:name="Medium List 1 Accent 6" w:uiPriority="65"/>
    <w:lsdException w:name="Medium Grid 3 Accent 3" w:uiPriority="69"/>
    <w:lsdException w:name="Grid Table 2" w:uiPriority="47"/>
    <w:lsdException w:name="List Table 5 Dark Accent 1" w:uiPriority="50"/>
    <w:lsdException w:name="List Table 7 Colorful Accent 3" w:uiPriority="52"/>
    <w:lsdException w:name="Colorful List Accent 2" w:uiPriority="72"/>
    <w:lsdException w:name="List Table 2" w:uiPriority="47"/>
    <w:lsdException w:name="Colorful Grid Accent 3" w:uiPriority="73"/>
    <w:lsdException w:name="Grid Table 2 Accent 5" w:uiPriority="47"/>
    <w:lsdException w:name="List Table 2 Accent 3" w:uiPriority="47"/>
    <w:lsdException w:name="Medium Grid 3 Accent 2" w:uiPriority="69"/>
    <w:lsdException w:name="List Table 4 Accent 4" w:uiPriority="49"/>
    <w:lsdException w:name="Medium Grid 2 Accent 2" w:uiPriority="68"/>
    <w:lsdException w:name="Medium List 1" w:uiPriority="65"/>
    <w:lsdException w:name="List Table 5 Dark Accent 5" w:uiPriority="50"/>
    <w:lsdException w:name="Light Shading Accent 2" w:uiPriority="60"/>
    <w:lsdException w:name="Light List Accent 4" w:uiPriority="61"/>
    <w:lsdException w:name="Table List 5" w:semiHidden="1" w:unhideWhenUsed="1"/>
    <w:lsdException w:name="heading 1" w:qFormat="1"/>
    <w:lsdException w:name="HTML Code" w:uiPriority="99"/>
    <w:lsdException w:name="List Table 6 Colorful Accent 1" w:uiPriority="51"/>
    <w:lsdException w:name="Grid Table 2 Accent 4" w:uiPriority="47"/>
    <w:lsdException w:name="Table List 7" w:semiHidden="1" w:unhideWhenUsed="1"/>
    <w:lsdException w:name="List Table 7 Colorful Accent 5" w:uiPriority="52"/>
    <w:lsdException w:name="Medium Grid 1 Accent 3" w:uiPriority="67"/>
    <w:lsdException w:name="Medium List 2 Accent 5" w:uiPriority="66"/>
    <w:lsdException w:name="List Table 3 Accent 5" w:uiPriority="48"/>
    <w:lsdException w:name="Table Columns 1" w:semiHidden="1" w:unhideWhenUsed="1"/>
    <w:lsdException w:name="Medium List 2 Accent 3" w:uiPriority="66"/>
    <w:lsdException w:name="List Table 1 Light Accent 1" w:uiPriority="46"/>
    <w:lsdException w:name="Grid Table 6 Colorful" w:uiPriority="51"/>
    <w:lsdException w:name="Colorful List Accent 1" w:uiPriority="72"/>
    <w:lsdException w:name="List Table 7 Colorful Accent 6" w:uiPriority="52"/>
    <w:lsdException w:name="Grid Table 5 Dark" w:uiPriority="50"/>
    <w:lsdException w:name="Emphasis" w:qFormat="1"/>
    <w:lsdException w:name="Grid Table 6 Colorful Accent 3" w:uiPriority="51"/>
    <w:lsdException w:name="Medium Shading 1" w:uiPriority="63"/>
    <w:lsdException w:name="Table 3D effects 1" w:semiHidden="1" w:unhideWhenUsed="1"/>
    <w:lsdException w:name="List Table 3 Accent 1" w:uiPriority="48"/>
    <w:lsdException w:name="Subtle Emphasis" w:uiPriority="19" w:qFormat="1"/>
    <w:lsdException w:name="Book Title" w:uiPriority="33" w:qFormat="1"/>
    <w:lsdException w:name="Grid Table 1 Light Accent 1" w:uiPriority="46"/>
    <w:lsdException w:name="Table Grid" w:qFormat="1"/>
    <w:lsdException w:name="Light List Accent 3" w:uiPriority="61"/>
    <w:lsdException w:name="Medium Grid 3" w:uiPriority="69"/>
    <w:lsdException w:name="Medium Grid 2 Accent 3" w:uiPriority="68"/>
    <w:lsdException w:name="Table List 8" w:semiHidden="1" w:unhideWhenUsed="1"/>
    <w:lsdException w:name="Colorful List Accent 6" w:uiPriority="72"/>
    <w:lsdException w:name="Placeholder Text" w:uiPriority="99" w:semiHidden="1"/>
    <w:lsdException w:name="Table Columns 5" w:semiHidden="1" w:unhideWhenUsed="1"/>
    <w:lsdException w:name="Dark List" w:uiPriority="70"/>
    <w:lsdException w:name="Medium Grid 1 Accent 2" w:uiPriority="67"/>
    <w:lsdException w:name="Table Columns 4" w:semiHidden="1" w:unhideWhenUsed="1"/>
    <w:lsdException w:name="Medium Shading 2 Accent 1" w:uiPriority="64"/>
    <w:lsdException w:name="Medium Shading 1 Accent 2" w:uiPriority="63"/>
    <w:lsdException w:name="Table Contemporary" w:semiHidden="1" w:unhideWhenUsed="1"/>
    <w:lsdException w:name="Medium Grid 2" w:uiPriority="68"/>
    <w:lsdException w:name="Title" w:qFormat="1"/>
    <w:lsdException w:name="List Table 4 Accent 3" w:uiPriority="49"/>
    <w:lsdException w:name="Light Shading Accent 5" w:uiPriority="60"/>
    <w:lsdException w:name="List Paragraph" w:uiPriority="99"/>
    <w:lsdException w:name="Colorful Grid Accent 4" w:uiPriority="73"/>
    <w:lsdException w:name="Outline List 3" w:uiPriority="99" w:semiHidden="1" w:unhideWhenUsed="1"/>
    <w:lsdException w:name="Grid Table 5 Dark Accent 4" w:uiPriority="50"/>
    <w:lsdException w:name="Colorful Shading Accent 4" w:uiPriority="71"/>
    <w:lsdException w:name="Grid Table Light" w:uiPriority="40"/>
    <w:lsdException w:name="Light List Accent 1" w:uiPriority="61"/>
    <w:lsdException w:name="Light List Accent 6" w:uiPriority="61"/>
    <w:lsdException w:name="Light Grid Accent 4" w:uiPriority="62"/>
    <w:lsdException w:name="Grid Table 4 Accent 6" w:uiPriority="49"/>
    <w:lsdException w:name="Colorful Shading Accent 3" w:uiPriority="71"/>
    <w:lsdException w:name="Dark List Accent 5" w:uiPriority="70"/>
    <w:lsdException w:name="Colorful Shading Accent 6" w:uiPriority="71"/>
    <w:lsdException w:name="Medium Grid 1 Accent 1" w:uiPriority="67"/>
    <w:lsdException w:name="Colorful Grid" w:uiPriority="73"/>
    <w:lsdException w:name="List Table 3 Accent 3" w:uiPriority="48"/>
    <w:lsdException w:name="Unresolved Mention" w:uiPriority="99" w:semiHidden="1" w:unhideWhenUsed="1"/>
    <w:lsdException w:name="Mention" w:uiPriority="99" w:semiHidden="1" w:unhideWhenUsed="1"/>
    <w:lsdException w:name="Table Subtle 1" w:semiHidden="1" w:unhideWhenUsed="1"/>
    <w:lsdException w:name="Grid Table 4 Accent 3" w:uiPriority="49"/>
    <w:lsdException w:name="Light Shading Accent 4" w:uiPriority="60"/>
    <w:lsdException w:name="Medium Grid 3 Accent 5" w:uiPriority="69"/>
    <w:lsdException w:name="Intense Quote" w:uiPriority="99"/>
    <w:lsdException w:name="HTML Top of Form" w:uiPriority="99" w:semiHidden="1" w:unhideWhenUsed="1"/>
    <w:lsdException w:name="Light Grid Accent 5" w:uiPriority="62"/>
    <w:lsdException w:name="Grid Table 3 Accent 6" w:uiPriority="48"/>
    <w:lsdException w:name="footnote reference" w:uiPriority="99" w:semiHidden="1" w:unhideWhenUsed="1"/>
    <w:lsdException w:name="HTML Typewriter" w:uiPriority="99"/>
    <w:lsdException w:name="Table Simple 3" w:semiHidden="1" w:unhideWhenUsed="1"/>
    <w:lsdException w:name="Default Paragraph Font" w:uiPriority="1" w:semiHidden="1" w:unhideWhenUsed="1"/>
    <w:lsdException w:name="Grid Table 5 Dark Accent 3" w:uiPriority="50"/>
    <w:lsdException w:name="Dark List Accent 6" w:uiPriority="70"/>
    <w:lsdException w:name="List Table 7 Colorful Accent 4" w:uiPriority="52"/>
    <w:lsdException w:name="Table 3D effects 3" w:semiHidden="1" w:unhideWhenUsed="1"/>
    <w:lsdException w:name="Grid Table 3 Accent 2" w:uiPriority="48"/>
    <w:lsdException w:name="Subtle Reference" w:uiPriority="31" w:qFormat="1"/>
    <w:lsdException w:name="Grid Table 2 Accent 1" w:uiPriority="47"/>
    <w:lsdException w:name="Grid Table 4 Accent 5" w:uiPriority="49"/>
    <w:lsdException w:name="Grid Table 4 Accent 2" w:uiPriority="49"/>
    <w:lsdException w:name="Grid Table 6 Colorful Accent 5" w:uiPriority="51"/>
    <w:lsdException w:name="Colorful Grid Accent 1" w:uiPriority="73"/>
    <w:lsdException w:name="Medium Shading 1 Accent 1" w:uiPriority="63"/>
    <w:lsdException w:name="Grid Table 2 Accent 3" w:uiPriority="47"/>
    <w:lsdException w:name="List Table 6 Colorful Accent 4" w:uiPriority="51"/>
    <w:lsdException w:name="Grid Table 6 Colorful Accent 4" w:uiPriority="51"/>
    <w:lsdException w:name="Table Web 2" w:semiHidden="1" w:unhideWhenUsed="1"/>
    <w:lsdException w:name="HTML Address" w:uiPriority="99"/>
    <w:lsdException w:name="Grid Table 2 Accent 6" w:uiPriority="47"/>
    <w:lsdException w:name="toc 3" w:uiPriority="99"/>
    <w:lsdException w:name="Medium Grid 2 Accent 1" w:uiPriority="68"/>
    <w:lsdException w:name="Colorful Shading" w:uiPriority="71"/>
    <w:lsdException w:name="Grid Table 3" w:uiPriority="48"/>
    <w:lsdException w:name="Grid Table 5 Dark Accent 6" w:uiPriority="50"/>
    <w:lsdException w:name="List Table 4 Accent 1" w:uiPriority="49"/>
    <w:lsdException w:name="Plain Table 3" w:uiPriority="43"/>
    <w:lsdException w:name="Grid Table 4 Accent 1" w:uiPriority="49"/>
    <w:lsdException w:name="Grid Table 7 Colorful Accent 4" w:uiPriority="52"/>
    <w:lsdException w:name="Light Grid Accent 1" w:uiPriority="62"/>
    <w:lsdException w:name="Medium List 1 Accent 4" w:uiPriority="65"/>
    <w:lsdException w:name="Table Colorful 3" w:semiHidden="1" w:unhideWhenUsed="1"/>
    <w:lsdException w:name="Outline List 1" w:uiPriority="99" w:semiHidden="1" w:unhideWhenUsed="1"/>
    <w:lsdException w:name="Table List 1" w:semiHidden="1" w:unhideWhenUsed="1"/>
    <w:lsdException w:name="Table Classic 3" w:semiHidden="1" w:unhideWhenUsed="1"/>
    <w:lsdException w:name="Grid Table 3 Accent 1" w:uiPriority="48"/>
    <w:lsdException w:name="Table Grid 8" w:semiHidden="1" w:unhideWhenUsed="1"/>
    <w:lsdException w:name="Colorful List Accent 5" w:uiPriority="72"/>
    <w:lsdException w:name="Table List 6" w:semiHidden="1" w:unhideWhenUsed="1"/>
    <w:lsdException w:name="heading 7" w:unhideWhenUsed="1" w:qFormat="1"/>
    <w:lsdException w:name="Medium Grid 1" w:uiPriority="67"/>
    <w:lsdException w:name="List Table 1 Light Accent 3" w:uiPriority="46"/>
    <w:lsdException w:name="Medium Shading 2 Accent 5" w:uiPriority="64"/>
    <w:lsdException w:name="Table Columns 3" w:semiHidden="1" w:unhideWhenUsed="1"/>
    <w:lsdException w:name="List Table 7 Colorful Accent 2" w:uiPriority="52"/>
    <w:lsdException w:name="Grid Table 6 Colorful Accent 2" w:uiPriority="51"/>
    <w:lsdException w:name="List Table 5 Dark" w:uiPriority="50"/>
    <w:lsdException w:name="Table 3D effects 2" w:semiHidden="1" w:unhideWhenUsed="1"/>
    <w:lsdException w:name="Grid Table 7 Colorful Accent 5" w:uiPriority="52"/>
    <w:lsdException w:name="TOC Heading" w:uiPriority="39" w:semiHidden="1" w:unhideWhenUsed="1" w:qFormat="1"/>
    <w:lsdException w:name="Grid Table 1 Light Accent 6" w:uiPriority="46"/>
    <w:lsdException w:name="Medium List 1 Accent 1" w:uiPriority="65"/>
    <w:lsdException w:name="List Table 1 Light" w:uiPriority="46"/>
    <w:lsdException w:name="Medium List 2 Accent 2" w:uiPriority="66"/>
    <w:lsdException w:name="Medium Shading 1 Accent 5" w:uiPriority="63"/>
    <w:lsdException w:name="List Table 1 Light Accent 6" w:uiPriority="46"/>
    <w:lsdException w:name="Grid Table 6 Colorful Accent 1" w:uiPriority="51"/>
    <w:lsdException w:name="Medium Grid 3 Accent 6" w:uiPriority="69"/>
    <w:lsdException w:name="Medium Shading 2 Accent 6" w:uiPriority="64"/>
    <w:lsdException w:name="List Table 7 Colorful" w:uiPriority="52"/>
    <w:lsdException w:name="List Table 7 Colorful Accent 1" w:uiPriority="52"/>
    <w:lsdException w:name="Grid Table 7 Colorful Accent 3" w:uiPriority="52"/>
    <w:lsdException w:name="Normal" w:qFormat="1"/>
    <w:lsdException w:name="Light Shading Accent 1" w:uiPriority="60"/>
    <w:lsdException w:name="heading 2" w:qFormat="1"/>
    <w:lsdException w:name="Medium List 1 Accent 2" w:uiPriority="65"/>
    <w:lsdException w:name="Table List 2" w:semiHidden="1" w:unhideWhenUsed="1"/>
    <w:lsdException w:name="HTML Sample" w:uiPriority="99"/>
    <w:lsdException w:name="toc 8" w:uiPriority="99"/>
    <w:lsdException w:name="Grid Table 3 Accent 4" w:uiPriority="48"/>
    <w:lsdException w:name="HTML Cite" w:uiPriority="99"/>
    <w:lsdException w:name="List Table 5 Dark Accent 4" w:uiPriority="50"/>
    <w:lsdException w:name="List Table 5 Dark Accent 3" w:uiPriority="50"/>
    <w:lsdException w:name="List Table 5 Dark Accent 6" w:uiPriority="50"/>
    <w:lsdException w:name="Bibliography" w:uiPriority="37" w:semiHidden="1" w:unhideWhenUsed="1"/>
    <w:lsdException w:name="List Table 6 Colorful Accent 5" w:uiPriority="51"/>
    <w:lsdException w:name="Grid Table 1 Light Accent 5" w:uiPriority="46"/>
    <w:lsdException w:name="Table Subtle 2" w:semiHidden="1" w:unhideWhenUsed="1"/>
    <w:lsdException w:name="Medium Shading 2 Accent 3" w:uiPriority="64"/>
    <w:lsdException w:name="Intense Reference" w:uiPriority="32" w:qFormat="1"/>
    <w:lsdException w:name="heading 4" w:qFormat="1"/>
    <w:lsdException w:name="Grid Table 6 Colorful Accent 6" w:uiPriority="51"/>
    <w:lsdException w:name="Dark List Accent 2" w:uiPriority="70"/>
    <w:lsdException w:name="heading 8" w:unhideWhenUsed="1" w:qFormat="1"/>
    <w:lsdException w:name="Light List Accent 5" w:uiPriority="61"/>
    <w:lsdException w:name="heading 5" w:qFormat="1"/>
    <w:lsdException w:name="List Table 4" w:uiPriority="49"/>
    <w:lsdException w:name="HTML Variable" w:uiPriority="99"/>
    <w:lsdException w:name="Colorful List Accent 4" w:uiPriority="72"/>
    <w:lsdException w:name="Medium Grid 2 Accent 4" w:uiPriority="68"/>
    <w:lsdException w:name="List Table 2 Accent 5" w:uiPriority="47"/>
    <w:lsdException w:name="HTML Bottom of Form" w:uiPriority="99" w:semiHidden="1" w:unhideWhenUsed="1"/>
    <w:lsdException w:name="Table Web 1" w:semiHidden="1" w:unhideWhenUsed="1"/>
    <w:lsdException w:name="List Table 1 Light Accent 4" w:uiPriority="46"/>
    <w:lsdException w:name="Table Simple 1" w:semiHidden="1" w:unhideWhenUsed="1"/>
    <w:lsdException w:name="Table Elegant" w:semiHidden="1" w:unhideWhenUsed="1"/>
    <w:lsdException w:name="Table List 3" w:semiHidden="1" w:unhideWhenUsed="1"/>
    <w:lsdException w:name="heading 9" w:unhideWhenUsed="1" w:qFormat="1"/>
    <w:lsdException w:name="List Table 6 Colorful" w:uiPriority="51"/>
    <w:lsdException w:name="Dark List Accent 3" w:uiPriority="70"/>
    <w:lsdException w:name="Normal Table" w:uiPriority="99" w:semiHidden="1" w:unhideWhenUsed="1"/>
    <w:lsdException w:name="List Table 2 Accent 2" w:uiPriority="47"/>
    <w:lsdException w:name="Smart Link" w:uiPriority="99" w:semiHidden="1" w:unhideWhenUsed="1"/>
    <w:lsdException w:name="Colorful Grid Accent 2" w:uiPriority="73"/>
    <w:lsdException w:name="Table Simple 2" w:semiHidden="1" w:unhideWhenUsed="1"/>
    <w:lsdException w:name="footnote text" w:uiPriority="99" w:semiHidden="1" w:unhideWhenUsed="1"/>
    <w:lsdException w:name="Light Shading Accent 3" w:uiPriority="60"/>
    <w:lsdException w:name="Grid Table 5 Dark Accent 2" w:uiPriority="50"/>
    <w:lsdException w:name="Medium List 2 Accent 1" w:uiPriority="66"/>
    <w:lsdException w:name="Colorful Grid Accent 6" w:uiPriority="73"/>
    <w:lsdException w:name="Light Shading" w:uiPriority="60"/>
    <w:lsdException w:name="toc 6" w:uiPriority="99"/>
    <w:lsdException w:name="Colorful Shading Accent 2" w:uiPriority="71"/>
    <w:lsdException w:name="Medium Shading 1 Accent 4" w:uiPriority="63"/>
    <w:lsdException w:name="Table Classic 1" w:semiHidden="1" w:unhideWhenUsed="1"/>
    <w:lsdException w:name="Medium List 2 Accent 6" w:uiPriority="66"/>
    <w:lsdException w:name="List Table 4 Accent 2" w:uiPriority="49"/>
    <w:lsdException w:name="Medium Grid 1 Accent 5" w:uiPriority="67"/>
    <w:lsdException w:name="List Table 5 Dark Accent 2" w:uiPriority="50"/>
    <w:lsdException w:name="Plain Table 4" w:uiPriority="44"/>
    <w:lsdException w:name="Table Grid 1" w:semiHidden="1" w:unhideWhenUsed="1"/>
    <w:lsdException w:name="Grid Table 3 Accent 3" w:uiPriority="48"/>
    <w:lsdException w:name="Medium Grid 1 Accent 6" w:uiPriority="67"/>
    <w:lsdException w:name="No Spacing" w:uiPriority="99"/>
    <w:lsdException w:name="Medium Grid 2 Accent 6" w:uiPriority="68"/>
    <w:lsdException w:name="Medium Grid 1 Accent 4" w:uiPriority="67"/>
    <w:lsdException w:name="Medium Shading 1 Accent 6" w:uiPriority="63"/>
    <w:lsdException w:name="Plain Table 1" w:uiPriority="41"/>
    <w:lsdException w:name="List Table 2 Accent 4" w:uiPriority="47"/>
    <w:lsdException w:name="List Table 3" w:uiPriority="48"/>
    <w:lsdException w:name="Strong" w:qFormat="1"/>
    <w:lsdException w:name="toc 9" w:uiPriority="99"/>
    <w:lsdException w:name="HTML Keyboard" w:uiPriority="99"/>
    <w:lsdException w:name="Colorful List" w:uiPriority="72"/>
    <w:lsdException w:name="Medium Grid 3 Accent 4" w:uiPriority="69"/>
    <w:lsdException w:name="Medium List 1 Accent 5" w:uiPriority="65"/>
    <w:lsdException w:name="Table Grid 6" w:semiHidden="1" w:unhideWhenUsed="1"/>
    <w:lsdException w:name="Grid Table 7 Colorful Accent 1" w:uiPriority="52"/>
    <w:lsdException w:name="List Table 1 Light Accent 2" w:uiPriority="46"/>
    <w:lsdException w:name="Table Colorful 1" w:semiHidden="1" w:unhideWhenUsed="1"/>
    <w:lsdException w:name="HTML Acronym" w:uiPriority="99"/>
    <w:lsdException w:name="Light Grid Accent 2" w:uiPriority="62"/>
    <w:lsdException w:name="List Table 3 Accent 6" w:uiPriority="48"/>
    <w:lsdException w:name="Medium List 2 Accent 4" w:uiPriority="66"/>
    <w:lsdException w:name="Medium List 1 Accent 3" w:uiPriority="65"/>
    <w:lsdException w:name="Grid Table 1 Light Accent 4" w:uiPriority="46"/>
    <w:lsdException w:name="Dark List Accent 4" w:uiPriority="70"/>
    <w:lsdException w:name="caption" w:semiHidden="1" w:unhideWhenUsed="1" w:qFormat="1"/>
  </w:latentStyles>
  <w:style w:type="paragraph" w:styleId="000004">
    <w:name w:val="heading 3"/>
    <w:basedOn w:val="000001"/>
    <w:next w:val="000001"/>
    <w:qFormat w:val="1"/>
    <w:pPr>
      <w:keepNext w:val="1"/>
      <w:keepLines w:val="1"/>
      <w:outlineLvl w:val="2"/>
    </w:pPr>
    <w:rPr>
      <w:b w:val="1"/>
      <w:sz w:val="28"/>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1" w:default="1">
    <w:name w:val="Normal"/>
    <w:qFormat w:val="1"/>
    <w:pPr>
      <w:widowControl w:val="0"/>
      <w:spacing w:before="60" w:after="60"/>
      <w:jc w:val="both"/>
    </w:pPr>
    <w:rPr>
      <w:color w:val="333333"/>
      <w:kern w:val="2"/>
      <w:sz w:val="22"/>
      <w:szCs w:val="24"/>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2">
    <w:name w:val="heading 1"/>
    <w:basedOn w:val="000001"/>
    <w:next w:val="000001"/>
    <w:qFormat w:val="1"/>
    <w:pPr>
      <w:keepNext w:val="1"/>
      <w:keepLines w:val="1"/>
      <w:outlineLvl w:val="0"/>
    </w:pPr>
    <w:rPr>
      <w:b w:val="1"/>
      <w:kern w:val="44"/>
      <w:sz w:val="36"/>
    </w:rPr>
  </w:style>
  <w:style w:type="paragraph" w:styleId="000009">
    <w:name w:val="heading 8"/>
    <w:basedOn w:val="000001"/>
    <w:next w:val="000001"/>
    <w:unhideWhenUsed w:val="1"/>
    <w:qFormat w:val="1"/>
    <w:pPr>
      <w:keepNext w:val="1"/>
      <w:keepLines w:val="1"/>
      <w:spacing w:line="480" w:lineRule="auto"/>
      <w:outlineLvl w:val="7"/>
    </w:pPr>
    <w:rPr>
      <w:b w:val="1"/>
    </w:rPr>
  </w:style>
  <w:style w:type="character" w:styleId="000017" w:customStyle="1">
    <w:name w:val="melo-codeblock-Base-theme-char"/>
    <w:uiPriority w:val="99"/>
    <w:rPr>
      <w:rFonts w:ascii="Monaco" w:hAnsi="Monaco" w:eastAsia="Monaco" w:cs="Monaco"/>
      <w:color w:val="000000"/>
      <w:sz w:val="2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6">
    <w:name w:val="Hyperlink"/>
    <w:basedOn w:val="00000b"/>
    <w:rPr>
      <w:color w:val="1E6FFF"/>
      <w:u w:val="single"/>
    </w:rPr>
  </w:style>
  <w:style w:type="paragraph" w:styleId="000006">
    <w:name w:val="heading 5"/>
    <w:basedOn w:val="000001"/>
    <w:next w:val="000001"/>
    <w:qFormat w:val="1"/>
    <w:pPr>
      <w:keepNext w:val="1"/>
      <w:keepLines w:val="1"/>
      <w:spacing w:line="480" w:lineRule="auto"/>
      <w:outlineLvl w:val="4"/>
    </w:pPr>
    <w:rPr>
      <w:b w:val="1"/>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5">
    <w:name w:val="heading 4"/>
    <w:basedOn w:val="000001"/>
    <w:next w:val="000001"/>
    <w:qFormat w:val="1"/>
    <w:pPr>
      <w:keepNext w:val="1"/>
      <w:keepLines w:val="1"/>
      <w:outlineLvl w:val="3"/>
    </w:pPr>
    <w:rPr>
      <w:b w:val="1"/>
      <w:sz w:val="24"/>
    </w:rPr>
  </w:style>
  <w:style w:type="character" w:styleId="00000b" w:default="1">
    <w:name w:val="Default Paragraph Font"/>
    <w:uiPriority w:val="1"/>
    <w:semiHidden w:val="1"/>
    <w:unhideWhenUsed w:val="1"/>
  </w:style>
  <w:style w:type="numbering" w:styleId="00000d" w:default="1">
    <w:name w:val="No List"/>
    <w:uiPriority w:val="99"/>
    <w:semiHidden w:val="1"/>
    <w:unhideWhenUsed w:val="1"/>
  </w:style>
  <w:style w:type="paragraph" w:styleId="00000a">
    <w:name w:val="heading 9"/>
    <w:basedOn w:val="000001"/>
    <w:next w:val="000001"/>
    <w:unhideWhenUsed w:val="1"/>
    <w:qFormat w:val="1"/>
    <w:pPr>
      <w:keepNext w:val="1"/>
      <w:keepLines w:val="1"/>
      <w:spacing w:line="480" w:lineRule="auto"/>
      <w:outlineLvl w:val="8"/>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7">
    <w:name w:val="heading 6"/>
    <w:basedOn w:val="000001"/>
    <w:next w:val="000001"/>
    <w:qFormat w:val="1"/>
    <w:pPr>
      <w:keepNext w:val="1"/>
      <w:keepLines w:val="1"/>
      <w:spacing w:line="480" w:lineRule="auto"/>
      <w:outlineLvl w:val="5"/>
    </w:pPr>
    <w:rPr>
      <w:b w:val="1"/>
    </w:rPr>
  </w:style>
  <w:style w:type="paragraph" w:styleId="00000f">
    <w:name w:val="footer"/>
    <w:basedOn w:val="000001"/>
    <w:pPr>
      <w:tabs>
        <w:tab w:val="center" w:pos="4153"/>
        <w:tab w:val="right" w:pos="8306"/>
      </w:tabs>
      <w:snapToGrid w:val="0"/>
      <w:jc w:val="center"/>
    </w:pPr>
    <w:rPr>
      <w:sz w:val="18"/>
      <w:szCs w:val="18"/>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3">
    <w:name w:val="heading 2"/>
    <w:basedOn w:val="000001"/>
    <w:next w:val="000001"/>
    <w:qFormat w:val="1"/>
    <w:pPr>
      <w:keepNext w:val="1"/>
      <w:keepLines w:val="1"/>
      <w:outlineLvl w:val="1"/>
    </w:pPr>
    <w:rPr>
      <w:b w:val="1"/>
      <w:sz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e">
    <w:name w:val="toc 8"/>
    <w:basedOn w:val="000001"/>
    <w:next w:val="000001"/>
    <w:autoRedefine w:val="1"/>
    <w:uiPriority w:val="99"/>
    <w:pPr>
      <w:ind w:left="2940" w:leftChars="1400"/>
    </w:p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3" Type="http://schemas.openxmlformats.org/officeDocument/2006/relationships/theme" Target="theme/theme1.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2026-03-20T18:44:17Z</dcterms:created>
  <dcterms:modified xsi:type="dcterms:W3CDTF">2026-03-20T18:44:17Z</dcterms:modified>
</cp:coreProperties>
</file>