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numPr/>
        <w:pBdr>
          <w:bottom/>
        </w:pBdr>
        <w:snapToGrid w:val="1"/>
        <w:spacing w:line="240"/>
        <w:ind/>
        <w:jc w:val="center"/>
        <w:rPr>
          <w:b w:val="1"/>
        </w:rPr>
      </w:pPr>
      <w:r>
        <w:rPr>
          <w:b w:val="1"/>
        </w:rPr>
        <w:t>2025年关于做好</w:t>
      </w:r>
      <w:r>
        <w:rPr>
          <w:rFonts w:ascii="微软雅黑" w:hAnsi="微软雅黑" w:eastAsia="微软雅黑" w:cs="微软雅黑"/>
          <w:b w:val="1"/>
          <w:i w:val="0"/>
          <w:strike w:val="0"/>
          <w:color w:val="000000"/>
          <w:sz w:val="22"/>
          <w:u w:val="none"/>
        </w:rPr>
        <w:t>广西艺术学院</w:t>
      </w:r>
      <w:r>
        <w:rPr>
          <w:b w:val="1"/>
        </w:rPr>
        <w:t>2026届优秀应届本科毕业生推荐免试攻读硕士学位研究生工作的通知</w:t>
      </w:r>
    </w:p>
    <w:p>
      <w:pPr>
        <w:snapToGrid w:val="1"/>
        <w:spacing w:line="240"/>
        <w:ind/>
        <w:jc w:val="center"/>
        <w:rPr>
          <w:rFonts w:ascii="微软雅黑" w:hAnsi="微软雅黑" w:eastAsia="微软雅黑" w:cs="微软雅黑"/>
          <w:b w:val="1"/>
          <w:sz w:val="22"/>
        </w:rPr>
      </w:pPr>
      <w:r>
        <w:rPr>
          <w:rFonts w:ascii="微软雅黑" w:hAnsi="微软雅黑" w:eastAsia="微软雅黑" w:cs="微软雅黑"/>
          <w:b w:val="1"/>
          <w:i w:val="0"/>
          <w:strike w:val="0"/>
          <w:color w:val="000000"/>
          <w:sz w:val="22"/>
          <w:u w:val="none"/>
        </w:rPr>
        <w:t>2025-09-12 来源：广西艺术学院</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学校各有关单位：</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根据我校广艺政发〔2025〕10号文件要求及《全国普通高等学校推荐优秀应届本科毕业生免试攻读硕士学位研究生工作管理办法（试行）》《教育部关于进一步规范和加强推荐优秀应届本科毕业生免试攻读研究生工作的通知》（教学厅〔2020〕12号）等文件精神，为做好我校2026届推荐优秀应届本科毕业生免试攻读硕士学位研究生的相关工作，现将有关事项通知如下：</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一、推免生工作原则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（一）以德为先、择优选拔原则。各教学单位应制订科学、规范、明确的选拔标准及工作程序，对学生进行德智体美劳全面衡量、综合评价，从中选拔优秀学生，切实提高推免生选拔质量。</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公平、公正、公开原则。推免生工作实行直系亲属回避制度，确保选拔工作的透明度。对未按规定报备声明回避关系的相关工作人员依规依纪严肃处理，对未按规定报备声明回避关系且影响过程和结果公平公正的学生，取消其推免资格。学生申请推免资格时也应主动向学校报备。推免生名单经学校推免生遴选工作领导小组审定后进行张榜公示，接受师生的监督。</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（三）统筹兼顾、协调发展原则。推免生计划的分配要统筹兼顾各学科专业发展和各专业研究生生源情况，科学分配推免名额。对一流学科、前沿学科、基础学科及国家发展急需的相关学科给予重点支持。</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二、申请条件</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（一）推免生推荐对象应为我校纳入国家普通高等教育本科招生计划录取的应届本科毕业生（不含专升本毕业生）。</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（二）拥护中国共产党的领导，拥护社会主义制度，品德良好，遵纪守法，以德为先，思想品德考核不合格者不予推荐。</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三）勤奋学习，刻苦钻研，成绩优秀。其中，本科1至6学期的全部公共必修课程、专业必修课程各科目考试成绩不低于70分（且不能出现补考、重修情况），全部必修课程（免修、缓考除外）学习成绩总平均分排名在同年级本专业前20%以内。</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（四）科研创作成果突出，有较强的创新意识、创新能力以及科研创作潜力。</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（五）诚实守信，学风端正，无考试作弊和剽窃他人学术成果记录。</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（六）无违法违纪受处分记录，品行表现优良。</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（七）具有特殊专长或突出培养潜质的优秀学生，如不能满足全部必修课程学习成绩总平均分排名在同年级本专业前20%以内条件的，可作为特殊学术专长生进行选拔。申请者需同时符合以下三个条件：</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1.专业成绩优秀，在校期间专业必修课程学习成绩总平均分排名在同年级本专业前三名，且不能出现补考、重修情况。其中可以允许有一门公共必修课程成绩达不到70分但高于60分（含60分），其余1至6学期的全部公共必修课程、专业必修课程各科目考试成绩不低于70分。</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2.本科阶段在核心期刊（我校界定的一、二、三类期刊）上以独立作者或第一作者发表与学业相关的科研论文；或作为主力成员参加与学业相关的国家级竞赛（在我校发布的科研创作获奖范畴目录内）并获得三等奖以上奖励（国际赛事参照执行，但不得低于国内赛事相关要求）。</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3.需有我校相关专业三名以上教授联名推荐。</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特殊学术专长生的有关说明材料和教授联名推荐信须向全校公示不少于三个工作日。</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（八）符合《教育部办公厅关于进一步做好高校学生参军入伍工作的通知》（教学厅〔2015〕3号）的学生，学校将按该文件要求执行。</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三、评分办法</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（一）推免生综合成绩满分为100分，其中专业必修课程分数占90%，专项加分占10%。</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专项加分累计原始总分封顶100分。专项加分包括：科研创作获奖加分、荣誉表彰加分、发表论文加分、科研项目类加分。</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计算公式为：综合成绩总分=专业必修课程平均分×90%＋专项加分×10%。（具体计算方法以附件1为准）</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（二）科研创作获奖加分规则如下：</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1.科研创作同一作品只取分值最高的一项加分，不同赛事不累加；同一赛事多个作品最多只取分值最高的2个作品加分。</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2.如果赛事设有特等奖的，特等奖加分值按同类一等奖计算加分。没有设等级奖项赛事按三等奖计算加分。</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3.科研创作的集体奖，每人按加分分值乘上相应系数，具体如下：</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A.主演、主创、指挥、首席、领唱、领舞，乘0.5；</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B.2—5人，乘0.4；</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C.6—12人，乘0.3；</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D.13—20人，乘0.2；</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E.21人以上，乘0.1。</w:t>
      </w:r>
    </w:p>
    <w:p>
      <w:pPr>
        <w:pBdr>
          <w:bottom/>
        </w:pBd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注：获奖未注明主演、主创、指挥、首席、领唱、领舞的，按B-E规则加分。</w:t>
      </w:r>
    </w:p>
    <w:tbl>
      <w:tblPr>
        <w:tblStyle w:val="000015"/>
        <w:tblLayout w:type="fixed"/>
      </w:tblPr>
      <w:tblGrid>
        <w:gridCol w:w="1383"/>
        <w:gridCol w:w="1383"/>
        <w:gridCol w:w="1383"/>
        <w:gridCol w:w="1383"/>
        <w:gridCol w:w="1383"/>
        <w:gridCol w:w="1383"/>
      </w:tblGrid>
      <w:tr>
        <w:trPr/>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序号</w:t>
            </w:r>
          </w:p>
        </w:tc>
        <w:tc>
          <w:tcPr>
            <w:tcW w:w="1383"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奖项等级</w:t>
            </w:r>
          </w:p>
        </w:tc>
        <w:tc>
          <w:tcPr>
            <w:tcW w:w="5532" w:type="dxa"/>
            <w:gridSpan w:val="4"/>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加分值</w:t>
            </w:r>
          </w:p>
        </w:tc>
      </w:tr>
      <w:tr>
        <w:trPr/>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1383"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一等奖</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二等奖</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三等奖/优秀奖</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展演入选</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国家级一类</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4.0</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国家级二类</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3.0</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国家级三类</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2.5</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省部级一类</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省部级二类</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1.5</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省部级三类</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市厅级一类</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0</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市厅级二类</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0.5</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0</w:t>
            </w:r>
          </w:p>
        </w:tc>
      </w:tr>
      <w:tr>
        <w:trPr/>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9</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市厅级三类</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0.6</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0.3</w:t>
            </w:r>
          </w:p>
        </w:tc>
        <w:tc>
          <w:tcPr>
            <w:tcW w:w="1383"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0</w:t>
            </w:r>
          </w:p>
        </w:tc>
      </w:tr>
    </w:tbl>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科研创作获奖加分分值标准如下：</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（三）荣誉表彰加分规则如下：</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学生所获荣誉表彰中，仅取1项加分。</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荣誉表彰加分分值标准如下：</w:t>
      </w:r>
    </w:p>
    <w:tbl>
      <w:tblPr>
        <w:tblStyle w:val="000015"/>
        <w:tblLayout w:type="fixed"/>
      </w:tblPr>
      <w:tblGrid>
        <w:gridCol w:w="2074"/>
        <w:gridCol w:w="2074"/>
        <w:gridCol w:w="2074"/>
        <w:gridCol w:w="2074"/>
      </w:tblGrid>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序号</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奖项等级</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奖项名称</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加分值</w:t>
            </w:r>
          </w:p>
        </w:tc>
      </w:tr>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国家级</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国家奖学金</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2.0分</w:t>
            </w:r>
          </w:p>
        </w:tc>
      </w:tr>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省部级</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人民政府奖学金、</w:t>
            </w:r>
          </w:p>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优秀三好学生、</w:t>
            </w:r>
          </w:p>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优秀团干、</w:t>
            </w:r>
          </w:p>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优秀团员</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1.0分</w:t>
            </w:r>
          </w:p>
        </w:tc>
      </w:tr>
    </w:tbl>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（四）发表论文加分规则如下：</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1.论文必须是以独立作者或第一作者在国内外公开发行的学术刊物（有ISSN或CN刊号）上发表的学术论文，要求正式见刊，用稿通知不算。</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2.论文查重重合率不得高于15%（含15%），论文字数不少于4000字。</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3.论文发表不含增刊、特刊、专刊、论文集等形式的出版物。若是附件2中的第四类期刊论文必须能够在“中国知网”查询。</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4.同一期刊的同一期号发表的论文最多只取1篇。同一期刊同一年度发表的论文最多只取2篇。每人的论文总数最多只计5篇。</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论文加分分值标准如下：</w:t>
      </w:r>
    </w:p>
    <w:tbl>
      <w:tblPr>
        <w:tblStyle w:val="000015"/>
        <w:tblLayout w:type="fixed"/>
      </w:tblPr>
      <w:tblGrid>
        <w:gridCol w:w="1071"/>
        <w:gridCol w:w="2436"/>
        <w:gridCol w:w="4791"/>
      </w:tblGrid>
      <w:tr>
        <w:trPr/>
        <w:tc>
          <w:tcPr>
            <w:tcW w:w="107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序号</w:t>
            </w:r>
          </w:p>
        </w:tc>
        <w:tc>
          <w:tcPr>
            <w:tcW w:w="2436"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期刊类型</w:t>
            </w:r>
          </w:p>
        </w:tc>
        <w:tc>
          <w:tcPr>
            <w:tcW w:w="479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加分值</w:t>
            </w:r>
          </w:p>
        </w:tc>
      </w:tr>
      <w:tr>
        <w:trPr/>
        <w:tc>
          <w:tcPr>
            <w:tcW w:w="107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2436"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一类期刊</w:t>
            </w:r>
          </w:p>
        </w:tc>
        <w:tc>
          <w:tcPr>
            <w:tcW w:w="479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独立作者10.0分，第一作者8.0分</w:t>
            </w:r>
          </w:p>
        </w:tc>
      </w:tr>
      <w:tr>
        <w:trPr/>
        <w:tc>
          <w:tcPr>
            <w:tcW w:w="107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2436"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二类期刊</w:t>
            </w:r>
          </w:p>
        </w:tc>
        <w:tc>
          <w:tcPr>
            <w:tcW w:w="479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独立作者8.0分，第一作者6.0分</w:t>
            </w:r>
          </w:p>
        </w:tc>
      </w:tr>
      <w:tr>
        <w:trPr/>
        <w:tc>
          <w:tcPr>
            <w:tcW w:w="107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2436"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三类期刊</w:t>
            </w:r>
          </w:p>
        </w:tc>
        <w:tc>
          <w:tcPr>
            <w:tcW w:w="479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独立作者6.0分，第一作者4.0分</w:t>
            </w:r>
          </w:p>
        </w:tc>
      </w:tr>
      <w:tr>
        <w:trPr/>
        <w:tc>
          <w:tcPr>
            <w:tcW w:w="107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2436"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四类期刊</w:t>
            </w:r>
          </w:p>
        </w:tc>
        <w:tc>
          <w:tcPr>
            <w:tcW w:w="479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独立作者2.0分，第一作者1.0分</w:t>
            </w:r>
          </w:p>
        </w:tc>
      </w:tr>
      <w:tr>
        <w:trPr/>
        <w:tc>
          <w:tcPr>
            <w:tcW w:w="107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2436"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著作类</w:t>
            </w:r>
          </w:p>
        </w:tc>
        <w:tc>
          <w:tcPr>
            <w:tcW w:w="479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学术专著要求完成不少于10万字，独立作者8.0分，第一作者6.0分</w:t>
            </w:r>
          </w:p>
        </w:tc>
      </w:tr>
    </w:tbl>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（五）科研项目类加分规则如下：</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1.要求是纵向项目，且经费进入学校财务（自筹经费项目除外）。</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2.仅赋分给项目负责人。</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3.项目已开题未结题的，按50%计分。</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科研项目加分分值标准如下：</w:t>
      </w:r>
    </w:p>
    <w:tbl>
      <w:tblPr>
        <w:tblStyle w:val="000015"/>
        <w:tblLayout w:type="fixed"/>
      </w:tblPr>
      <w:tblGrid>
        <w:gridCol w:w="891"/>
        <w:gridCol w:w="3396"/>
        <w:gridCol w:w="4011"/>
      </w:tblGrid>
      <w:tr>
        <w:trPr/>
        <w:tc>
          <w:tcPr>
            <w:tcW w:w="89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序号</w:t>
            </w:r>
          </w:p>
        </w:tc>
        <w:tc>
          <w:tcPr>
            <w:tcW w:w="3396"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项目级别</w:t>
            </w:r>
          </w:p>
        </w:tc>
        <w:tc>
          <w:tcPr>
            <w:tcW w:w="401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加分值</w:t>
            </w:r>
          </w:p>
        </w:tc>
      </w:tr>
      <w:tr>
        <w:trPr/>
        <w:tc>
          <w:tcPr>
            <w:tcW w:w="89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3396"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国家级</w:t>
            </w:r>
          </w:p>
        </w:tc>
        <w:tc>
          <w:tcPr>
            <w:tcW w:w="401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10分</w:t>
            </w:r>
          </w:p>
        </w:tc>
      </w:tr>
      <w:tr>
        <w:trPr/>
        <w:tc>
          <w:tcPr>
            <w:tcW w:w="89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3396"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省部级</w:t>
            </w:r>
          </w:p>
        </w:tc>
        <w:tc>
          <w:tcPr>
            <w:tcW w:w="401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4分</w:t>
            </w:r>
          </w:p>
        </w:tc>
      </w:tr>
      <w:tr>
        <w:trPr/>
        <w:tc>
          <w:tcPr>
            <w:tcW w:w="89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3396"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市厅级</w:t>
            </w:r>
          </w:p>
        </w:tc>
        <w:tc>
          <w:tcPr>
            <w:tcW w:w="401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3分</w:t>
            </w:r>
          </w:p>
        </w:tc>
      </w:tr>
      <w:tr>
        <w:trPr/>
        <w:tc>
          <w:tcPr>
            <w:tcW w:w="89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3396"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大学生创新创业训练计划项目</w:t>
            </w:r>
          </w:p>
        </w:tc>
        <w:tc>
          <w:tcPr>
            <w:tcW w:w="4011"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国家级2分，省级1分，校级0.5分</w:t>
            </w:r>
          </w:p>
        </w:tc>
      </w:tr>
    </w:tbl>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（六）其他要求：</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1.科研创作获奖、荣誉表彰加分、科研项目类加分以证书原件或文件、网络正式公布的为准，发表论文以正式的刊物为准。</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2.科研创作获奖、荣誉表彰、发表论文、科研项目类等成果需为大一至大三期间获得，截止期限为2025年8月31日。</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3.学生与直系亲属或学历、职称、职务明显高于本人者合作的科研成果、竞赛奖项等仅作为参考，不纳入学生本人推免遴选综合评价成绩计算体系，同等条件下可优先考虑。</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四、遴选规则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一）教育部下达我校推免生名额预计于9月份下发，我校结合实际情况确定各专业名额分配。学校设置一定比例的全校性竞争名额，由各教学单位推免生遴选工作组提名，学校推免生遴选工作领导小组审定，重点向本校生源质量好、师资力量强、办学水平高、学科特色显著的优势学科和重点发展学科倾斜。</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（二）各教学单位依据学校制定的遴选规则（见附件1）进行排序（含特殊学术专长人才），按1:2确定本单位推免生候选人名单报送学校。</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三）召开学校推免生工作领导小组会议，不少于（含）三分之二成员参会方为有效。会议对教学单位报送的人选（含全校性竞争名额人选）进行审查筛选并投票表决。投票采取不记名方式，票数达到参会全体成员半数以上的学生根据推免生名额依据票数从高到低依次推荐，投票结果必须经参加会议的推免生工作领导小组成员签字。</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四）公示期间如有异议或自动放弃推荐资格的，优先从所在专业候选学生中按遴选规则进行替补；若本专业无符合条件者，则从该教学单位候选学生中依据遴选规则进行替补。对于教学单位出现工作失误，学校将酌情扣减该单位后续年份推免生指标。</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五、工作安排与要求</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（一）教学单位成立推免生遴选工作组并制定工作方案（7月7日-8月31日）</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1.各教学单位成立推免生遴选工作组，由各教学单位党政主要负责人任组长，相关负责人、专家教授代表为成员，一般不少于5人。其中专家成员应具有相关学科副教授以上职称。报教务处审核备案。</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2.因参加推免的年级需要确定成绩作为排序，请教学单位、开课单位督促任课老师按时完成成绩录入，并在遴选工作开始以前完成成绩复核工作。学生可以看到成绩之日起即可复核，到8月31日止。</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3.教学单位制定推荐细则安排依照学校推免生工作的原则和申请条件，结合本单位各学科专业（方向）和各专业（方向）生源情况，制定本单位工作方案、推荐细则及遴选规则，8月28日中午下班前报教务处审核备案。</w:t>
      </w:r>
    </w:p>
    <w:p>
      <w:pPr>
        <w:snapToGrid w:val="1"/>
        <w:spacing w:line="240"/>
        <w:ind/>
        <w:rPr>
          <w:rFonts w:ascii="微软雅黑" w:hAnsi="微软雅黑" w:eastAsia="微软雅黑" w:cs="微软雅黑"/>
          <w:sz w:val="22"/>
        </w:rPr>
      </w:pPr>
      <w:r>
        <w:rPr>
          <w:rFonts w:ascii="微软雅黑" w:hAnsi="微软雅黑" w:eastAsia="微软雅黑" w:cs="微软雅黑"/>
          <w:b w:val="1"/>
          <w:i w:val="0"/>
          <w:strike w:val="0"/>
          <w:color w:val="000000"/>
          <w:sz w:val="22"/>
          <w:u w:val="none"/>
        </w:rPr>
        <w:t>4.教学单位公布推荐细则、遴选规则，符合申请条件的学生名单（8月1日-8月31日）</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教学单位公布：1.推荐细则；2.遴选规则；3.第1至6学期的全部必修课程学习成绩总平均分排名在同年级本专业前20%学生排名表，并进行办法讲解和工作动员。</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（二）学生报名（9月1日-2日）</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符合申请条件的学生登录http://192.168.75.64/a_jxfzxtnew/tms/login.asp（校园网）进行网上报名，输出打印“申请表”签名后（见附件2）交所在教学单位并提交相应的证明材料。教学单位指定专人负责核实学生提交的材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（三）教学单位组织遴选（9月2日-4日）</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1、教学单位推免生遴选工作组根据本通知要求组织推荐和遴选工作，登录教辅系统录入学生“专项加分”，按照“专业必修课程平均分×90%＋专项加分×10%”得出的综合成绩进行排序，按遴选规则择优推荐。教学单位对申请推免资格学生的科研创新成果、论文（文章）、竞赛获奖奖项及内容进行审核鉴定，排除抄袭、造假、冒名及有名无实等情况，并组织相关学生在本单位一定范围进行公开答辩、评价，评价重点聚焦到创作质量和个人贡献。推免生遴选工作组及每位成员都要给出明确审核鉴定意见并签字存档。答辩全程要录音录像，录音录像由教学单位保管至学生毕业一年后，答辩结果要公开公示，未通过审核鉴定或答辩的学生不得推荐。对在申请推免生过程中弄虚作假的学生，一经发现，即取消其推免生资格，对已录取者取消录取资格和学籍，并按学生管理规定予以相应处分。</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（四）教学单位公示（9月5日-7日）</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各教学单位推免生遴选工作组根据有关文件要求审定推免生申请人名单，并在本教学单位公示，时间不少于3天。公示内容包括学生学号、姓名、专业、课程分数、专项加分内容及分值、综合成绩及排名等信息。</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（五）教学单位上报材料（预计9月8日-9日、具体时间根据教育部名额下达的文件进行调整）</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各教学单位按学校分配的推免生名额，以1:2的比例确定推免生候选人名单，并在本单位进行公示，公示时间不少于3天。公示内容包括学生学号、姓名、专业、课程分数、专项加分内容及分值、综合成绩及排名等信息。</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教学单位将以下材料：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工作方案</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推荐细则（公示件）</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遴选规则（公示件）</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推免生候选人的材料（申请表、科研创作获奖、荣誉表彰、发表论文（包括查重证明）、科研项目等）</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特殊学术专长人才的三名教授联名推荐信</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《广西艺术学院2026届“推免生”专项加分统计表》（见附件3）（此表由教辅系统导出，教学单位自行下载）</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《广西艺术学院2026届“推免生”汇总表》（见附件4）（此表由教辅系统导出，教学单位自行下载）</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推免生申请人公示材料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推免生候选人公示材料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加盖教学单位公章后报教务处学籍科邮箱：gyxjk2021@163.com，相关纸质材料教学单位留存备案。教务处汇总、审核后，提交学校推免生工作领导小组审查。</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以上材料须填写提交推免生教学单位上报材料清单（附件6：推免生教学单位上报材料清单）</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（六）学校审查、公示（预计9月10日—25日、具体时间根据教育部名额下达的文件进行调整）</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学校推免生工作领导小组进行最终审查筛选，确定推免生名单，并在校内进行公示，公示无异议后，学校下文公布获得推免资格的学生名单。</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获得推免资格的学生，自行登录教育部 “全国推荐免试攻读研究生信息公开管理服务系统”（网址:http://yz.chsi.com.cn/tm），进行注册并填报个人资料信息。通过该系统填写报考志愿、接收并确认招生单位的复试及待录取通知等相关手续。</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（七）推免生是激励广大在校本科生勤奋学习、积极创新、全面发展的有效措施，也是提供优质研究生生源的主要渠道，各单位要高度重视做好该项工作。</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（八）各教学单位成立推免生遴选工作组，依照学校推免生工作的原则和条件，制定本单位推荐细则，指定专人负责推免生工作,并将相关精神传达给每位学生。</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九）推免生工作是一项十分严肃的工作，各单位、各部门一定要严肃认真地对待，严格做到公平、公正、公开，坚决杜绝各种不正之风。严格规范执行政策，切实提高推免工作质量；加强工作监督管理，保障学生自主报考权益，严肃查处学术不端、弄虚作假等违规违纪行为，纪检监察部门要对推免工作实行全程监督。</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六、其他相关规定</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（一）对在申请推免生过程中弄虚作假的学生，一经发现，即取消其推免生资格，对已录取者取消录取资格和学籍，并按学生管理规定予以相应处分。</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（二）获得我校推免资格的学生，在入学前未取得本科毕业证书的，或受到处分的，取消录取资格。</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（三）我校确定接收的推免生，必须与学校签订承诺书，未经同意，不得出国、就业或报名参加全国硕士研究生招生入学统一考试。</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附件：1.“推免生”遴选规则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2.《广西艺术学院2026届“推免生”申请表》</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3.《广西艺术学院2026届“推免生”专项加分统计表》</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4.《广西艺术学院2026届“推免生”汇总表》</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5.“推免生”科研创作获奖加分目录汇总表</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6.广西艺术学院“推免生”论文发表加分范畴汇总表</w:t>
      </w:r>
    </w:p>
    <w:p>
      <w:pPr>
        <w:pBdr>
          <w:bottom/>
        </w:pBd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7.推免生教学单位上报材料清单         </w:t>
      </w:r>
    </w:p>
    <w:p>
      <w:pPr>
        <w:snapToGrid w:val="1"/>
        <w:spacing w:line="240"/>
        <w:ind/>
        <w:jc w:val="both"/>
        <w:rPr>
          <w:rFonts w:ascii="微软雅黑" w:hAnsi="微软雅黑" w:eastAsia="微软雅黑" w:cs="微软雅黑"/>
          <w:sz w:val="22"/>
        </w:rPr>
      </w:pPr>
      <w:r>
        <w:rPr>
          <w:rFonts w:ascii="微软雅黑" w:hAnsi="微软雅黑" w:eastAsia="微软雅黑" w:cs="微软雅黑"/>
          <w:i w:val="0"/>
          <w:strike w:val="0"/>
          <w:color w:val="000000"/>
          <w:sz w:val="22"/>
          <w:u w:val="none"/>
        </w:rPr>
        <w:t>广西艺术学院</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2025年7月7日</w:t>
      </w:r>
    </w:p>
    <w:p>
      <w:pPr>
        <w:pBdr>
          <w:bottom/>
        </w:pBdr>
        <w:snapToGrid w:val="1"/>
        <w:spacing w:line="240"/>
        <w:ind/>
        <w:rPr>
          <w:rFonts w:ascii="微软雅黑" w:hAnsi="微软雅黑" w:eastAsia="微软雅黑" w:cs="微软雅黑"/>
          <w:b w:val="1"/>
          <w:sz w:val="22"/>
        </w:rPr>
      </w:pPr>
      <w:r>
        <w:rPr>
          <w:rFonts w:ascii="微软雅黑" w:hAnsi="微软雅黑" w:eastAsia="微软雅黑" w:cs="微软雅黑"/>
          <w:i w:val="0"/>
          <w:strike w:val="0"/>
          <w:color w:val="000000"/>
          <w:sz w:val="22"/>
          <w:u w:val="none"/>
        </w:rPr>
        <w:t> </w:t>
      </w:r>
      <w:r>
        <w:rPr>
          <w:rFonts w:ascii="微软雅黑" w:hAnsi="微软雅黑" w:eastAsia="微软雅黑" w:cs="微软雅黑"/>
          <w:b w:val="1"/>
          <w:i w:val="0"/>
          <w:strike w:val="0"/>
          <w:color w:val="000000"/>
          <w:sz w:val="22"/>
          <w:u w:val="none"/>
        </w:rPr>
        <w:t>附件1</w:t>
      </w:r>
    </w:p>
    <w:p>
      <w:pPr>
        <w:snapToGrid w:val="1"/>
        <w:spacing w:line="240"/>
        <w:ind/>
        <w:rPr>
          <w:rFonts w:ascii="微软雅黑" w:hAnsi="微软雅黑" w:eastAsia="微软雅黑" w:cs="微软雅黑"/>
          <w:b w:val="1"/>
          <w:sz w:val="22"/>
        </w:rPr>
      </w:pPr>
      <w:r>
        <w:rPr>
          <w:rFonts w:ascii="微软雅黑" w:hAnsi="微软雅黑" w:eastAsia="微软雅黑" w:cs="微软雅黑"/>
          <w:b w:val="1"/>
          <w:i w:val="0"/>
          <w:strike w:val="0"/>
          <w:color w:val="000000"/>
          <w:sz w:val="22"/>
          <w:u w:val="none"/>
        </w:rPr>
        <w:t> </w:t>
      </w:r>
    </w:p>
    <w:p>
      <w:pPr>
        <w:snapToGrid w:val="1"/>
        <w:spacing w:line="240"/>
        <w:ind/>
        <w:jc w:val="center"/>
        <w:rPr>
          <w:rFonts w:ascii="微软雅黑" w:hAnsi="微软雅黑" w:eastAsia="微软雅黑" w:cs="微软雅黑"/>
          <w:b w:val="1"/>
          <w:sz w:val="22"/>
        </w:rPr>
      </w:pPr>
      <w:r>
        <w:rPr>
          <w:rFonts w:ascii="微软雅黑" w:hAnsi="微软雅黑" w:eastAsia="微软雅黑" w:cs="微软雅黑"/>
          <w:b w:val="1"/>
          <w:i w:val="0"/>
          <w:strike w:val="0"/>
          <w:color w:val="000000"/>
          <w:sz w:val="22"/>
          <w:u w:val="none"/>
        </w:rPr>
        <w:t>“推免生”遴选规则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 </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说明：“总分1”指的是：专业必修课平均分×90%＋专项加分×10%</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“总分2”指的是：（公共必修课和专业必修课）平均分×90%＋专项加分×10%</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总分四舍五入，保留两位小数。</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一、二级学院向学校推送入围名单（1:2）遴选办法</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（一）计算规则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二级学院按专业来分配学校下达的入围指标（说明：某一专业若设有多个方向，都归入该专业）。每个专业向学校推送入围人数的计算</w:t>
      </w:r>
      <w:r>
        <w:rPr>
          <w:rFonts w:ascii="微软雅黑" w:hAnsi="微软雅黑" w:eastAsia="微软雅黑" w:cs="微软雅黑"/>
          <w:b w:val="1"/>
          <w:i w:val="0"/>
          <w:strike w:val="0"/>
          <w:color w:val="000000"/>
          <w:sz w:val="22"/>
          <w:u w:val="none"/>
        </w:rPr>
        <w:t>公式1</w:t>
      </w:r>
      <w:r>
        <w:rPr>
          <w:rFonts w:ascii="微软雅黑" w:hAnsi="微软雅黑" w:eastAsia="微软雅黑" w:cs="微软雅黑"/>
          <w:i w:val="0"/>
          <w:strike w:val="0"/>
          <w:color w:val="000000"/>
          <w:sz w:val="22"/>
          <w:u w:val="none"/>
        </w:rPr>
        <w:t>：</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（该专业本科毕业生数÷本学院当届本科毕业生总数）×学校下达二级学院指标×2，取整。（说明：“×2”源于学院按1:2向学校推荐入围人选）</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（二）排名规则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1.按“总分1”项从高到低排序。</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2.若“总分1”项相同，按“总分2”项从高到低排序。</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3.若“总分2”相同情况下，优先推荐有参军入伍服兵役经历的学生，其次按第二课堂成绩单中“社会实践和志愿服务类”和“工作成长经历类”总积分从高到低推荐。</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（三）遴选步骤</w:t>
      </w:r>
    </w:p>
    <w:p>
      <w:pPr>
        <w:snapToGrid w:val="1"/>
        <w:spacing w:line="240"/>
        <w:ind/>
        <w:rPr>
          <w:rFonts w:ascii="微软雅黑" w:hAnsi="微软雅黑" w:eastAsia="微软雅黑" w:cs="微软雅黑"/>
          <w:sz w:val="22"/>
        </w:rPr>
      </w:pPr>
      <w:r>
        <w:rPr>
          <w:rFonts w:ascii="微软雅黑" w:hAnsi="微软雅黑" w:eastAsia="微软雅黑" w:cs="微软雅黑"/>
          <w:b w:val="1"/>
          <w:i w:val="0"/>
          <w:strike w:val="0"/>
          <w:color w:val="000000"/>
          <w:sz w:val="22"/>
          <w:u w:val="none"/>
        </w:rPr>
        <w:t>第一轮：</w:t>
      </w:r>
      <w:r>
        <w:rPr>
          <w:rFonts w:ascii="微软雅黑" w:hAnsi="微软雅黑" w:eastAsia="微软雅黑" w:cs="微软雅黑"/>
          <w:i w:val="0"/>
          <w:strike w:val="0"/>
          <w:color w:val="000000"/>
          <w:sz w:val="22"/>
          <w:u w:val="none"/>
        </w:rPr>
        <w:t>按公式1计算出人数指标（取整），在</w:t>
      </w:r>
      <w:r>
        <w:rPr>
          <w:rFonts w:ascii="微软雅黑" w:hAnsi="微软雅黑" w:eastAsia="微软雅黑" w:cs="微软雅黑"/>
          <w:b w:val="1"/>
          <w:i w:val="0"/>
          <w:strike w:val="0"/>
          <w:color w:val="000000"/>
          <w:sz w:val="22"/>
          <w:u w:val="none"/>
        </w:rPr>
        <w:t>该专业内部</w:t>
      </w:r>
      <w:r>
        <w:rPr>
          <w:rFonts w:ascii="微软雅黑" w:hAnsi="微软雅黑" w:eastAsia="微软雅黑" w:cs="微软雅黑"/>
          <w:i w:val="0"/>
          <w:strike w:val="0"/>
          <w:color w:val="000000"/>
          <w:sz w:val="22"/>
          <w:u w:val="none"/>
        </w:rPr>
        <w:t>按以上排名规则从高到低确定人选。</w:t>
      </w:r>
    </w:p>
    <w:p>
      <w:pPr>
        <w:snapToGrid w:val="1"/>
        <w:spacing w:line="240"/>
        <w:ind/>
        <w:rPr>
          <w:rFonts w:ascii="微软雅黑" w:hAnsi="微软雅黑" w:eastAsia="微软雅黑" w:cs="微软雅黑"/>
          <w:sz w:val="22"/>
        </w:rPr>
      </w:pPr>
      <w:r>
        <w:rPr>
          <w:rFonts w:ascii="微软雅黑" w:hAnsi="微软雅黑" w:eastAsia="微软雅黑" w:cs="微软雅黑"/>
          <w:b w:val="1"/>
          <w:i w:val="0"/>
          <w:strike w:val="0"/>
          <w:color w:val="000000"/>
          <w:sz w:val="22"/>
          <w:u w:val="none"/>
        </w:rPr>
        <w:t>第二轮：</w:t>
      </w:r>
      <w:r>
        <w:rPr>
          <w:rFonts w:ascii="微软雅黑" w:hAnsi="微软雅黑" w:eastAsia="微软雅黑" w:cs="微软雅黑"/>
          <w:i w:val="0"/>
          <w:strike w:val="0"/>
          <w:color w:val="000000"/>
          <w:sz w:val="22"/>
          <w:u w:val="none"/>
        </w:rPr>
        <w:t>将人数指标取整后的余数，进行第二轮遴选。分两种情况：</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第1种情况：第一轮遴选后，若每个专业的人数指标≥1，则余数指标在二级学院</w:t>
      </w:r>
      <w:r>
        <w:rPr>
          <w:rFonts w:ascii="微软雅黑" w:hAnsi="微软雅黑" w:eastAsia="微软雅黑" w:cs="微软雅黑"/>
          <w:b w:val="1"/>
          <w:i w:val="0"/>
          <w:strike w:val="0"/>
          <w:color w:val="000000"/>
          <w:sz w:val="22"/>
          <w:u w:val="none"/>
        </w:rPr>
        <w:t>全部专业</w:t>
      </w:r>
      <w:r>
        <w:rPr>
          <w:rFonts w:ascii="微软雅黑" w:hAnsi="微软雅黑" w:eastAsia="微软雅黑" w:cs="微软雅黑"/>
          <w:i w:val="0"/>
          <w:strike w:val="0"/>
          <w:color w:val="000000"/>
          <w:sz w:val="22"/>
          <w:u w:val="none"/>
        </w:rPr>
        <w:t>中，按排名规则进行遴选，且要求每个专业遴选人数不能超过1名。如果还有剩余指标，重复“在二级学院</w:t>
      </w:r>
      <w:r>
        <w:rPr>
          <w:rFonts w:ascii="微软雅黑" w:hAnsi="微软雅黑" w:eastAsia="微软雅黑" w:cs="微软雅黑"/>
          <w:b w:val="1"/>
          <w:i w:val="0"/>
          <w:strike w:val="0"/>
          <w:color w:val="000000"/>
          <w:sz w:val="22"/>
          <w:u w:val="none"/>
        </w:rPr>
        <w:t>全部专业</w:t>
      </w:r>
      <w:r>
        <w:rPr>
          <w:rFonts w:ascii="微软雅黑" w:hAnsi="微软雅黑" w:eastAsia="微软雅黑" w:cs="微软雅黑"/>
          <w:i w:val="0"/>
          <w:strike w:val="0"/>
          <w:color w:val="000000"/>
          <w:sz w:val="22"/>
          <w:u w:val="none"/>
        </w:rPr>
        <w:t>中，按排名规则进行遴选，且要求每个专业遴选人数不能超过1名。”该步骤，直至所有指标使用完成。</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第2种情况：第一轮遴选后，若部分专业人数指标=0，则余数指标在</w:t>
      </w:r>
      <w:r>
        <w:rPr>
          <w:rFonts w:ascii="微软雅黑" w:hAnsi="微软雅黑" w:eastAsia="微软雅黑" w:cs="微软雅黑"/>
          <w:b w:val="1"/>
          <w:i w:val="0"/>
          <w:strike w:val="0"/>
          <w:color w:val="000000"/>
          <w:sz w:val="22"/>
          <w:u w:val="none"/>
        </w:rPr>
        <w:t>这些零指标专业</w:t>
      </w:r>
      <w:r>
        <w:rPr>
          <w:rFonts w:ascii="微软雅黑" w:hAnsi="微软雅黑" w:eastAsia="微软雅黑" w:cs="微软雅黑"/>
          <w:i w:val="0"/>
          <w:strike w:val="0"/>
          <w:color w:val="000000"/>
          <w:sz w:val="22"/>
          <w:u w:val="none"/>
        </w:rPr>
        <w:t>中，按排名规则进行遴选，且每个专业遴选人数不能超过1名。如果还有剩余指标，则在二级学院</w:t>
      </w:r>
      <w:r>
        <w:rPr>
          <w:rFonts w:ascii="微软雅黑" w:hAnsi="微软雅黑" w:eastAsia="微软雅黑" w:cs="微软雅黑"/>
          <w:b w:val="1"/>
          <w:i w:val="0"/>
          <w:strike w:val="0"/>
          <w:color w:val="000000"/>
          <w:sz w:val="22"/>
          <w:u w:val="none"/>
        </w:rPr>
        <w:t>全部专业</w:t>
      </w:r>
      <w:r>
        <w:rPr>
          <w:rFonts w:ascii="微软雅黑" w:hAnsi="微软雅黑" w:eastAsia="微软雅黑" w:cs="微软雅黑"/>
          <w:i w:val="0"/>
          <w:strike w:val="0"/>
          <w:color w:val="000000"/>
          <w:sz w:val="22"/>
          <w:u w:val="none"/>
        </w:rPr>
        <w:t>中，按排名规则进行遴选，且要求每个专业遴选人数不能超过1名。如果还有剩余指标，重复“在二级学院</w:t>
      </w:r>
      <w:r>
        <w:rPr>
          <w:rFonts w:ascii="微软雅黑" w:hAnsi="微软雅黑" w:eastAsia="微软雅黑" w:cs="微软雅黑"/>
          <w:b w:val="1"/>
          <w:i w:val="0"/>
          <w:strike w:val="0"/>
          <w:color w:val="000000"/>
          <w:sz w:val="22"/>
          <w:u w:val="none"/>
        </w:rPr>
        <w:t>全部专业</w:t>
      </w:r>
      <w:r>
        <w:rPr>
          <w:rFonts w:ascii="微软雅黑" w:hAnsi="微软雅黑" w:eastAsia="微软雅黑" w:cs="微软雅黑"/>
          <w:i w:val="0"/>
          <w:strike w:val="0"/>
          <w:color w:val="000000"/>
          <w:sz w:val="22"/>
          <w:u w:val="none"/>
        </w:rPr>
        <w:t>中，按排名规则进行遴选，且要求每个专业遴选人数不能超过1名。”该步骤，直至所有指标使用完成。</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二、二级学院确定“拟推荐”（1：1）名单遴选办法</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（一）计算规则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二级学院按专业来确定学校下达的“拟推荐”指标（说明：某一专业若设有多个方向，都归入该专业）。每个专业向学校推荐的人数的计算</w:t>
      </w:r>
      <w:r>
        <w:rPr>
          <w:rFonts w:ascii="微软雅黑" w:hAnsi="微软雅黑" w:eastAsia="微软雅黑" w:cs="微软雅黑"/>
          <w:b w:val="1"/>
          <w:i w:val="0"/>
          <w:strike w:val="0"/>
          <w:color w:val="000000"/>
          <w:sz w:val="22"/>
          <w:u w:val="none"/>
        </w:rPr>
        <w:t>公式2</w:t>
      </w:r>
      <w:r>
        <w:rPr>
          <w:rFonts w:ascii="微软雅黑" w:hAnsi="微软雅黑" w:eastAsia="微软雅黑" w:cs="微软雅黑"/>
          <w:i w:val="0"/>
          <w:strike w:val="0"/>
          <w:color w:val="000000"/>
          <w:sz w:val="22"/>
          <w:u w:val="none"/>
        </w:rPr>
        <w:t>：</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（该专业本科毕业生数÷本学院当届本科毕业生总数）×学校下达二级学院指标，取整。）</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（二）排名规则</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1.按“总分1”项从高到低排序。</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2.若“总分1”项相同，按“总分2”项从高到低排序。</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3.若“总分2”相同情况下，优先推荐有参军入伍服兵役经历的学生，其次按第二课堂成绩单中“社会实践和志愿服务类”和“工作成长经历类”总积分从高到低推荐。</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（三）遴选步骤</w:t>
      </w:r>
    </w:p>
    <w:p>
      <w:pPr>
        <w:snapToGrid w:val="1"/>
        <w:spacing w:line="240"/>
        <w:ind/>
        <w:rPr>
          <w:rFonts w:ascii="微软雅黑" w:hAnsi="微软雅黑" w:eastAsia="微软雅黑" w:cs="微软雅黑"/>
          <w:sz w:val="22"/>
        </w:rPr>
      </w:pPr>
      <w:r>
        <w:rPr>
          <w:rFonts w:ascii="微软雅黑" w:hAnsi="微软雅黑" w:eastAsia="微软雅黑" w:cs="微软雅黑"/>
          <w:b w:val="1"/>
          <w:i w:val="0"/>
          <w:strike w:val="0"/>
          <w:color w:val="000000"/>
          <w:sz w:val="22"/>
          <w:u w:val="none"/>
        </w:rPr>
        <w:t>第一轮：</w:t>
      </w:r>
      <w:r>
        <w:rPr>
          <w:rFonts w:ascii="微软雅黑" w:hAnsi="微软雅黑" w:eastAsia="微软雅黑" w:cs="微软雅黑"/>
          <w:i w:val="0"/>
          <w:strike w:val="0"/>
          <w:color w:val="000000"/>
          <w:sz w:val="22"/>
          <w:u w:val="none"/>
        </w:rPr>
        <w:t>按公式2计算出人数指标（取整），在</w:t>
      </w:r>
      <w:r>
        <w:rPr>
          <w:rFonts w:ascii="微软雅黑" w:hAnsi="微软雅黑" w:eastAsia="微软雅黑" w:cs="微软雅黑"/>
          <w:b w:val="1"/>
          <w:i w:val="0"/>
          <w:strike w:val="0"/>
          <w:color w:val="000000"/>
          <w:sz w:val="22"/>
          <w:u w:val="none"/>
        </w:rPr>
        <w:t>专业内部</w:t>
      </w:r>
      <w:r>
        <w:rPr>
          <w:rFonts w:ascii="微软雅黑" w:hAnsi="微软雅黑" w:eastAsia="微软雅黑" w:cs="微软雅黑"/>
          <w:i w:val="0"/>
          <w:strike w:val="0"/>
          <w:color w:val="000000"/>
          <w:sz w:val="22"/>
          <w:u w:val="none"/>
        </w:rPr>
        <w:t>按以上排名规则从高到低确定人选。</w:t>
      </w:r>
    </w:p>
    <w:p>
      <w:pPr>
        <w:snapToGrid w:val="1"/>
        <w:spacing w:line="240"/>
        <w:ind/>
        <w:rPr>
          <w:rFonts w:ascii="微软雅黑" w:hAnsi="微软雅黑" w:eastAsia="微软雅黑" w:cs="微软雅黑"/>
          <w:sz w:val="22"/>
        </w:rPr>
      </w:pPr>
      <w:r>
        <w:rPr>
          <w:rFonts w:ascii="微软雅黑" w:hAnsi="微软雅黑" w:eastAsia="微软雅黑" w:cs="微软雅黑"/>
          <w:b w:val="1"/>
          <w:i w:val="0"/>
          <w:strike w:val="0"/>
          <w:color w:val="000000"/>
          <w:sz w:val="22"/>
          <w:u w:val="none"/>
        </w:rPr>
        <w:t>第二轮：</w:t>
      </w:r>
      <w:r>
        <w:rPr>
          <w:rFonts w:ascii="微软雅黑" w:hAnsi="微软雅黑" w:eastAsia="微软雅黑" w:cs="微软雅黑"/>
          <w:i w:val="0"/>
          <w:strike w:val="0"/>
          <w:color w:val="000000"/>
          <w:sz w:val="22"/>
          <w:u w:val="none"/>
        </w:rPr>
        <w:t>将人数指标取整后的余数，进行第二轮遴选。分两种情况：</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第1种情况：第一轮遴选后，若每个专业的人数指标≥1，则余数指标在二级学院</w:t>
      </w:r>
      <w:r>
        <w:rPr>
          <w:rFonts w:ascii="微软雅黑" w:hAnsi="微软雅黑" w:eastAsia="微软雅黑" w:cs="微软雅黑"/>
          <w:b w:val="1"/>
          <w:i w:val="0"/>
          <w:strike w:val="0"/>
          <w:color w:val="000000"/>
          <w:sz w:val="22"/>
          <w:u w:val="none"/>
        </w:rPr>
        <w:t>全部专业</w:t>
      </w:r>
      <w:r>
        <w:rPr>
          <w:rFonts w:ascii="微软雅黑" w:hAnsi="微软雅黑" w:eastAsia="微软雅黑" w:cs="微软雅黑"/>
          <w:i w:val="0"/>
          <w:strike w:val="0"/>
          <w:color w:val="000000"/>
          <w:sz w:val="22"/>
          <w:u w:val="none"/>
        </w:rPr>
        <w:t>中，按排名规则进行遴选，且要求每个专业遴选人数不能超过1名。如果还有剩余指标，重复“在二级学院</w:t>
      </w:r>
      <w:r>
        <w:rPr>
          <w:rFonts w:ascii="微软雅黑" w:hAnsi="微软雅黑" w:eastAsia="微软雅黑" w:cs="微软雅黑"/>
          <w:b w:val="1"/>
          <w:i w:val="0"/>
          <w:strike w:val="0"/>
          <w:color w:val="000000"/>
          <w:sz w:val="22"/>
          <w:u w:val="none"/>
        </w:rPr>
        <w:t>全部专业</w:t>
      </w:r>
      <w:r>
        <w:rPr>
          <w:rFonts w:ascii="微软雅黑" w:hAnsi="微软雅黑" w:eastAsia="微软雅黑" w:cs="微软雅黑"/>
          <w:i w:val="0"/>
          <w:strike w:val="0"/>
          <w:color w:val="000000"/>
          <w:sz w:val="22"/>
          <w:u w:val="none"/>
        </w:rPr>
        <w:t>中，按排名规则进行遴选，且要求每个专业遴选人数不能超过1名。”该步骤，直至所有指标使用完成。</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第2种情况：第一轮遴选后，若部分专业人数指标=0，则余数指标在</w:t>
      </w:r>
      <w:r>
        <w:rPr>
          <w:rFonts w:ascii="微软雅黑" w:hAnsi="微软雅黑" w:eastAsia="微软雅黑" w:cs="微软雅黑"/>
          <w:b w:val="1"/>
          <w:i w:val="0"/>
          <w:strike w:val="0"/>
          <w:color w:val="000000"/>
          <w:sz w:val="22"/>
          <w:u w:val="none"/>
        </w:rPr>
        <w:t>这些零指标专业</w:t>
      </w:r>
      <w:r>
        <w:rPr>
          <w:rFonts w:ascii="微软雅黑" w:hAnsi="微软雅黑" w:eastAsia="微软雅黑" w:cs="微软雅黑"/>
          <w:i w:val="0"/>
          <w:strike w:val="0"/>
          <w:color w:val="000000"/>
          <w:sz w:val="22"/>
          <w:u w:val="none"/>
        </w:rPr>
        <w:t>中，按排名规则进行遴选，且每个专业遴选人数不能超过1名。如果还有剩余指标，则在二级学院</w:t>
      </w:r>
      <w:r>
        <w:rPr>
          <w:rFonts w:ascii="微软雅黑" w:hAnsi="微软雅黑" w:eastAsia="微软雅黑" w:cs="微软雅黑"/>
          <w:b w:val="1"/>
          <w:i w:val="0"/>
          <w:strike w:val="0"/>
          <w:color w:val="000000"/>
          <w:sz w:val="22"/>
          <w:u w:val="none"/>
        </w:rPr>
        <w:t>全部专业</w:t>
      </w:r>
      <w:r>
        <w:rPr>
          <w:rFonts w:ascii="微软雅黑" w:hAnsi="微软雅黑" w:eastAsia="微软雅黑" w:cs="微软雅黑"/>
          <w:i w:val="0"/>
          <w:strike w:val="0"/>
          <w:color w:val="000000"/>
          <w:sz w:val="22"/>
          <w:u w:val="none"/>
        </w:rPr>
        <w:t>中，按排名规则进行遴选，且要求每个专业遴选人数不能超过1名。如果还有剩余指标，重复“在二级学院</w:t>
      </w:r>
      <w:r>
        <w:rPr>
          <w:rFonts w:ascii="微软雅黑" w:hAnsi="微软雅黑" w:eastAsia="微软雅黑" w:cs="微软雅黑"/>
          <w:b w:val="1"/>
          <w:i w:val="0"/>
          <w:strike w:val="0"/>
          <w:color w:val="000000"/>
          <w:sz w:val="22"/>
          <w:u w:val="none"/>
        </w:rPr>
        <w:t>全部专业</w:t>
      </w:r>
      <w:r>
        <w:rPr>
          <w:rFonts w:ascii="微软雅黑" w:hAnsi="微软雅黑" w:eastAsia="微软雅黑" w:cs="微软雅黑"/>
          <w:i w:val="0"/>
          <w:strike w:val="0"/>
          <w:color w:val="000000"/>
          <w:sz w:val="22"/>
          <w:u w:val="none"/>
        </w:rPr>
        <w:t>中，按排名规则进行遴选，且要求每个专业遴选人数不能超过1名。”该步骤，直至所有指标使用完成。</w:t>
      </w:r>
    </w:p>
    <w:p>
      <w:pPr>
        <w:pBdr/>
        <w:snapToGrid w:val="1"/>
        <w:spacing w:line="240"/>
        <w:ind/>
        <w:rPr>
          <w:rFonts w:ascii="微软雅黑" w:hAnsi="微软雅黑" w:eastAsia="微软雅黑" w:cs="微软雅黑"/>
          <w:i w:val="0"/>
          <w:strike w:val="0"/>
          <w:color w:val="000000"/>
          <w:sz w:val="22"/>
          <w:u w:val="none"/>
        </w:rPr>
      </w:pPr>
      <w:r>
        <w:rPr>
          <w:rFonts w:ascii="微软雅黑" w:hAnsi="微软雅黑" w:eastAsia="微软雅黑" w:cs="微软雅黑"/>
          <w:b w:val="1"/>
          <w:i w:val="0"/>
          <w:strike w:val="0"/>
          <w:color w:val="000000"/>
          <w:sz w:val="22"/>
          <w:u w:val="none"/>
        </w:rPr>
        <w:t>第三轮：</w:t>
      </w:r>
      <w:r>
        <w:rPr>
          <w:rFonts w:ascii="微软雅黑" w:hAnsi="微软雅黑" w:eastAsia="微软雅黑" w:cs="微软雅黑"/>
          <w:i w:val="0"/>
          <w:strike w:val="0"/>
          <w:color w:val="000000"/>
          <w:sz w:val="22"/>
          <w:u w:val="none"/>
        </w:rPr>
        <w:t>推选1名全校性竞争名额。由二级学院向重点优势学科，生源质量好，师资力量强，办学水平高，特色显著、重点发展的优势专业或扶持专业倾斜。按排名规则在该专业内遴选。</w:t>
      </w:r>
    </w:p>
    <w:p>
      <w:pPr>
        <w:snapToGrid w:val="1"/>
        <w:spacing w:line="240"/>
        <w:ind/>
        <w:rPr>
          <w:rFonts w:ascii="微软雅黑" w:hAnsi="微软雅黑" w:eastAsia="微软雅黑" w:cs="微软雅黑"/>
          <w:i w:val="0"/>
          <w:strike w:val="0"/>
          <w:color w:val="000000"/>
          <w:sz w:val="22"/>
          <w:u w:val="none"/>
        </w:rPr>
      </w:pPr>
    </w:p>
    <w:p>
      <w:pPr>
        <w:pBdr>
          <w:bottom/>
        </w:pBdr>
        <w:snapToGrid w:val="1"/>
        <w:spacing w:line="240"/>
        <w:ind/>
        <w:rPr>
          <w:rFonts w:ascii="微软雅黑" w:hAnsi="微软雅黑" w:eastAsia="微软雅黑" w:cs="微软雅黑"/>
          <w:b w:val="1"/>
          <w:sz w:val="22"/>
        </w:rPr>
      </w:pPr>
      <w:r>
        <w:rPr>
          <w:rFonts w:ascii="微软雅黑" w:hAnsi="微软雅黑" w:eastAsia="微软雅黑" w:cs="微软雅黑"/>
          <w:i w:val="0"/>
          <w:strike w:val="0"/>
          <w:color w:val="000000"/>
          <w:sz w:val="22"/>
          <w:u w:val="none"/>
        </w:rPr>
        <w:t> </w:t>
      </w:r>
      <w:r>
        <w:rPr>
          <w:rFonts w:ascii="微软雅黑" w:hAnsi="微软雅黑" w:eastAsia="微软雅黑" w:cs="微软雅黑"/>
          <w:b w:val="1"/>
          <w:i w:val="0"/>
          <w:strike w:val="0"/>
          <w:color w:val="000000"/>
          <w:sz w:val="22"/>
          <w:u w:val="none"/>
        </w:rPr>
        <w:t>附件2</w:t>
      </w:r>
    </w:p>
    <w:p>
      <w:pPr>
        <w:snapToGrid w:val="1"/>
        <w:spacing w:line="240"/>
        <w:ind/>
        <w:jc w:val="center"/>
        <w:rPr>
          <w:rFonts w:ascii="微软雅黑" w:hAnsi="微软雅黑" w:eastAsia="微软雅黑" w:cs="微软雅黑"/>
          <w:b w:val="1"/>
          <w:sz w:val="22"/>
        </w:rPr>
      </w:pPr>
      <w:r>
        <w:rPr>
          <w:rFonts w:ascii="微软雅黑" w:hAnsi="微软雅黑" w:eastAsia="微软雅黑" w:cs="微软雅黑"/>
          <w:b w:val="1"/>
          <w:i w:val="0"/>
          <w:strike w:val="0"/>
          <w:color w:val="000000"/>
          <w:sz w:val="22"/>
          <w:u w:val="none"/>
        </w:rPr>
        <w:t>广西艺术学院2026届“推免生”申请表</w:t>
      </w:r>
    </w:p>
    <w:p>
      <w:pPr>
        <w:snapToGrid w:val="1"/>
        <w:spacing w:line="240"/>
        <w:ind/>
        <w:jc w:val="center"/>
        <w:rPr>
          <w:rFonts w:ascii="微软雅黑" w:hAnsi="微软雅黑" w:eastAsia="微软雅黑" w:cs="微软雅黑"/>
          <w:sz w:val="22"/>
        </w:rPr>
      </w:pPr>
      <w:r>
        <w:rPr>
          <w:rFonts w:ascii="微软雅黑" w:hAnsi="微软雅黑" w:eastAsia="微软雅黑" w:cs="微软雅黑"/>
          <w:i w:val="0"/>
          <w:strike w:val="0"/>
          <w:color w:val="000000"/>
          <w:sz w:val="22"/>
          <w:u w:val="none"/>
        </w:rPr>
        <w:t> </w:t>
      </w:r>
    </w:p>
    <w:tbl>
      <w:tblPr>
        <w:tblStyle w:val="000015"/>
        <w:tblLayout w:type="fixed"/>
      </w:tblPr>
      <w:tblGrid>
        <w:gridCol w:w="830"/>
        <w:gridCol w:w="830"/>
        <w:gridCol w:w="830"/>
        <w:gridCol w:w="830"/>
        <w:gridCol w:w="830"/>
        <w:gridCol w:w="830"/>
        <w:gridCol w:w="830"/>
        <w:gridCol w:w="830"/>
        <w:gridCol w:w="830"/>
        <w:gridCol w:w="830"/>
      </w:tblGrid>
      <w:tr>
        <w:trPr/>
        <w:tc>
          <w:tcPr>
            <w:tcW w:w="830"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一、学生基本信息</w:t>
            </w: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姓名</w:t>
            </w: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出生日期</w:t>
            </w:r>
          </w:p>
        </w:tc>
        <w:tc>
          <w:tcPr>
            <w:tcW w:w="3320" w:type="dxa"/>
            <w:gridSpan w:val="4"/>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        年     月      日</w:t>
            </w:r>
          </w:p>
        </w:tc>
        <w:tc>
          <w:tcPr>
            <w:tcW w:w="1660" w:type="dxa"/>
            <w:gridSpan w:val="2"/>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 </w:t>
            </w:r>
          </w:p>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照</w:t>
            </w:r>
          </w:p>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 </w:t>
            </w:r>
          </w:p>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 </w:t>
            </w:r>
          </w:p>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片</w:t>
            </w:r>
          </w:p>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 </w:t>
            </w:r>
          </w:p>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近期一寸免冠正面照片</w:t>
            </w: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性别</w:t>
            </w: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政治面貌</w:t>
            </w:r>
          </w:p>
        </w:tc>
        <w:tc>
          <w:tcPr>
            <w:tcW w:w="3320" w:type="dxa"/>
            <w:gridSpan w:val="4"/>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1660" w:type="dxa"/>
            <w:gridSpan w:val="2"/>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民族</w:t>
            </w: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身份证号</w:t>
            </w:r>
          </w:p>
        </w:tc>
        <w:tc>
          <w:tcPr>
            <w:tcW w:w="3320" w:type="dxa"/>
            <w:gridSpan w:val="4"/>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1660" w:type="dxa"/>
            <w:gridSpan w:val="2"/>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通讯地址及邮政编码</w:t>
            </w:r>
          </w:p>
        </w:tc>
        <w:tc>
          <w:tcPr>
            <w:tcW w:w="4980" w:type="dxa"/>
            <w:gridSpan w:val="6"/>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1660" w:type="dxa"/>
            <w:gridSpan w:val="2"/>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联系电话</w:t>
            </w: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E-mail</w:t>
            </w:r>
          </w:p>
        </w:tc>
        <w:tc>
          <w:tcPr>
            <w:tcW w:w="3320" w:type="dxa"/>
            <w:gridSpan w:val="4"/>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所在学校、院系</w:t>
            </w: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入学时间</w:t>
            </w:r>
          </w:p>
        </w:tc>
        <w:tc>
          <w:tcPr>
            <w:tcW w:w="3320" w:type="dxa"/>
            <w:gridSpan w:val="4"/>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本科所学专业</w:t>
            </w: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毕业时间</w:t>
            </w:r>
          </w:p>
        </w:tc>
        <w:tc>
          <w:tcPr>
            <w:tcW w:w="3320" w:type="dxa"/>
            <w:gridSpan w:val="4"/>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30"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二、学生专项加分情况（按文件“评分办法”执行）</w:t>
            </w:r>
          </w:p>
        </w:tc>
        <w:tc>
          <w:tcPr>
            <w:tcW w:w="830"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1、科研创作获奖情况（附证明材料）</w:t>
            </w: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奖项名称</w:t>
            </w: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主办单位（发证部门）</w:t>
            </w: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时间</w:t>
            </w: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备注</w:t>
            </w: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2、荣誉表彰情况（附证明材料）</w:t>
            </w: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奖项名称</w:t>
            </w: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主办单位（发证部门）</w:t>
            </w: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时间</w:t>
            </w: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备注</w:t>
            </w: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3、发表论文情况（附证明材料）</w:t>
            </w: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论文名称</w:t>
            </w: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发表刊物</w:t>
            </w: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时间</w:t>
            </w: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备注</w:t>
            </w: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4、科研项目类情况（附证明材料）</w:t>
            </w: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项目名称</w:t>
            </w: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主办单位（发证部门）</w:t>
            </w: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时间</w:t>
            </w: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备注</w:t>
            </w: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830"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49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166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83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300" w:type="dxa"/>
            <w:gridSpan w:val="10"/>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特殊学术专长生选填（需同时具备以下三个条件，并附相关证明材料）：</w:t>
            </w:r>
          </w:p>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1、在校期间专业必修课程学习成绩总平均分排名在同年级本专业前三名。</w:t>
            </w:r>
          </w:p>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本科阶段在核心期刊（我校界定的一、二、三类期刊）上以独立作者或第一作者发表与学业相关的科研论文；或作为主力成员参加与学业相关的国家级竞赛（在我校发布的《“推免生”科研创作获奖、荣誉表彰加分目录汇总表》内）并获得三等奖以上奖励（国际赛事参照执行，但不得低于国内赛事相关要求）。</w:t>
            </w:r>
          </w:p>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3、我校相关专业三名以上教授联名推荐。</w:t>
            </w:r>
          </w:p>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 </w:t>
            </w:r>
          </w:p>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本人保证，以上所填一切内容（包括提供的所有证明材料）均属实和准确，如果本人提供的信息不真实或不准确，本人愿对此承担一切责任。</w:t>
            </w:r>
          </w:p>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                                   </w:t>
            </w:r>
            <w:r>
              <w:rPr>
                <w:rFonts w:ascii="微软雅黑" w:hAnsi="微软雅黑" w:eastAsia="微软雅黑" w:cs="微软雅黑"/>
                <w:b w:val="1"/>
                <w:i w:val="0"/>
                <w:strike w:val="0"/>
                <w:color w:val="000000"/>
                <w:spacing w:val="0"/>
                <w:sz w:val="22"/>
                <w:u w:val="none"/>
              </w:rPr>
              <w:t>申请人签字：             </w:t>
            </w:r>
            <w:r>
              <w:rPr>
                <w:rFonts w:ascii="微软雅黑" w:hAnsi="微软雅黑" w:eastAsia="微软雅黑" w:cs="微软雅黑"/>
                <w:i w:val="0"/>
                <w:strike w:val="0"/>
                <w:color w:val="000000"/>
                <w:spacing w:val="0"/>
                <w:sz w:val="22"/>
                <w:u w:val="none"/>
              </w:rPr>
              <w:t>         年    月    日</w:t>
            </w:r>
          </w:p>
        </w:tc>
      </w:tr>
    </w:tbl>
    <w:p>
      <w:pPr>
        <w:snapToGrid w:val="1"/>
        <w:spacing w:line="240"/>
        <w:ind/>
        <w:rPr>
          <w:rFonts w:ascii="微软雅黑" w:hAnsi="微软雅黑" w:eastAsia="微软雅黑" w:cs="微软雅黑"/>
          <w:sz w:val="22"/>
        </w:rPr>
      </w:pPr>
    </w:p>
    <w:p>
      <w:pPr>
        <w:snapToGrid w:val="1"/>
        <w:spacing w:line="240"/>
        <w:ind/>
        <w:rPr>
          <w:rFonts w:ascii="微软雅黑" w:hAnsi="微软雅黑" w:eastAsia="微软雅黑" w:cs="微软雅黑"/>
          <w:sz w:val="22"/>
        </w:rPr>
      </w:pP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附件3</w:t>
      </w:r>
    </w:p>
    <w:p>
      <w:pPr>
        <w:snapToGrid w:val="1"/>
        <w:spacing w:line="240"/>
        <w:ind/>
        <w:jc w:val="center"/>
        <w:rPr>
          <w:rFonts w:ascii="微软雅黑" w:hAnsi="微软雅黑" w:eastAsia="微软雅黑" w:cs="微软雅黑"/>
          <w:sz w:val="22"/>
        </w:rPr>
      </w:pPr>
      <w:r>
        <w:rPr>
          <w:rFonts w:ascii="微软雅黑" w:hAnsi="微软雅黑" w:eastAsia="微软雅黑" w:cs="微软雅黑"/>
          <w:i w:val="0"/>
          <w:strike w:val="0"/>
          <w:color w:val="000000"/>
          <w:sz w:val="22"/>
          <w:u w:val="none"/>
        </w:rPr>
        <w:t>广西艺术学院2026届“推免生”专项加分统计表</w:t>
      </w:r>
    </w:p>
    <w:p>
      <w:pPr>
        <w:snapToGrid w:val="1"/>
        <w:spacing w:line="240"/>
        <w:ind/>
        <w:rPr>
          <w:rFonts w:ascii="微软雅黑" w:hAnsi="微软雅黑" w:eastAsia="微软雅黑" w:cs="微软雅黑"/>
          <w:sz w:val="22"/>
        </w:rPr>
      </w:pP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注：论文需提交查重证明，论文重合率不得高于 15%（含 15%）。</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附件4</w:t>
      </w:r>
    </w:p>
    <w:p>
      <w:pPr>
        <w:snapToGrid w:val="1"/>
        <w:spacing w:line="240"/>
        <w:ind/>
        <w:jc w:val="center"/>
        <w:rPr>
          <w:rFonts w:ascii="微软雅黑" w:hAnsi="微软雅黑" w:eastAsia="微软雅黑" w:cs="微软雅黑"/>
          <w:sz w:val="22"/>
        </w:rPr>
      </w:pPr>
      <w:r>
        <w:rPr>
          <w:rFonts w:ascii="微软雅黑" w:hAnsi="微软雅黑" w:eastAsia="微软雅黑" w:cs="微软雅黑"/>
          <w:i w:val="0"/>
          <w:strike w:val="0"/>
          <w:color w:val="000000"/>
          <w:sz w:val="22"/>
          <w:u w:val="none"/>
        </w:rPr>
        <w:t>广西艺术学院2026届“推免生”汇总表</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教学单位（盖章）：</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注：特殊学术专长请在“备注”处标注。</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附件5</w:t>
      </w:r>
    </w:p>
    <w:p>
      <w:pPr>
        <w:snapToGrid w:val="1"/>
        <w:spacing w:line="240"/>
        <w:ind/>
        <w:jc w:val="center"/>
        <w:rPr>
          <w:rFonts w:ascii="微软雅黑" w:hAnsi="微软雅黑" w:eastAsia="微软雅黑" w:cs="微软雅黑"/>
          <w:sz w:val="22"/>
        </w:rPr>
      </w:pPr>
      <w:r>
        <w:rPr>
          <w:rFonts w:ascii="微软雅黑" w:hAnsi="微软雅黑" w:eastAsia="微软雅黑" w:cs="微软雅黑"/>
          <w:i w:val="0"/>
          <w:strike w:val="0"/>
          <w:color w:val="000000"/>
          <w:sz w:val="22"/>
          <w:u w:val="none"/>
        </w:rPr>
        <w:t>“推免生”科研创作获奖加分目录汇总表</w:t>
      </w:r>
    </w:p>
    <w:p>
      <w:pPr>
        <w:snapToGrid w:val="1"/>
        <w:spacing w:line="240"/>
        <w:ind/>
        <w:jc w:val="center"/>
        <w:rPr>
          <w:rFonts w:ascii="微软雅黑" w:hAnsi="微软雅黑" w:eastAsia="微软雅黑" w:cs="微软雅黑"/>
          <w:sz w:val="22"/>
        </w:rPr>
      </w:pPr>
      <w:r>
        <w:rPr>
          <w:rFonts w:ascii="微软雅黑" w:hAnsi="微软雅黑" w:eastAsia="微软雅黑" w:cs="微软雅黑"/>
          <w:i w:val="0"/>
          <w:strike w:val="0"/>
          <w:color w:val="000000"/>
          <w:sz w:val="22"/>
          <w:u w:val="none"/>
        </w:rPr>
        <w:t> </w:t>
      </w:r>
    </w:p>
    <w:tbl>
      <w:tblPr>
        <w:tblStyle w:val="000015"/>
        <w:tblLayout w:type="fixed"/>
      </w:tblPr>
      <w:tblGrid>
        <w:gridCol w:w="864"/>
        <w:gridCol w:w="1149"/>
        <w:gridCol w:w="2994"/>
        <w:gridCol w:w="2439"/>
        <w:gridCol w:w="849"/>
      </w:tblGrid>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序号</w:t>
            </w:r>
          </w:p>
        </w:tc>
        <w:tc>
          <w:tcPr>
            <w:tcW w:w="11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奖项等级</w:t>
            </w: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具体奖项完整名称</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主办单位（发证部门）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备注</w:t>
            </w: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149"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国家级一类</w:t>
            </w: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中国国际“互联网+”大学生创新创业大赛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“挑战杯”全国大学生系列科技学术竞赛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共青团中央、中国科协、教育部、全国学联</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“挑战杯”中国大学生创业计划竞赛（国赛）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共青团中央、教育部、“挑战杯”中国大学生创业计划竞赛全国组织委员会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全国美术作品展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文化和旅游部、中国文学艺术界联合会、中国美术家协会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中国音乐金钟奖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中国文联</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社会主义核心价值观动画短片扶持创作活动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国家广播电视总局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全国书法篆刻展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文旅部、中国文联</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全国“桃李杯”舞蹈教育教学成果展演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中华人民共和国文化和旅游部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中国舞蹈“荷花奖”评奖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中国舞蹈家协会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全国舞蹈展演、全国舞蹈比赛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中华人民共和国文化和旅游部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中国国际动漫节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国家新闻出版广电总局、浙江省人民政府</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全国青少年民族器乐教育教学成果展示活动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文化和旅游部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中国歌剧节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文化和旅游部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中国艺术节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文化和旅游部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啄木鸟杯”中国文艺评论奖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中国文学艺术界联合会、中国文艺评论家协会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149"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国家级二类</w:t>
            </w: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“为中国而设计”全国环境艺术设计大赛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中国美术家协会、中国美术家协会环境设计艺术委员会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中华经典诵写讲大赛“诵读中国”经典诵读大赛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教育部、国家语委、中华经典诵写讲大赛组委会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中华经典诵写讲大赛“诗教中国”诗词讲解大赛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教育部、国家语委、中华经典诵写讲大赛组委会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中华经典诵写讲大赛“笔墨中国”汉字书写大赛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教育部、国家语委、中华经典诵写讲大赛组委会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中华经典诵写讲大赛“印记中国”师生篆刻大赛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教育部、国家语委、中华经典诵写讲大赛组委会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全国大学生艺术展演（乙组）</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中国大学生广告艺术节学院奖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中国广告协会、中国大学生广告艺术节学院奖组委会、广告人文化集团（天津）有限公司</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全国高校音乐教育专业声乐比赛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中国教育学会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全国普通高等学校音乐教育专业本科学生与教师基本功展示活动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中国教育学会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“吟飞”国际电子管风琴比赛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中国乐器协会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全国普通高等院校音乐教育专业本科生基本功大赛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中国北京国际美术双年展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全国美术高峰论坛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深圳大芬国际油画双年展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“精神与图式”中国写意油画双年展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全国青年美术作品展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中国人民解放军全军美术作品展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中国西部大地情中国画、油画作品展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新时代新征程——全国美术作品展览（原“中国道路·美好生活——全国美术作品展览”）</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“时代中国”全国美术作品展览</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“子恺缘”第十四届中国漫画展览</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“朝圣敦煌”全国美术作品展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全国综合材料绘画双年展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深圳国际水彩画双年展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全国水彩·粉画作品展览</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中国水彩人物画展览</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中国粉画展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全国小幅水彩画展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全国青年水彩画展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全国水粉画大展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中国水彩风景画展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中国水彩静物画展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全国新文艺群体美术作品展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中国动漫金龙奖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国家新闻出版广电总局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观澜国际版画双年展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观澜国际版画展组委会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全国普通高等院校美术教育专业本科生基本功大赛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JSC：运动时尚设计大赛决赛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中国服装设计师协会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中国服装创新设计大赛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中国服装协会、上海时尚之都促进中心</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中国包装创意设计大赛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中国包装联合会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时报金犊奖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时报金犊奖执行委员会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中国百家金陵画展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陆海之约——中国西部大地情中国画油画作品展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万年浦江——全国中国画作品展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“伯年国艺”——全国中国画（册页）写意作品展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中国写意画作品展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全国少数民族美术作品展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“八大山人”全国中国画写意作品展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泾上丹青——全国中国画作品展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中国书法兰亭奖作品展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中国书法家协会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中国书坛新人新作展览</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中国书法家协会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全国刻字作品展览</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中国书法家协会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全国楹联书法作品展览</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中国书法家协会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全国篆刻作品展览</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中国书法家协会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群星奖舞蹈类决赛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国家文旅部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全国民间文艺展演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中国民间文艺家协会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中国顶尖舞者成长计划（全国赛区）</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中国舞蹈家协会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全国大学生评论大赛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中央网信办网络传播局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人民网网评大赛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人民网</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北京大学生电影节影评推选</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国家新闻出版广电总局、北京师范大学艺术与传媒学院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“讲好中国故事”创意传播国际大赛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中国外文局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全国大学生心理微电影大赛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全国公益广告大赛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中央文明办、人民日报社、教育部、应急管理部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中国电影美术学会荣誉盛典</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中国电影美术学会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全国高等院校绿色建筑技能大赛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中国建设教育协会/中国城市科学研究学会绿色建筑与节能专业委员会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中国设计年度人物</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中国建筑装饰协会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“中装杯”全国大学生环境设计大赛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中国建筑装饰协会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中建杯西部“5+2”环境设计大赛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中国建筑装饰协会、中国中建设计研究院有限公司等</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中国数字艺术大展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中国国际空间设计大赛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中国建筑装饰协会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中国壁画作品展览</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全国民族民间舞蹈创作作品展演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中国舞蹈家协会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149"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国家级三类</w:t>
            </w: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全国大学生广告艺术大赛（国赛）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中国高等教育学会广告教育专业委员会、全国大学生广告艺术大赛组委会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米兰设计周·中国高校设计学科师生优秀作品展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“米兰设计周-中国高校设计学科师生优秀作品展”组织委员会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未来设计师·全国高校数字艺术设计大赛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工业和信息化部人才交流中心、未来设计师·全国高校数字艺术设计大赛组委会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中国国际高等院校色彩设计大赛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中国流行色协会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全国大学生英语竞赛（NECCS）（国赛）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国际英语外语教师协会、中国英语外语教师协会、高等学校大学外语教学研究会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中国舞台美术展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中国服装设计师协会、中国舞台美术学会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孔雀奖全国高等艺术院校声乐大赛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中国声乐家协会、中国声乐—孔雀奖组委会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中国好创意暨全国数字艺术设计大赛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中国电子视像行业协会、中国好创意暨全国数字艺术设计大赛组委会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贺绿汀音乐评论推优活动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中国音乐家协会音乐评论学会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雅马哈全国电子键盘大赛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全国十大音乐学院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江南如画——中国油画作品展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中国油画学会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超越与研究——中国小幅油画作品展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中国油画学会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可见之诗系列美术作品</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中国油画学会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作品由中国美术馆收藏</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中国美术馆</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中国高校原创时尚汉服设计群英会</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中国纺织服装教育学会、上海汉服版权中心</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GGAC全球游戏动漫美术概念大赛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中国电影美术学会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两岸新锐设计竞赛·华灿奖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中国高等教育学会、中华中山文化交流协会等</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中南六省（区）“十佳青年领军舞者”展演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广东、广西等中南六省舞蹈家协会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全国艺术硕士研究生舞蹈领域培养院校作品展演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全国艺术专业学位研究生教育指导委员会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全国体育舞蹈锦标赛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中国体育舞蹈联合会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世界杯国际标准舞公开赛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世界杯国际标准舞公开赛组委会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GLDC国际标准舞年度总决赛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GLDC国际标准舞年度总决赛组委会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学院杯国际标准舞公开赛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学院杯国际标准舞公开赛组委会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金铅笔广告奖（OneShow）</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美国One Club</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中国数据新闻大赛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中国高等教育学会新闻与传播专业委员会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中国高等院校影视学会“学院奖”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中国高校影视学会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诗词讲解大赛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教育部、国家语委</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全国学生“学宪法，讲宪法”演讲比赛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齐越朗诵艺术节暨全国大学生朗诵大会</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中国高等院校影视学会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中国广州国际纪录片节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国家广播电视总局、广东省人民政府</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“中国梦新征程”原创网络视听节目征集展播</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国家广播电视总局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国际大学生微电影盛典</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共青团北京市委员会、中国高等院校影视学会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亚洲微电影艺术节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中国电视艺术家协会、中央新影集团、中共云南省委宣传部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中国—东盟大学生短片节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中国高等院校影视学会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全国大学生网络文化节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教育部思想政治工作司、中央网信办网络社会工作局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艺术与科学国际作品展暨学术研讨会</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清华大学、中国科学技术馆、中国科协科学技术传播中心</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红星奖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中国工业设计协会、北京工业设计促进中心、国务院发展研究中心</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全国三维数字化创新设计大赛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国家制造业信息化培训中心、中国图学学会、光华设计发展基金会、全国三维数字化技术推广服务与教育培训联盟(3D动力)   </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中国人居环境设计学年奖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教育部高等学校设计学类专业教学指导委员会、清华大学</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中国高等院校设计艺术大赛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中国高等教育学会设计教育专业委员会、教育部高等学校设计学类教学指导委员会、化学工业出版社</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全国商科院校技能大赛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中国商业联合会、中国会展经济研究会、教育部高等学校高职高专旅游管理类专业教学指导委员会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全国高等学校风景园林专业毕业设计作业评优</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中国住房和城乡建设部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“园冶杯”风景园林（毕业设计、论文）国际竞赛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中国建设教育协会、中国花卉园艺与园林绿化行业协会、园冶杯风景园林国际竞赛组委会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“艾景奖”国际园林景观规划设计大赛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中国住房和城乡建设部、中国国家林业局、国际园林景观规划设计行业协会（ILIA）、北京林业大学、中国建设报社、中国长城绿化促进会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UIA霍普杯国际大学生建筑设计竞赛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国际建筑师协会（UIA），天津大学建筑学院，《城市 环境 设计》（UED）杂志社</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威卢克斯(VELUX)国际建筑学生设计大赛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国际建筑师协会、威卢克斯集团、美国建筑学生协会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威尼斯国际建筑双年展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每届主办方不同</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中国展示空间设计大赛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中国会展经济研究会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全国大学生花园设计建造竞赛，（成都公园城市国际花园季暨北林国际花园建造周）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中国风景园林学会教育工作委员会，成都市公园城市建设管理局，成都市博览局，北京林业大学林学院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南方花卉苗木交易会（广西花卉苗木交易会）展品奖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中国花卉协会、广西壮族自治区林业局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台达杯国际太阳能建筑设计竞赛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国际太阳能学会/国家住宅与居住环境工程技术研究中心</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广州园林博览会（全国大学生园林设计竞赛）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中国风景园林学会规划设计分会，中国风景园林学会教育工作委员会。广州市林业和园林局，广东园林学会，华南理工大学建筑学院，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大学生花园竞赛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粤港澳大湾区花展组织委员会（深圳市城市管理和综合执法局、中国风景园林学会风景园林规划设计分会、广东省园林学会）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谷雨杯全国大学生可持续建筑设计竞赛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中国高校数字建造联盟</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花园杯植物景观设计竞赛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中国风景园林学会教育工作委员会、广东园林学会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全国壁画大展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中国壁画学会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AIMC学生奖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国际当代马赛克艺术家协会（AIMC）</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全国大学生艺术项目创意策划大赛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中国艺术管理教育学会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中国音乐小金钟奖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中国音乐家协会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全国大学生创新创业训练计划年会展示（国赛）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国家级大学生创新创业训练计划专家组</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中国研究生“文化中国”两创大赛舞蹈赛道全国总决赛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中国学位与研究生教育学会、中国科协青少年科技中心</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中南 15 省(直辖市、自治区)“十佳青年领军舞者"展演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广东舞蹈家协会、广西舞蹈家协会等15 省舞蹈家协会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149"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省部级一类</w:t>
            </w: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陈伯吹国际儿童文学奖原创插画展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上海市宝山区人民政府、上海市新闻出版局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丰子恺儿童图画书奖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丰子恺国际文化交流协会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中国（安徽）国际服装设计大赛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安徽省经济信息化厅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广西音乐舞蹈比赛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广西文化和旅游厅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广西青年舞蹈演员比赛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广西文化和旅游厅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“红绣球”广西舞蹈创作作品展演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广西舞蹈家协会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广东现代舞周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广东省文化和旅游厅（国际性）</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“中国营造”全国环境艺术设计双年展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中国建筑学会建筑师分会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中国手绘艺术设计大赛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中国建筑学会室内设计分会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中国环境艺术青年设计师奖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中国建筑学会建筑师分会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广西文化创意产品设计大赛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自治区文化厅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广西特色旅游商品创意设计大赛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广西壮族自治区文化和旅游厅主办</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紫金奖·中国（南京）大学生设计展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中共江苏省委宣传部、江苏省教育厅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学院杯·中国室内与环境设计大赛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学院杯中国室内与环境设计大赛组委会，中国室内装饰协会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壮锦杯·城市更新设计大赛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广西建设工会工作委员会，广西勘察设计协会，广西规划建筑学会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泛北部湾高校建筑设计课程联合教学及竞赛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广西环境艺术设计行业协会人居环境设计教育专业委员会，广西大学土木建筑工程学院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广西文艺创作铜鼓奖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广西壮族自治区人民政府</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中国国际“互联网+”大学生创新创业大赛（区赛）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“挑战杯”全国大学生系列科技学术竞赛（区赛）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共青团广西区委、广西科协、教育厅、广西学联</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广西大学生艺术展演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广西壮族自治区师范生教学技能大赛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“五个一工程”</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广西区党委宣传部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中国音乐金钟奖广西选拔赛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广西文联、广西音乐家协会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广西青年演员系列比赛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广西文化和旅游厅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高等艺术院校全国歌剧声乐展演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高等艺术院校全国歌剧声乐展演组委会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全国青歌赛广西赛区比赛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广西区党委宣传部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广西师范生信息化教学应用大赛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全区师德师风演讲比赛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广西新民歌大会</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广西壮族自治区党委宣传部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广西“三月三”民歌大会</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广西中华文化促进会、广西音乐家协会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“这，就是我们的旋律”音乐之旅展演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文化和旅游部人才中心</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中国非物质文化遗产博览会民歌大赛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中国非物质文化遗产博览会组织工作委员会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音乐与舞蹈大赛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自治区文化厅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广西普通高等学校音乐教育专业本科生基本功大赛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广西普通高等学校美术教育专业本科生基本功大赛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新园丁”杯师范生教学技能大赛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广西普通高等学校音乐教育专业学生基本功展示活动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广西赛区“诗教中国”诗词讲解大赛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自治区语言文字工作委员会 、教育厅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广西“爱我国防”大学生演讲比赛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自治区党委宣传部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广西学生“学宪法，讲宪法”演讲比赛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德行天下微影故事社会主义核心价值观微电影大赛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广西壮族自治区宣传部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“建设壮美广西 共圆复兴梦想”微视频大赛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广西文旅厅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民族影视与影视人类学作品大赛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中国高校影视学会民族影视专业委员会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海南岛国际电影节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海南省人民政府</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三月三网络短视频大赛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广西壮族自治区广电局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玉琮杯清廉微电影大赛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中国纪检监察杂志社，浙江省纪委监委，中央广播电视总台浙江总站联合主办</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山东青年微电影大赛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山东省文化艺术界联合会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广西优秀舞台艺术作品展演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广西自治区文化与旅游厅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广西大学生新闻评论比赛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广西壮族自治区党委网信办、</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广西壁画作品展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广西大学生创业大赛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自治区教育厅／团区委</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全国大学生数字音乐“双创”大赛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中国音像数字出版协会、中国传媒大学</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“新人杯”全国大学生室内设计竞赛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中国建筑学会室内设计分会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中国室内设计大奖赛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中国建筑学会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海洋文化创意设计大赛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国家海洋局宣传教育中心、中国海洋大学</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“筑梦助飞 创新广西”贫困大学生创业支持大赛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广西壮族自治区教育厅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中国顶尖舞者成长计划(分区赛)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中国舞蹈家协会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149"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省部级二类</w:t>
            </w: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 xml:space="preserve"> 信谊图画书奖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上海市作家协会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广西水彩画年度展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广西版画作品展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“发现雁山”系列美术作品展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Hiii  Illustration国际插画大赛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Hiiibarnd 嗨品牌、济南出版有限责任公司</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“浩耀杯”职业装设计效果图大赛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广西服装设计师协会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“凯德凯姆”杯东盟（广西）服装设计效果图设计大赛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广西服装设计师协会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广西网络动漫大赛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广西新闻出版局、自治区网信办、广西出版传媒集团有限公司等</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广西金桂动漫大赛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广西文化和旅游厅、广西教育厅等</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山东省大学生国际动漫游戏大赛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山东省科学技术协会、山东省教育厅、共青团山东省委员会等</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广西社会主义核心价值观动画短片扶持创作活动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广西广播电视局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广西艺术作品展览——广西书法（篆刻）作品展（届展）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广西美术家协会、广西书法家协会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广西艺术作品展览——广西美术作品展（届展）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广西美术家协会、广西书法家协会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广西工笔画大展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广西美术家协会、广西书法家协会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广西中国画人物画作品展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广西文联</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“陆俨少奖”全国中国画展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浙江画院、浙江省陆俨少艺术研究会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中国—东盟舞蹈论坛/艺术交流会</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中国舞蹈家协会/广西艺术学院/广西舞蹈家协会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中国—东盟建筑空间设计大赛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广西美术家协会、广西艺术学院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广西室内设计大赛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中国建筑学会室内设计分会、广西建筑装饰协会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广西园林园艺博览会</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广西园林园艺博览会组委会办公室、广西壮族自治区人民政府</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广西“桂花杯”小花园设计竞赛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广西风景园林学会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广西“狮山竹境”创意设计竞赛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广西风景园林学会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“文科杯”大学生景观设计大赛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广东省风景园林协会、深圳市风景园林协会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全国大学生新媒体课程创新大赛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北京印刷学院、中国传媒大学新闻传播部</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白金创意国际大学生平面设计大赛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中国美术学院、浙江省美术家协会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全国大学生广告艺术大赛（区赛）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全国大学生广告艺术大赛广西赛区组委会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中华经典诵读大赛暨广西校园中华经典诵读大赛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自治区语言文字工作委员会、自治区教育厅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中华经典诵写讲大赛“诗教中国”诗词讲解大赛广西赛区</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自治区语言文字工作委员会、自治区教育厅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中华经典诵写讲大赛“笔墨中国”汉字书写大赛广西赛区</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自治区语言文字工作委员会、自治区教育厅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中华经典诵写讲大赛“印记中国”师生篆刻大赛广西赛区</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自治区语言文字工作委员会、自治区教育厅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广西青少年文化艺术大赛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广西团区委、广西教育厅、广西文旅厅、广西文联、广西青联</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广西艺术设计作品双年展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广西美术家协会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中国音乐小金钟广西选拔赛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广西音乐家协会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广西校园戏剧节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广西文联、广西戏剧家协会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“同唱友谊歌”中越歌曲演唱大赛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广西广播电视台、广西音乐家协会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广西“金铜鼓奖”青少年音乐大赛手风琴比赛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广西音乐家协会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全国手风琴邀请赛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中国音乐家协会手风琴学会、省级宣传部（文体局）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全国大学生反走私创作大赛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全国反走私综合治理调查研究中心</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上海国际大学生广告艺术节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上海大学、上海市广告协会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中国大学生创意节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上海市教育委员会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上海大学生电视节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上海大学生电视节组委会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台湾国际大学生年度艺术奖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台北艺术发展协会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“红铜鼓”中国—东盟艺术教育成果展演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广西文化和旅游厅、广西教育厅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广西油画作品展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广西油画学会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149"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省部级三类</w:t>
            </w: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作品由广西区博物馆、广西区民族博物馆、广西区美术馆收藏</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广西区博物馆、广西区民族博物馆、广西区美术馆</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 广西高校大学生水彩·粉画展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 广西水彩画家协会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广西大学生工业设计大赛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桂林电子科技大学</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大学生创意节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大学生创意节组委会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全区基层群众文艺会演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广西区党委宣传部、广西文化和旅游厅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华南五省国际标准舞锦标赛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广东国际标准舞协会等五个省级协会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广西国际标准舞锦标赛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广西国际标准舞教育协会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广西国际标准舞/拉丁舞锦标赛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广西国际流行舞教育协会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广西国际标准舞（体育舞蹈）锦标赛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广西中华文化促进会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广西大学生乡村振兴创新创业大赛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广西大学生乡村振兴创新创业大赛组委会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亚洲融合设计展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亚洲融合设计展组委会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未来设计师·全国高校数字艺术设计大赛各省分赛区</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未来设计师·全国高校数字艺术设计大赛组委会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广西民族文化传承发展与创新设计大赛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广西舞台美术学会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广西舞台美术设计展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广西舞台美术学会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全国大学生英语竞赛（NECCS）（区赛）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广西翻译协会、全国大学生英语竞赛区组委会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广西高校钢琴大赛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全国大学生网络编辑创新大赛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中国编辑学会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中国纪录片学院奖</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中国传媒大学</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北京国际大学生电影节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北京师范大学艺术与传媒学院、国家新闻出版广电总局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中国沈阳国际青年映像节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辽宁大学</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国际大学生原创影片大赛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北京师范大学</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半夏短片大赛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中国传媒大学</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“朱槿花杯”税收公益广告作品征集大赛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广西税务局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中国艺术管理教育年会</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中国艺术管理教育学会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中国传统文化促进会青年歌唱家学术委员会业务考核晋级展演暨青歌飞扬“青年歌唱家”培养计划活动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中国传统文化促进会青年歌唱家学术委员会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149"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市厅级一类</w:t>
            </w: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“爱我国防”新生军训视频作品征集活动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“光祈杯”全国高校艺术学科学生论文比赛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中国艺术学理论学会、四川音乐学院艺术学理论与管理学院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广西艺术学院校园文化艺术节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广西艺术学院校园中华经典诵读大赛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广西艺术学院语言文字工作委员会、广西艺术学院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广西艺术学院“诗教中国”诗词讲解大赛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广西艺术学院语言文字工作委员会、广西艺术学院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广西艺术学院《诗词大会》选拔赛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广西艺术学院语言文字工作委员会、广西艺术学院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全国艺术理论类专业大学生征文比赛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南京艺术学院人文学院、艺术研究院、文化产业学院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中国国际“互联网+”大学生创新创业大赛（校赛）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“鲁艺杯”全国高校音乐评论比赛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沈阳音乐学院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中国-东盟音乐周论文征集评选</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畅享民歌比赛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畅享民歌比赛组委会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“星光杯”广西文化艺术嘉年华才艺展演</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广西文化产业发展促进会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白玉兰国际音乐节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白玉兰国际音乐节组委会、上海视觉艺术学院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CIB全国插画双年展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全国插画双年展组委会、深圳市插画协会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东盟新型智慧城市协同创新大赛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南宁市发展和改革委员会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广西艺术学院三笔字大赛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广西艺术学院资助政策演讲比赛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社会美育国际艺术节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中央美术学院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衢州市文旅产品创意设计大赛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衢州市文化广电旅游局、浙江省文化产业学会艺术教育专业委员会、衢州市首届文旅产品创意设计大赛组委会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“大爱守望”上海国际纸艺术双年展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上海市奉贤区文化和旅游局</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长江.未来国际公益海报设计邀请展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中共南通市委宣传部、南通市文化广电和旅游局、南通市文学艺术界联合会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BDA舞蹈论坛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北京舞蹈学院（全国性）</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粤港澳大湾区舞蹈周/山青现代舞周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深圳市龙岗区文化广电旅游体育局、台港澳事务局/山东青年政治学院（国际性）</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山青现代舞周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山东青年政治学院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新加坡国际舞蹈节（舞蹈比赛）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新加坡表演艺术协会（国际性）</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首尔K.U.A.C.E国际舞蹈大赛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首尔国际文化基金会（国际性）</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韩国KICDC国际现代舞比赛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韩国国际当代舞委员会（国际性）</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新青年国际舞蹈电影节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国际新青年协会（国际性）</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意大利国际舞蹈人才大赛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意大利艺术协会（国际性）</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北京现代舞周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北京天桥艺术中心（国际性）</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乌镇戏剧节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文化乌镇股份有限公司主办（国际性）</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北京青年戏剧节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中国国家话剧院（全国性）</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半山舞人艺术周</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梅溪湖国际文化艺术中心、湖南周格文化传媒有限公司等（湖南省舞蹈家协会支持）</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WDSF世界体育舞蹈大奖赛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WDSF世界体育舞蹈联合会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“锦华奖”非遗影像作品推优展</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国家非遗中心</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中国手绘艺术设计大赛CIID</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中国手绘艺术设计大赛组委员</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国际大学生雪雕大赛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教育部高等学校工业设计专业教学指导委员会，国际大学生雪雕大赛组委会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老友花园社区营建</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南宁市城市更新和物业管理指导中心，上海四叶草堂青少年自然体验服务中心</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最美花境</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南宁市市政和园林管理局，南宁市风景园林学会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40</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“汉军杯”大学生创业大赛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41</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广西艺术学院“博雅杯”征文比赛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越南国际舞蹈节</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越南舞蹈艺术家协会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149"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市厅级二类</w:t>
            </w: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中国大学生广告艺术节学院奖征集大赛平面广告</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中国大学生广告艺术节学院奖组委会、广告人文化集团（天津）有限公司</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中国当代大学生艺术作品年鉴</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北京设计学会、上海市包装技术协会包装设计委员会等</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中国（虎门）国际童装网上设计大赛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东莞市虎门服装设计协会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“意尔康杯”中国鞋服创意设计大赛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晋江市工业设计与时尚创意协会、泉州三基设创意设计有限公司</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“真皮真自我”全球学生设计大赛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美国原皮皮革委员会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“阅读与美”服装服饰创意设计大赛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国纺织服装信息研究会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“创意集成·未来新生”高校数字艺术作品邀请赛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上海服装设计协会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魅力东方·中国国际居家衣饰原创设计大赛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深圳市内衣行业协会、中国国际居家衣饰原创设计大赛组委会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广西大学生文化旅游产品创新设计大赛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广西文化和旅游策划规划设计协会、广西壮族自治区教育厅</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149"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市厅级三类</w:t>
            </w: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广西东盟服装设计效果图大赛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广西服装设计师协会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“一带一路”背景下区域舞蹈文化研究国际学术论坛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云南艺术学院</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西北民族大学“舞蹈命运共同体——共建与共享”国际学术论坛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西北民族大学</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浙江省铸牢中华民族共同体意识学术研讨会暨各民族话共富促共融恳谈会</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浙江省民族宗教事务委员会主办，丽水学院民族学院承办</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OSD精英舞者国际标准舞公开赛（城市分站）</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OSD精英舞者国际标准舞公开赛组委会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中国体育舞蹈公开系列赛（全年5站）</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中国体育舞蹈联合会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喜盈门国际标准舞世界公开赛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喜盈门慈善基金会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“八桂乐歌”音乐大赛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广西音乐艺术学会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8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9</w:t>
            </w:r>
          </w:p>
        </w:tc>
        <w:tc>
          <w:tcPr>
            <w:tcW w:w="1149"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299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“金铜鼓”系列音乐大赛</w:t>
            </w:r>
          </w:p>
        </w:tc>
        <w:tc>
          <w:tcPr>
            <w:tcW w:w="24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广西青少年音乐学会、广西流行音乐学院、南宁市音乐家协会、柳州市音乐家协会、桂林市音乐家协会、玉林市音乐家协会</w:t>
            </w:r>
          </w:p>
        </w:tc>
        <w:tc>
          <w:tcPr>
            <w:tcW w:w="84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bl>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 </w:t>
      </w:r>
    </w:p>
    <w:p>
      <w:pPr>
        <w:snapToGrid w:val="1"/>
        <w:spacing w:line="240"/>
        <w:ind/>
        <w:rPr>
          <w:rFonts w:ascii="微软雅黑" w:hAnsi="微软雅黑" w:eastAsia="微软雅黑" w:cs="微软雅黑"/>
          <w:sz w:val="22"/>
        </w:rPr>
      </w:pP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附件6</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 </w:t>
      </w:r>
    </w:p>
    <w:p>
      <w:pPr>
        <w:snapToGrid w:val="1"/>
        <w:spacing w:line="240"/>
        <w:ind/>
        <w:jc w:val="center"/>
        <w:rPr>
          <w:rFonts w:ascii="微软雅黑" w:hAnsi="微软雅黑" w:eastAsia="微软雅黑" w:cs="微软雅黑"/>
          <w:sz w:val="22"/>
        </w:rPr>
      </w:pPr>
      <w:r>
        <w:rPr>
          <w:rFonts w:ascii="微软雅黑" w:hAnsi="微软雅黑" w:eastAsia="微软雅黑" w:cs="微软雅黑"/>
          <w:i w:val="0"/>
          <w:strike w:val="0"/>
          <w:color w:val="000000"/>
          <w:sz w:val="22"/>
          <w:u w:val="none"/>
        </w:rPr>
        <w:t>广西艺术学院“推免生”论文发表加分范畴汇总表</w:t>
      </w:r>
    </w:p>
    <w:tbl>
      <w:tblPr>
        <w:tblStyle w:val="000015"/>
        <w:tblLayout w:type="fixed"/>
      </w:tblPr>
      <w:tblGrid>
        <w:gridCol w:w="924"/>
        <w:gridCol w:w="1464"/>
        <w:gridCol w:w="909"/>
        <w:gridCol w:w="3339"/>
        <w:gridCol w:w="1659"/>
      </w:tblGrid>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序号</w:t>
            </w:r>
          </w:p>
        </w:tc>
        <w:tc>
          <w:tcPr>
            <w:tcW w:w="14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论文类别</w:t>
            </w: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名称</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期刊名称</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备注</w:t>
            </w: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464"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一类期刊</w:t>
            </w: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《中国社会科学》</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《求是》</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《新华文摘》</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《社会科学引文索引》（SSCI）（一区）</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《科学引文索引》（SCI）（一区）</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464"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二类期刊</w:t>
            </w: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《中文社会科学引文索引》（CSSCI）</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含来源集刊</w:t>
            </w: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《中国科学引文数据库》（CSCD）</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《中国社会科学文摘》</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《人大报刊复印资料》</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《高等学校文科学术文摘》</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《社会科学引文索引》（SSCI）（二区）</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《科学引文索引》（SCI）（二区）</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464" w:type="dxa"/>
            <w:vMerge w:val="restart"/>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三类期刊</w:t>
            </w: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北京大学《中文核心期刊要目总览》</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《中文社会科学引文索引》（CSSCI）（扩展版）</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《中国科学引文数据库》（CSCD）（扩展版）</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《社会科学引文索引》（SSCI）（三区）</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《科学引文索引》（SCI）（三区）</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《艺术与人文引文索引》(A&amp;HCI)</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1464" w:type="dxa"/>
            <w:vMerge w:val="continue"/>
            <w:tcBorders>
              <w:top w:val="single" w:color="000000" w:sz="0" w:space="0"/>
              <w:left w:val="single" w:color="000000" w:sz="0" w:space="0"/>
              <w:bottom w:val="single" w:color="000000" w:sz="0" w:space="0"/>
              <w:right w:val="single" w:color="000000" w:sz="0" w:space="0"/>
            </w:tcBorders>
            <w:vAlign w:val="center"/>
          </w:tcPr>
          <w:p>
            <w:pPr>
              <w:snapToGrid w:val="1"/>
              <w:spacing w:line="240"/>
              <w:ind/>
              <w:rPr>
                <w:rFonts w:ascii="微软雅黑" w:hAnsi="微软雅黑" w:eastAsia="微软雅黑" w:cs="微软雅黑"/>
                <w:sz w:val="22"/>
              </w:rPr>
            </w:pP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《工程索引》（EI）</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EI源刊，不含EI会议论文</w:t>
            </w:r>
          </w:p>
        </w:tc>
      </w:tr>
      <w:tr>
        <w:trPr/>
        <w:tc>
          <w:tcPr>
            <w:tcW w:w="92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146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四类期刊</w:t>
            </w:r>
          </w:p>
        </w:tc>
        <w:tc>
          <w:tcPr>
            <w:tcW w:w="90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论文</w:t>
            </w:r>
          </w:p>
        </w:tc>
        <w:tc>
          <w:tcPr>
            <w:tcW w:w="333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进入“中国知网”数据库的普通期刊论文</w:t>
            </w:r>
          </w:p>
        </w:tc>
        <w:tc>
          <w:tcPr>
            <w:tcW w:w="1659"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bl>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 </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附件7</w:t>
      </w:r>
    </w:p>
    <w:p>
      <w:pPr>
        <w:snapToGrid w:val="1"/>
        <w:spacing w:line="240"/>
        <w:ind/>
        <w:jc w:val="center"/>
        <w:rPr>
          <w:rFonts w:ascii="微软雅黑" w:hAnsi="微软雅黑" w:eastAsia="微软雅黑" w:cs="微软雅黑"/>
          <w:sz w:val="22"/>
        </w:rPr>
      </w:pPr>
      <w:r>
        <w:rPr>
          <w:rFonts w:ascii="微软雅黑" w:hAnsi="微软雅黑" w:eastAsia="微软雅黑" w:cs="微软雅黑"/>
          <w:i w:val="0"/>
          <w:strike w:val="0"/>
          <w:color w:val="000000"/>
          <w:sz w:val="22"/>
          <w:u w:val="none"/>
        </w:rPr>
        <w:t>推免生教学单位上报材料清单</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 </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教学单位（盖章）：</w:t>
      </w:r>
    </w:p>
    <w:tbl>
      <w:tblPr>
        <w:tblStyle w:val="000015"/>
        <w:tblLayout w:type="fixed"/>
      </w:tblPr>
      <w:tblGrid>
        <w:gridCol w:w="2074"/>
        <w:gridCol w:w="2074"/>
        <w:gridCol w:w="2074"/>
        <w:gridCol w:w="2074"/>
      </w:tblGrid>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序号</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材料名称</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是否有该材料</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b w:val="1"/>
                <w:i w:val="0"/>
                <w:strike w:val="0"/>
                <w:color w:val="000000"/>
                <w:spacing w:val="0"/>
                <w:sz w:val="22"/>
                <w:u w:val="none"/>
              </w:rPr>
              <w:t>备注</w:t>
            </w:r>
          </w:p>
        </w:tc>
      </w:tr>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1</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工作方案</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2</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推荐细则（公示件）</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3</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遴选规则（公示件）</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4</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推免生候选人的材料（申请表、科研创作获奖、荣誉表彰、发表论文（包括查重证明）、科研项目等）</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5</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特殊学术专长人才的三名教授联名推荐信</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6</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《广西艺术学院2026届“推免生”专项加分统计表》（见附件3）（此表由教辅系统导出，教学单位自行下载）</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7</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《广西艺术学院2026届“推免生”汇总表》（见附件4）（此表由教辅系统导出，教学单位自行下载）</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8</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推免生申请人公示材料</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r>
        <w:trPr/>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9</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r>
              <w:rPr>
                <w:rFonts w:ascii="微软雅黑" w:hAnsi="微软雅黑" w:eastAsia="微软雅黑" w:cs="微软雅黑"/>
                <w:i w:val="0"/>
                <w:strike w:val="0"/>
                <w:color w:val="000000"/>
                <w:spacing w:val="0"/>
                <w:sz w:val="22"/>
                <w:u w:val="none"/>
              </w:rPr>
              <w:t>推免生候选人公示材料</w:t>
            </w: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c>
          <w:tcPr>
            <w:tcW w:w="2074"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rFonts w:ascii="微软雅黑" w:hAnsi="微软雅黑" w:eastAsia="微软雅黑" w:cs="微软雅黑"/>
                <w:sz w:val="22"/>
              </w:rPr>
            </w:pPr>
          </w:p>
        </w:tc>
      </w:tr>
    </w:tbl>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 </w:t>
      </w:r>
    </w:p>
    <w:p>
      <w:pPr>
        <w:pBdr>
          <w:bottom/>
        </w:pBd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  </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 </w:t>
      </w:r>
    </w:p>
    <w:p>
      <w:pPr>
        <w:pBdr>
          <w:bottom/>
        </w:pBd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 申诉渠道</w:t>
      </w:r>
    </w:p>
    <w:p>
      <w:pPr>
        <w:pStyle w:val="000001"/>
        <w:rPr/>
      </w:pPr>
      <w:r>
        <w:rPr/>
        <w:t>广西艺术学院</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地址：广西省南宁市青秀区教育路7号</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邮编：530022</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邮箱：暂无</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电话：0771-5333134</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传真：0771-5333134</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部门：广西艺术学院招生办公室</w:t>
      </w:r>
    </w:p>
    <w:p>
      <w:pPr>
        <w:pStyle w:val="000001"/>
        <w:rPr/>
      </w:pPr>
      <w:r>
        <w:rPr/>
        <w:t>广西壮族自治区</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地址：广西南宁市青秀区柳园路6号</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邮编：530021</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邮箱：tang_zl@mail.gxeea.cn</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电话：0771-5337501</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传真：0771-5320540</w:t>
      </w:r>
    </w:p>
    <w:p>
      <w:pPr>
        <w:snapToGrid w:val="1"/>
        <w:spacing w:line="240"/>
        <w:ind/>
        <w:rPr>
          <w:rFonts w:ascii="微软雅黑" w:hAnsi="微软雅黑" w:eastAsia="微软雅黑" w:cs="微软雅黑"/>
          <w:sz w:val="22"/>
        </w:rPr>
      </w:pPr>
      <w:r>
        <w:rPr>
          <w:rFonts w:ascii="微软雅黑" w:hAnsi="微软雅黑" w:eastAsia="微软雅黑" w:cs="微软雅黑"/>
          <w:i w:val="0"/>
          <w:strike w:val="0"/>
          <w:color w:val="000000"/>
          <w:sz w:val="22"/>
          <w:u w:val="none"/>
        </w:rPr>
        <w:t>部门：广西壮族自治区招生考试院</w:t>
      </w:r>
    </w:p>
    <w:p>
      <w:pPr>
        <w:rPr>
          <w:rFonts w:ascii="微软雅黑" w:hAnsi="微软雅黑" w:eastAsia="微软雅黑" w:cs="微软雅黑"/>
          <w:sz w:val="22"/>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Calibri">
    <w:panose1 w:val="020F0502020204030204"/>
    <w:charset w:val="00" w:characterSet="ISO-8859-1"/>
    <w:family w:val="swiss"/>
    <w:pitch w:val="variable"/>
    <w:sig w:usb0="00000003" w:usb1="00000000" w:usb2="00000001" w:usb3="00000000" w:csb0="0000019F" w:csb1="00000000"/>
  </w:font>
  <w:font w:name="微软雅黑">
    <w:panose1 w:val="020B0503020204020204"/>
    <w:charset w:val="86" w:characterSet="ISO-8859-1"/>
    <w:family w:val="swiss"/>
    <w:pitch w:val="variable"/>
    <w:sig w:usb0="00000001" w:usb1="080E0000" w:usb2="00000016" w:usb3="00000000" w:csb0="0004001F" w:csb1="00000000"/>
  </w:font>
  <w:font w:name="Monaco">
    <w:altName w:val="Monaco"/>
    <w:panose1 w:val="00000000000000000000"/>
    <w:charset w:val="00" w:characterSet="ISO-8859-1"/>
    <w:family w:val="auto"/>
    <w:pitch w:val="variable"/>
    <w:sig w:usb0="A00002FF" w:usb1="500039FB" w:usb2="00000000" w:usb3="00000000" w:csb0="00000197" w:csb1="00000000"/>
  </w:font>
  <w:font w:name="Calibri Light">
    <w:panose1 w:val="020F0302020204030204"/>
    <w:charset w:val="00" w:characterSet="ISO-8859-1"/>
    <w:family w:val="swiss"/>
    <w:pitch w:val="variable"/>
    <w:sig w:usb0="A00002EF" w:usb1="4000207B" w:usb2="00000000" w:usb3="00000000" w:csb0="0000019F" w:csb1="00000000"/>
  </w:font>
  <w:font w:name="Arial">
    <w:panose1 w:val="020B0604020202020204"/>
    <w:charset w:val="00" w:characterSet="ISO-8859-1"/>
    <w:family w:val="swiss"/>
    <w:pitch w:val="variable"/>
    <w:sig w:usb0="E0000AFF" w:usb1="00007843" w:usb2="00000001" w:usb3="00000000" w:csb0="000001BF" w:csb1="00000000"/>
  </w:font>
  <w:font w:name="Times New Roman">
    <w:panose1 w:val="02020603050405020304"/>
    <w:charset w:val="00" w:characterSet="ISO-8859-1"/>
    <w:family w:val="roman"/>
    <w:pitch w:val="variable"/>
    <w:sig w:usb0="20002A87" w:usb1="80000000" w:usb2="00000008" w:usb3="00000000" w:csb0="000001F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overrideTableStyleFontSizeAndJustification" w:uri="http://schemas.microsoft.com/office/word" w:val="1"/>
    <w:compatSetting w:name="compatibilityMode" w:uri="http://schemas.microsoft.com/office/word" w:val="15"/>
    <w:compatSetting w:name="differentiateMultirowTableHeaders"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TOC Heading" w:uiPriority="39" w:semiHidden="1" w:unhideWhenUsed="1" w:qFormat="1"/>
    <w:lsdException w:name="Grid Table 3 Accent 3" w:uiPriority="48"/>
    <w:lsdException w:name="Table Classic 4" w:semiHidden="1" w:unhideWhenUsed="1"/>
    <w:lsdException w:name="footnote reference" w:uiPriority="99" w:semiHidden="1" w:unhideWhenUsed="1"/>
    <w:lsdException w:name="Grid Table 4" w:uiPriority="49"/>
    <w:lsdException w:name="Grid Table 6 Colorful Accent 2" w:uiPriority="51"/>
    <w:lsdException w:name="Table Grid 2" w:semiHidden="1" w:unhideWhenUsed="1"/>
    <w:lsdException w:name="Outline List 2" w:uiPriority="99" w:semiHidden="1" w:unhideWhenUsed="1"/>
    <w:lsdException w:name="Strong" w:qFormat="1"/>
    <w:lsdException w:name="Table Columns 5" w:semiHidden="1" w:unhideWhenUsed="1"/>
    <w:lsdException w:name="Table Theme" w:semiHidden="1" w:unhideWhenUsed="1"/>
    <w:lsdException w:name="List Table 3 Accent 3" w:uiPriority="48"/>
    <w:lsdException w:name="Table Classic 3" w:semiHidden="1" w:unhideWhenUsed="1"/>
    <w:lsdException w:name="Table List 4" w:semiHidden="1" w:unhideWhenUsed="1"/>
    <w:lsdException w:name="Grid Table 6 Colorful Accent 1" w:uiPriority="51"/>
    <w:lsdException w:name="Colorful Shading Accent 1" w:uiPriority="71"/>
    <w:lsdException w:name="Colorful List Accent 6" w:uiPriority="72"/>
    <w:lsdException w:name="Medium Shading 2 Accent 5" w:uiPriority="64"/>
    <w:lsdException w:name="Colorful Grid" w:uiPriority="73"/>
    <w:lsdException w:name="Grid Table 1 Light Accent 3" w:uiPriority="46"/>
    <w:lsdException w:name="Normal" w:qFormat="1"/>
    <w:lsdException w:name="Grid Table 7 Colorful" w:uiPriority="52"/>
    <w:lsdException w:name="Dark List Accent 4" w:uiPriority="70"/>
    <w:lsdException w:name="Light List Accent 6" w:uiPriority="61"/>
    <w:lsdException w:name="HTML Definition" w:uiPriority="99"/>
    <w:lsdException w:name="Table List 5" w:semiHidden="1" w:unhideWhenUsed="1"/>
    <w:lsdException w:name="List Table 6 Colorful Accent 4" w:uiPriority="51"/>
    <w:lsdException w:name="List Table 7 Colorful Accent 6" w:uiPriority="52"/>
    <w:lsdException w:name="List Table 2 Accent 6" w:uiPriority="47"/>
    <w:lsdException w:name="Plain Table 1" w:uiPriority="41"/>
    <w:lsdException w:name="Colorful Grid Accent 4" w:uiPriority="73"/>
    <w:lsdException w:name="Medium Shading 2 Accent 6" w:uiPriority="64"/>
    <w:lsdException w:name="Dark List Accent 2" w:uiPriority="70"/>
    <w:lsdException w:name="List Table 3 Accent 4" w:uiPriority="48"/>
    <w:lsdException w:name="Medium Grid 1 Accent 5" w:uiPriority="67"/>
    <w:lsdException w:name="Medium Shading 2 Accent 2" w:uiPriority="64"/>
    <w:lsdException w:name="List Table 1 Light Accent 2" w:uiPriority="46"/>
    <w:lsdException w:name="Medium Shading 1 Accent 4" w:uiPriority="63"/>
    <w:lsdException w:name="Grid Table 5 Dark Accent 3" w:uiPriority="50"/>
    <w:lsdException w:name="Light Shading Accent 3" w:uiPriority="60"/>
    <w:lsdException w:name="heading 5" w:qFormat="1"/>
    <w:lsdException w:name="Table Elegant" w:semiHidden="1" w:unhideWhenUsed="1"/>
    <w:lsdException w:name="Medium List 1 Accent 2" w:uiPriority="65"/>
    <w:lsdException w:name="Table Web 3" w:semiHidden="1" w:unhideWhenUsed="1"/>
    <w:lsdException w:name="Colorful List Accent 4" w:uiPriority="72"/>
    <w:lsdException w:name="Medium Grid 2 Accent 3" w:uiPriority="68"/>
    <w:lsdException w:name="Outline List 1" w:uiPriority="99" w:semiHidden="1" w:unhideWhenUsed="1"/>
    <w:lsdException w:name="Medium Grid 1 Accent 1" w:uiPriority="67"/>
    <w:lsdException w:name="Colorful List Accent 5" w:uiPriority="72"/>
    <w:lsdException w:name="Table Web 1" w:semiHidden="1" w:unhideWhenUsed="1"/>
    <w:lsdException w:name="Light Shading Accent 1" w:uiPriority="60"/>
    <w:lsdException w:name="List Table 3" w:uiPriority="48"/>
    <w:lsdException w:name="toc 7" w:uiPriority="99"/>
    <w:lsdException w:name="heading 9" w:unhideWhenUsed="1" w:qFormat="1"/>
    <w:lsdException w:name="Medium List 1 Accent 5" w:uiPriority="65"/>
    <w:lsdException w:name="Intense Quote" w:uiPriority="99"/>
    <w:lsdException w:name="Medium Grid 1 Accent 6" w:uiPriority="67"/>
    <w:lsdException w:name="Table List 6" w:semiHidden="1" w:unhideWhenUsed="1"/>
    <w:lsdException w:name="Colorful Grid Accent 6" w:uiPriority="73"/>
    <w:lsdException w:name="Table Columns 4" w:semiHidden="1" w:unhideWhenUsed="1"/>
    <w:lsdException w:name="Grid Table 2 Accent 1" w:uiPriority="47"/>
    <w:lsdException w:name="Table List 1" w:semiHidden="1" w:unhideWhenUsed="1"/>
    <w:lsdException w:name="HTML Top of Form" w:uiPriority="99" w:semiHidden="1" w:unhideWhenUsed="1"/>
    <w:lsdException w:name="Light Grid" w:uiPriority="62"/>
    <w:lsdException w:name="List Table 6 Colorful Accent 5" w:uiPriority="51"/>
    <w:lsdException w:name="Grid Table 7 Colorful Accent 1" w:uiPriority="52"/>
    <w:lsdException w:name="List Table 6 Colorful Accent 1" w:uiPriority="51"/>
    <w:lsdException w:name="List Table 6 Colorful Accent 3" w:uiPriority="51"/>
    <w:lsdException w:name="Quote" w:uiPriority="99"/>
    <w:lsdException w:name="Grid Table 3 Accent 6" w:uiPriority="48"/>
    <w:lsdException w:name="List Table 4 Accent 4" w:uiPriority="49"/>
    <w:lsdException w:name="Grid Table 1 Light Accent 4" w:uiPriority="46"/>
    <w:lsdException w:name="Medium List 2" w:uiPriority="66"/>
    <w:lsdException w:name="footnote text" w:uiPriority="99" w:semiHidden="1" w:unhideWhenUsed="1"/>
    <w:lsdException w:name="Grid Table 1 Light" w:uiPriority="46"/>
    <w:lsdException w:name="List Table 4 Accent 5" w:uiPriority="49"/>
    <w:lsdException w:name="List Table 3 Accent 2" w:uiPriority="48"/>
    <w:lsdException w:name="List Table 5 Dark Accent 5" w:uiPriority="50"/>
    <w:lsdException w:name="Medium List 2 Accent 5" w:uiPriority="66"/>
    <w:lsdException w:name="List Table 5 Dark Accent 6" w:uiPriority="50"/>
    <w:lsdException w:name="Dark List Accent 3" w:uiPriority="70"/>
    <w:lsdException w:name="List Table 2 Accent 2" w:uiPriority="47"/>
    <w:lsdException w:name="Colorful List Accent 2" w:uiPriority="72"/>
    <w:lsdException w:name="List Table 6 Colorful" w:uiPriority="51"/>
    <w:lsdException w:name="Plain Table 3" w:uiPriority="43"/>
    <w:lsdException w:name="Grid Table 1 Light Accent 5" w:uiPriority="46"/>
    <w:lsdException w:name="toc 8" w:uiPriority="99"/>
    <w:lsdException w:name="Light List" w:uiPriority="61"/>
    <w:lsdException w:name="HTML Bottom of Form" w:uiPriority="99" w:semiHidden="1" w:unhideWhenUsed="1"/>
    <w:lsdException w:name="HTML Preformatted" w:uiPriority="99"/>
    <w:lsdException w:name="Table Grid 1" w:semiHidden="1" w:unhideWhenUsed="1"/>
    <w:lsdException w:name="toc 9" w:uiPriority="99"/>
    <w:lsdException w:name="List Table 4 Accent 2" w:uiPriority="49"/>
    <w:lsdException w:name="Smart Link" w:uiPriority="99" w:semiHidden="1" w:unhideWhenUsed="1"/>
    <w:lsdException w:name="Table Columns 1" w:semiHidden="1" w:unhideWhenUsed="1"/>
    <w:lsdException w:name="Grid Table 3 Accent 5" w:uiPriority="48"/>
    <w:lsdException w:name="List Table 7 Colorful Accent 2" w:uiPriority="52"/>
    <w:lsdException w:name="No List" w:uiPriority="99" w:semiHidden="1" w:unhideWhenUsed="1"/>
    <w:lsdException w:name="heading 4" w:qFormat="1"/>
    <w:lsdException w:name="Subtitle" w:qFormat="1"/>
    <w:lsdException w:name="List Table 5 Dark Accent 2" w:uiPriority="50"/>
    <w:lsdException w:name="toc 1" w:uiPriority="99"/>
    <w:lsdException w:name="Colorful Grid Accent 2" w:uiPriority="73"/>
    <w:lsdException w:name="heading 1" w:qFormat="1"/>
    <w:lsdException w:name="Medium Grid 2 Accent 5" w:uiPriority="68"/>
    <w:lsdException w:name="Light Grid Accent 3" w:uiPriority="62"/>
    <w:lsdException w:name="HTML Cite" w:uiPriority="99"/>
    <w:lsdException w:name="Title" w:qFormat="1"/>
    <w:lsdException w:name="Grid Table 4 Accent 4" w:uiPriority="49"/>
    <w:lsdException w:name="Table Grid" w:qFormat="1"/>
    <w:lsdException w:name="Subtle Reference" w:uiPriority="31" w:qFormat="1"/>
    <w:lsdException w:name="Table List 2" w:semiHidden="1" w:unhideWhenUsed="1"/>
    <w:lsdException w:name="Grid Table 2 Accent 4" w:uiPriority="47"/>
    <w:lsdException w:name="Grid Table 4 Accent 1" w:uiPriority="49"/>
    <w:lsdException w:name="Table Colorful 1" w:semiHidden="1" w:unhideWhenUsed="1"/>
    <w:lsdException w:name="Medium List 1 Accent 6" w:uiPriority="65"/>
    <w:lsdException w:name="Bibliography" w:uiPriority="37" w:semiHidden="1" w:unhideWhenUsed="1"/>
    <w:lsdException w:name="List Table 1 Light Accent 4" w:uiPriority="46"/>
    <w:lsdException w:name="Colorful Shading Accent 6" w:uiPriority="71"/>
    <w:lsdException w:name="List Table 4 Accent 6" w:uiPriority="49"/>
    <w:lsdException w:name="Medium Shading 2 Accent 3" w:uiPriority="64"/>
    <w:lsdException w:name="Grid Table 5 Dark Accent 5" w:uiPriority="50"/>
    <w:lsdException w:name="Light List Accent 3" w:uiPriority="61"/>
    <w:lsdException w:name="Table Colorful 3" w:semiHidden="1" w:unhideWhenUsed="1"/>
    <w:lsdException w:name="List Table 7 Colorful" w:uiPriority="52"/>
    <w:lsdException w:name="Medium Grid 2" w:uiPriority="68"/>
    <w:lsdException w:name="List Table 5 Dark Accent 3" w:uiPriority="50"/>
    <w:lsdException w:name="Medium List 2 Accent 4" w:uiPriority="66"/>
    <w:lsdException w:name="Medium List 1 Accent 1" w:uiPriority="65"/>
    <w:lsdException w:name="List Table 4 Accent 1" w:uiPriority="49"/>
    <w:lsdException w:name="List Table 5 Dark Accent 1" w:uiPriority="50"/>
    <w:lsdException w:name="HTML Keyboard" w:uiPriority="99"/>
    <w:lsdException w:name="Table 3D effects 2" w:semiHidden="1" w:unhideWhenUsed="1"/>
    <w:lsdException w:name="List Table 1 Light Accent 3" w:uiPriority="46"/>
    <w:lsdException w:name="Normal Table" w:uiPriority="99" w:semiHidden="1" w:unhideWhenUsed="1"/>
    <w:lsdException w:name="Grid Table 5 Dark Accent 1" w:uiPriority="50"/>
    <w:lsdException w:name="Grid Table 7 Colorful Accent 2" w:uiPriority="52"/>
    <w:lsdException w:name="List Table 3 Accent 6" w:uiPriority="48"/>
    <w:lsdException w:name="Colorful Grid Accent 3" w:uiPriority="73"/>
    <w:lsdException w:name="heading 3" w:qFormat="1"/>
    <w:lsdException w:name="Grid Table 1 Light Accent 1" w:uiPriority="46"/>
    <w:lsdException w:name="List Table 7 Colorful Accent 3" w:uiPriority="52"/>
    <w:lsdException w:name="toc 4" w:uiPriority="99"/>
    <w:lsdException w:name="Light Grid Accent 4" w:uiPriority="62"/>
    <w:lsdException w:name="Table List 3" w:semiHidden="1" w:unhideWhenUsed="1"/>
    <w:lsdException w:name="Medium Shading 1" w:uiPriority="63"/>
    <w:lsdException w:name="Medium List 2 Accent 3" w:uiPriority="66"/>
    <w:lsdException w:name="Table 3D effects 1" w:semiHidden="1" w:unhideWhenUsed="1"/>
    <w:lsdException w:name="HTML Address" w:uiPriority="99"/>
    <w:lsdException w:name="Table Simple 2" w:semiHidden="1" w:unhideWhenUsed="1"/>
    <w:lsdException w:name="Hashtag" w:uiPriority="99" w:semiHidden="1" w:unhideWhenUsed="1"/>
    <w:lsdException w:name="Grid Table 5 Dark Accent 4" w:uiPriority="50"/>
    <w:lsdException w:name="Light Grid Accent 5" w:uiPriority="62"/>
    <w:lsdException w:name="Medium Grid 3 Accent 4" w:uiPriority="69"/>
    <w:lsdException w:name="HTML Acronym" w:uiPriority="99"/>
    <w:lsdException w:name="Table Contemporary" w:semiHidden="1" w:unhideWhenUsed="1"/>
    <w:lsdException w:name="Table Classic 2" w:semiHidden="1" w:unhideWhenUsed="1"/>
    <w:lsdException w:name="Medium Grid 3 Accent 1" w:uiPriority="69"/>
    <w:lsdException w:name="Colorful Shading" w:uiPriority="71"/>
    <w:lsdException w:name="Light Shading Accent 4" w:uiPriority="60"/>
    <w:lsdException w:name="Medium Shading 1 Accent 5" w:uiPriority="63"/>
    <w:lsdException w:name="HTML Code" w:uiPriority="99"/>
    <w:lsdException w:name="Grid Table Light" w:uiPriority="40"/>
    <w:lsdException w:name="List Table 5 Dark" w:uiPriority="50"/>
    <w:lsdException w:name="Table Simple 3" w:semiHidden="1" w:unhideWhenUsed="1"/>
    <w:lsdException w:name="Light Grid Accent 1" w:uiPriority="62"/>
    <w:lsdException w:name="Dark List Accent 5" w:uiPriority="70"/>
    <w:lsdException w:name="Dark List Accent 1" w:uiPriority="70"/>
    <w:lsdException w:name="Light Grid Accent 2" w:uiPriority="62"/>
    <w:lsdException w:name="List Table 2 Accent 1" w:uiPriority="47"/>
    <w:lsdException w:name="Medium List 2 Accent 1" w:uiPriority="66"/>
    <w:lsdException w:name="Table Colorful 2" w:semiHidden="1" w:unhideWhenUsed="1"/>
    <w:lsdException w:name="List Table 4 Accent 3" w:uiPriority="49"/>
    <w:lsdException w:name="Table 3D effects 3" w:semiHidden="1" w:unhideWhenUsed="1"/>
    <w:lsdException w:name="Grid Table 4 Accent 6" w:uiPriority="49"/>
    <w:lsdException w:name="Grid Table 1 Light Accent 2" w:uiPriority="46"/>
    <w:lsdException w:name="Dark List Accent 6" w:uiPriority="70"/>
    <w:lsdException w:name="Grid Table 4 Accent 3" w:uiPriority="49"/>
    <w:lsdException w:name="Colorful List Accent 3" w:uiPriority="72"/>
    <w:lsdException w:name="HTML Variable" w:uiPriority="99"/>
    <w:lsdException w:name="Outline List 3" w:uiPriority="99" w:semiHidden="1" w:unhideWhenUsed="1"/>
    <w:lsdException w:name="List Table 2 Accent 3" w:uiPriority="47"/>
    <w:lsdException w:name="Grid Table 5 Dark" w:uiPriority="50"/>
    <w:lsdException w:name="Table Classic 1" w:semiHidden="1" w:unhideWhenUsed="1"/>
    <w:lsdException w:name="Medium Grid 2 Accent 4" w:uiPriority="68"/>
    <w:lsdException w:name="Book Title" w:uiPriority="33" w:qFormat="1"/>
    <w:lsdException w:name="Light Shading Accent 5" w:uiPriority="60"/>
    <w:lsdException w:name="Grid Table 7 Colorful Accent 6" w:uiPriority="52"/>
    <w:lsdException w:name="Grid Table 6 Colorful Accent 5" w:uiPriority="51"/>
    <w:lsdException w:name="List Table 7 Colorful Accent 4" w:uiPriority="52"/>
    <w:lsdException w:name="Table List 8" w:semiHidden="1" w:unhideWhenUsed="1"/>
    <w:lsdException w:name="Light List Accent 2" w:uiPriority="61"/>
    <w:lsdException w:name="Medium List 2 Accent 6" w:uiPriority="66"/>
    <w:lsdException w:name="Grid Table 3 Accent 4" w:uiPriority="48"/>
    <w:lsdException w:name="Mention" w:uiPriority="99" w:semiHidden="1" w:unhideWhenUsed="1"/>
    <w:lsdException w:name="List Table 6 Colorful Accent 6" w:uiPriority="51"/>
    <w:lsdException w:name="Medium List 1 Accent 3" w:uiPriority="65"/>
    <w:lsdException w:name="Table Grid 3" w:semiHidden="1" w:unhideWhenUsed="1"/>
    <w:lsdException w:name="Colorful Shading Accent 2" w:uiPriority="71"/>
    <w:lsdException w:name="List Table 1 Light Accent 6" w:uiPriority="46"/>
    <w:lsdException w:name="List Table 1 Light Accent 5" w:uiPriority="46"/>
    <w:lsdException w:name="Medium Grid 1 Accent 4" w:uiPriority="67"/>
    <w:lsdException w:name="Colorful List Accent 1" w:uiPriority="72"/>
    <w:lsdException w:name="Table Web 2" w:semiHidden="1" w:unhideWhenUsed="1"/>
    <w:lsdException w:name="Medium Shading 2" w:uiPriority="64"/>
    <w:lsdException w:name="heading 7" w:unhideWhenUsed="1" w:qFormat="1"/>
    <w:lsdException w:name="Table Simple 1" w:semiHidden="1" w:unhideWhenUsed="1"/>
    <w:lsdException w:name="Grid Table 3 Accent 1" w:uiPriority="48"/>
    <w:lsdException w:name="toc 5" w:uiPriority="99"/>
    <w:lsdException w:name="Medium List 1" w:uiPriority="65"/>
    <w:lsdException w:name="Table Subtle 1" w:semiHidden="1" w:unhideWhenUsed="1"/>
    <w:lsdException w:name="Grid Table 2 Accent 3" w:uiPriority="47"/>
    <w:lsdException w:name="Grid Table 4 Accent 2" w:uiPriority="49"/>
    <w:lsdException w:name="Medium Shading 1 Accent 1" w:uiPriority="63"/>
    <w:lsdException w:name="List Table 5 Dark Accent 4" w:uiPriority="50"/>
    <w:lsdException w:name="Default Paragraph Font" w:uiPriority="1" w:semiHidden="1" w:unhideWhenUsed="1"/>
    <w:lsdException w:name="Subtle Emphasis" w:uiPriority="19" w:qFormat="1"/>
    <w:lsdException w:name="Light List Accent 4" w:uiPriority="61"/>
    <w:lsdException w:name="Unresolved Mention" w:uiPriority="99" w:semiHidden="1" w:unhideWhenUsed="1"/>
    <w:lsdException w:name="Medium List 1 Accent 4" w:uiPriority="65"/>
    <w:lsdException w:name="Colorful Shading Accent 5" w:uiPriority="71"/>
    <w:lsdException w:name="List Table 3 Accent 5" w:uiPriority="48"/>
    <w:lsdException w:name="Medium Grid 1" w:uiPriority="67"/>
    <w:lsdException w:name="Table Columns 2" w:semiHidden="1" w:unhideWhenUsed="1"/>
    <w:lsdException w:name="Light List Accent 1" w:uiPriority="61"/>
    <w:lsdException w:name="Light List Accent 5" w:uiPriority="61"/>
    <w:lsdException w:name="List Table 1 Light Accent 1" w:uiPriority="46"/>
    <w:lsdException w:name="Plain Table 2" w:uiPriority="42"/>
    <w:lsdException w:name="caption" w:semiHidden="1" w:unhideWhenUsed="1" w:qFormat="1"/>
    <w:lsdException w:name="List Paragraph" w:uiPriority="99"/>
    <w:lsdException w:name="Medium Shading 1 Accent 2" w:uiPriority="63"/>
    <w:lsdException w:name="Table Columns 3" w:semiHidden="1" w:unhideWhenUsed="1"/>
    <w:lsdException w:name="No Spacing" w:uiPriority="99"/>
    <w:lsdException w:name="Medium Grid 2 Accent 1" w:uiPriority="68"/>
    <w:lsdException w:name="Colorful Grid Accent 5" w:uiPriority="73"/>
    <w:lsdException w:name="Colorful List" w:uiPriority="72"/>
    <w:lsdException w:name="Grid Table 2 Accent 2" w:uiPriority="47"/>
    <w:lsdException w:name="Intense Emphasis" w:uiPriority="21" w:qFormat="1"/>
    <w:lsdException w:name="List Table 7 Colorful Accent 5" w:uiPriority="52"/>
    <w:lsdException w:name="Dark List" w:uiPriority="70"/>
    <w:lsdException w:name="heading 2" w:qFormat="1"/>
    <w:lsdException w:name="List Table 2 Accent 5" w:uiPriority="47"/>
    <w:lsdException w:name="Medium Grid 3 Accent 2" w:uiPriority="69"/>
    <w:lsdException w:name="Medium Grid 2 Accent 6" w:uiPriority="68"/>
    <w:lsdException w:name="Medium Shading 2 Accent 1" w:uiPriority="64"/>
    <w:lsdException w:name="Table Grid 5" w:semiHidden="1" w:unhideWhenUsed="1"/>
    <w:lsdException w:name="Table Grid 7" w:semiHidden="1" w:unhideWhenUsed="1"/>
    <w:lsdException w:name="Medium Shading 1 Accent 3" w:uiPriority="63"/>
    <w:lsdException w:name="Medium Grid 3 Accent 5" w:uiPriority="69"/>
    <w:lsdException w:name="List Table 1 Light" w:uiPriority="46"/>
    <w:lsdException w:name="Medium Grid 3 Accent 6" w:uiPriority="69"/>
    <w:lsdException w:name="toc 3" w:uiPriority="99"/>
    <w:lsdException w:name="List Table 2" w:uiPriority="47"/>
    <w:lsdException w:name="Table Grid 8" w:semiHidden="1" w:unhideWhenUsed="1"/>
    <w:lsdException w:name="Grid Table 7 Colorful Accent 4" w:uiPriority="52"/>
    <w:lsdException w:name="List Table 7 Colorful Accent 1" w:uiPriority="52"/>
    <w:lsdException w:name="Table Subtle 2" w:semiHidden="1" w:unhideWhenUsed="1"/>
    <w:lsdException w:name="heading 8" w:unhideWhenUsed="1" w:qFormat="1"/>
    <w:lsdException w:name="Emphasis" w:qFormat="1"/>
    <w:lsdException w:name="Grid Table 7 Colorful Accent 3" w:uiPriority="52"/>
    <w:lsdException w:name="Medium Grid 1 Accent 3" w:uiPriority="67"/>
    <w:lsdException w:name="Table Grid 6" w:semiHidden="1" w:unhideWhenUsed="1"/>
    <w:lsdException w:name="Grid Table 4 Accent 5" w:uiPriority="49"/>
    <w:lsdException w:name="Revision" w:uiPriority="99" w:semiHidden="1"/>
    <w:lsdException w:name="Light Shading Accent 2" w:uiPriority="60"/>
    <w:lsdException w:name="Table List 7" w:semiHidden="1" w:unhideWhenUsed="1"/>
    <w:lsdException w:name="Colorful Grid Accent 1" w:uiPriority="73"/>
    <w:lsdException w:name="List Table 6 Colorful Accent 2" w:uiPriority="51"/>
    <w:lsdException w:name="Grid Table 7 Colorful Accent 5" w:uiPriority="52"/>
    <w:lsdException w:name="Grid Table 3 Accent 2" w:uiPriority="48"/>
    <w:lsdException w:name="Grid Table 2 Accent 5" w:uiPriority="47"/>
    <w:lsdException w:name="Medium Grid 1 Accent 2" w:uiPriority="67"/>
    <w:lsdException w:name="toc 6" w:uiPriority="99"/>
    <w:lsdException w:name="Table Grid 4" w:semiHidden="1" w:unhideWhenUsed="1"/>
    <w:lsdException w:name="Medium List 2 Accent 2" w:uiPriority="66"/>
    <w:lsdException w:name="Light Grid Accent 6" w:uiPriority="62"/>
    <w:lsdException w:name="Smart Hyperlink" w:uiPriority="99" w:semiHidden="1" w:unhideWhenUsed="1"/>
    <w:lsdException w:name="Light Shading Accent 6" w:uiPriority="60"/>
    <w:lsdException w:name="Plain Table 4" w:uiPriority="44"/>
    <w:lsdException w:name="Grid Table 6 Colorful Accent 4" w:uiPriority="51"/>
    <w:lsdException w:name="Colorful Shading Accent 4" w:uiPriority="71"/>
    <w:lsdException w:name="Placeholder Text" w:uiPriority="99" w:semiHidden="1"/>
    <w:lsdException w:name="Medium Shading 1 Accent 6" w:uiPriority="63"/>
    <w:lsdException w:name="Grid Table 3" w:uiPriority="48"/>
    <w:lsdException w:name="Light Shading" w:uiPriority="60"/>
    <w:lsdException w:name="HTML Typewriter" w:uiPriority="99"/>
    <w:lsdException w:name="Grid Table 5 Dark Accent 2" w:uiPriority="50"/>
    <w:lsdException w:name="Grid Table 6 Colorful Accent 6" w:uiPriority="51"/>
    <w:lsdException w:name="HTML Sample" w:uiPriority="99"/>
    <w:lsdException w:name="Table Professional" w:semiHidden="1" w:unhideWhenUsed="1"/>
    <w:lsdException w:name="Grid Table 6 Colorful" w:uiPriority="51"/>
    <w:lsdException w:name="Grid Table 5 Dark Accent 6" w:uiPriority="50"/>
    <w:lsdException w:name="Medium Grid 3" w:uiPriority="69"/>
    <w:lsdException w:name="Colorful Shading Accent 3" w:uiPriority="71"/>
    <w:lsdException w:name="Grid Table 6 Colorful Accent 3" w:uiPriority="51"/>
    <w:lsdException w:name="toc 2" w:uiPriority="99"/>
    <w:lsdException w:name="Medium Grid 2 Accent 2" w:uiPriority="68"/>
    <w:lsdException w:name="Medium Shading 2 Accent 4" w:uiPriority="64"/>
    <w:lsdException w:name="Medium Grid 3 Accent 3" w:uiPriority="69"/>
    <w:lsdException w:name="List Table 3 Accent 1" w:uiPriority="48"/>
    <w:lsdException w:name="Grid Table 1 Light Accent 6" w:uiPriority="46"/>
    <w:lsdException w:name="List Table 2 Accent 4" w:uiPriority="47"/>
    <w:lsdException w:name="Intense Reference" w:uiPriority="32" w:qFormat="1"/>
    <w:lsdException w:name="heading 6" w:qFormat="1"/>
    <w:lsdException w:name="List Table 4" w:uiPriority="49"/>
    <w:lsdException w:name="Grid Table 2 Accent 6" w:uiPriority="47"/>
    <w:lsdException w:name="Grid Table 2" w:uiPriority="47"/>
    <w:lsdException w:name="Plain Table 5" w:uiPriority="45"/>
  </w:latentStyles>
  <w:style w:type="character" w:styleId="000017" w:customStyle="1">
    <w:name w:val="melo-codeblock-Base-theme-char"/>
    <w:uiPriority w:val="99"/>
    <w:rPr>
      <w:rFonts w:ascii="Monaco" w:hAnsi="Monaco" w:eastAsia="Monaco" w:cs="Monaco"/>
      <w:color w:val="000000"/>
      <w:sz w:val="21"/>
    </w:rPr>
  </w:style>
  <w:style w:type="character" w:styleId="000016">
    <w:name w:val="Hyperlink"/>
    <w:basedOn w:val="00000b"/>
    <w:rPr>
      <w:color w:val="1E6FFF"/>
      <w:u w:val="single"/>
    </w:rPr>
  </w:style>
  <w:style w:type="paragraph" w:styleId="000003">
    <w:name w:val="heading 2"/>
    <w:basedOn w:val="000001"/>
    <w:next w:val="000001"/>
    <w:qFormat w:val="1"/>
    <w:pPr>
      <w:keepNext w:val="1"/>
      <w:keepLines w:val="1"/>
      <w:outlineLvl w:val="1"/>
    </w:pPr>
    <w:rPr>
      <w:b w:val="1"/>
      <w:sz w:val="32"/>
    </w:rPr>
  </w:style>
  <w:style w:type="paragraph" w:styleId="000013">
    <w:name w:val="Title"/>
    <w:basedOn w:val="000001"/>
    <w:next w:val="000001"/>
    <w:link w:val="000014"/>
    <w:qFormat w:val="1"/>
    <w:pPr>
      <w:jc w:val="center"/>
      <w:outlineLvl w:val="0"/>
    </w:pPr>
    <w:rPr>
      <w:rFonts w:cstheme="majorBidi"/>
      <w:b w:val="1"/>
      <w:bCs w:val="1"/>
      <w:sz w:val="48"/>
      <w:szCs w:val="32"/>
    </w:rPr>
  </w:style>
  <w:style w:type="paragraph" w:styleId="000006">
    <w:name w:val="heading 5"/>
    <w:basedOn w:val="000001"/>
    <w:next w:val="000001"/>
    <w:qFormat w:val="1"/>
    <w:pPr>
      <w:keepNext w:val="1"/>
      <w:keepLines w:val="1"/>
      <w:spacing w:line="480" w:lineRule="auto"/>
      <w:outlineLvl w:val="4"/>
    </w:pPr>
    <w:rPr>
      <w:b w:val="1"/>
    </w:rPr>
  </w:style>
  <w:style w:type="paragraph" w:styleId="000007">
    <w:name w:val="heading 6"/>
    <w:basedOn w:val="000001"/>
    <w:next w:val="000001"/>
    <w:qFormat w:val="1"/>
    <w:pPr>
      <w:keepNext w:val="1"/>
      <w:keepLines w:val="1"/>
      <w:spacing w:line="480" w:lineRule="auto"/>
      <w:outlineLvl w:val="5"/>
    </w:pPr>
    <w:rPr>
      <w:b w:val="1"/>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05">
    <w:name w:val="heading 4"/>
    <w:basedOn w:val="000001"/>
    <w:next w:val="000001"/>
    <w:qFormat w:val="1"/>
    <w:pPr>
      <w:keepNext w:val="1"/>
      <w:keepLines w:val="1"/>
      <w:outlineLvl w:val="3"/>
    </w:pPr>
    <w:rPr>
      <w:b w:val="1"/>
      <w:sz w:val="24"/>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paragraph" w:styleId="00000a">
    <w:name w:val="heading 9"/>
    <w:basedOn w:val="000001"/>
    <w:next w:val="000001"/>
    <w:unhideWhenUsed w:val="1"/>
    <w:qFormat w:val="1"/>
    <w:pPr>
      <w:keepNext w:val="1"/>
      <w:keepLines w:val="1"/>
      <w:spacing w:line="480" w:lineRule="auto"/>
      <w:outlineLvl w:val="8"/>
    </w:pPr>
    <w:rPr>
      <w:b w:val="1"/>
    </w:rPr>
  </w:style>
  <w:style w:type="character" w:styleId="00000b" w:default="1">
    <w:name w:val="Default Paragraph Font"/>
    <w:uiPriority w:val="1"/>
    <w:semiHidden w:val="1"/>
    <w:unhideWhenUsed w:val="1"/>
  </w:style>
  <w:style w:type="numbering" w:styleId="00000d" w:default="1">
    <w:name w:val="No List"/>
    <w:uiPriority w:val="99"/>
    <w:semiHidden w:val="1"/>
    <w:unhideWhenUsed w:val="1"/>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01" w:default="1">
    <w:name w:val="Normal"/>
    <w:qFormat w:val="1"/>
    <w:pPr>
      <w:widowControl w:val="0"/>
      <w:spacing w:before="60" w:after="60"/>
      <w:jc w:val="both"/>
    </w:pPr>
    <w:rPr>
      <w:color w:val="333333"/>
      <w:kern w:val="2"/>
      <w:sz w:val="22"/>
      <w:szCs w:val="24"/>
    </w:rPr>
  </w:style>
  <w:style w:type="paragraph" w:styleId="000002">
    <w:name w:val="heading 1"/>
    <w:basedOn w:val="000001"/>
    <w:next w:val="000001"/>
    <w:qFormat w:val="1"/>
    <w:pPr>
      <w:keepNext w:val="1"/>
      <w:keepLines w:val="1"/>
      <w:outlineLvl w:val="0"/>
    </w:pPr>
    <w:rPr>
      <w:b w:val="1"/>
      <w:kern w:val="44"/>
      <w:sz w:val="36"/>
    </w:rPr>
  </w:style>
  <w:style w:type="paragraph" w:styleId="00000e">
    <w:name w:val="toc 8"/>
    <w:basedOn w:val="000001"/>
    <w:next w:val="000001"/>
    <w:autoRedefine w:val="1"/>
    <w:uiPriority w:val="99"/>
    <w:pPr>
      <w:ind w:left="2940" w:leftChars="1400"/>
    </w:p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f">
    <w:name w:val="footer"/>
    <w:basedOn w:val="000001"/>
    <w:pPr>
      <w:tabs>
        <w:tab w:val="center" w:pos="4153"/>
        <w:tab w:val="right" w:pos="8306"/>
      </w:tabs>
      <w:snapToGrid w:val="0"/>
      <w:jc w:val="center"/>
    </w:pPr>
    <w:rPr>
      <w:sz w:val="18"/>
      <w:szCs w:val="18"/>
    </w:rPr>
  </w:style>
  <w:style w:type="paragraph" w:styleId="000009">
    <w:name w:val="heading 8"/>
    <w:basedOn w:val="000001"/>
    <w:next w:val="000001"/>
    <w:unhideWhenUsed w:val="1"/>
    <w:qFormat w:val="1"/>
    <w:pPr>
      <w:keepNext w:val="1"/>
      <w:keepLines w:val="1"/>
      <w:spacing w:line="480" w:lineRule="auto"/>
      <w:outlineLvl w:val="7"/>
    </w:pPr>
    <w:rPr>
      <w:b w:val="1"/>
    </w:rPr>
  </w:style>
  <w:style w:type="paragraph" w:styleId="000004">
    <w:name w:val="heading 3"/>
    <w:basedOn w:val="000001"/>
    <w:next w:val="000001"/>
    <w:qFormat w:val="1"/>
    <w:pPr>
      <w:keepNext w:val="1"/>
      <w:keepLines w:val="1"/>
      <w:outlineLvl w:val="2"/>
    </w:pPr>
    <w:rPr>
      <w:b w:val="1"/>
      <w:sz w:val="28"/>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2026-03-20T16:59:53Z</dcterms:created>
  <dcterms:modified xsi:type="dcterms:W3CDTF">2026-03-20T16:59:53Z</dcterms:modified>
</cp:coreProperties>
</file>