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440" w:lineRule="exact"/>
        <w:jc w:val="center"/>
        <w:rPr>
          <w:b/>
          <w:bCs/>
          <w:sz w:val="32"/>
          <w:szCs w:val="32"/>
        </w:rPr>
      </w:pPr>
      <w:r>
        <w:rPr>
          <w:rFonts w:hint="eastAsia"/>
          <w:b/>
          <w:bCs/>
          <w:sz w:val="32"/>
          <w:szCs w:val="32"/>
        </w:rPr>
        <w:t>电子与通信工程学院创新能力、科研潜质分值实施细则</w:t>
      </w:r>
    </w:p>
    <w:p>
      <w:pPr>
        <w:spacing w:line="560" w:lineRule="exact"/>
        <w:ind w:firstLine="420" w:firstLineChars="200"/>
      </w:pPr>
      <w:r>
        <w:rPr>
          <w:rFonts w:hint="eastAsia"/>
        </w:rPr>
        <w:t>根据《广州大学推荐优秀应届本科毕业生免试攻读研究生工作管理办法》和学校发布的《推免加分细则》 (2023年修订），制订本实施细则。创新能力、科研潜质由学术论文、发明创造和学科竞赛组成，其中第一条论文和第二条专利加分合计不超5分，第三条学科竞赛加分合计不超5分。</w:t>
      </w:r>
    </w:p>
    <w:p>
      <w:pPr>
        <w:spacing w:line="560" w:lineRule="exact"/>
        <w:ind w:firstLine="420" w:firstLineChars="200"/>
      </w:pPr>
      <w:r>
        <w:rPr>
          <w:rFonts w:hint="eastAsia"/>
        </w:rPr>
        <w:t>一、论文加分</w:t>
      </w:r>
    </w:p>
    <w:tbl>
      <w:tblPr>
        <w:tblStyle w:val="2"/>
        <w:tblW w:w="6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0"/>
        <w:gridCol w:w="3400"/>
      </w:tblGrid>
      <w:tr>
        <w:trPr>
          <w:trHeight w:val="564" w:hRule="atLeast"/>
          <w:jc w:val="center"/>
        </w:trPr>
        <w:tc>
          <w:tcPr>
            <w:tcW w:w="3400" w:type="dxa"/>
            <w:tcBorders>
              <w:bottom w:val="single" w:color="auto" w:sz="4" w:space="0"/>
              <w:right w:val="single" w:color="auto" w:sz="4" w:space="0"/>
            </w:tcBorders>
            <w:noWrap/>
            <w:vAlign w:val="center"/>
          </w:tcPr>
          <w:p>
            <w:pPr>
              <w:spacing w:line="360" w:lineRule="auto"/>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论文类别</w:t>
            </w:r>
          </w:p>
        </w:tc>
        <w:tc>
          <w:tcPr>
            <w:tcW w:w="3400" w:type="dxa"/>
            <w:tcBorders>
              <w:left w:val="single" w:color="auto" w:sz="4" w:space="0"/>
              <w:bottom w:val="single" w:color="auto" w:sz="4" w:space="0"/>
              <w:right w:val="single" w:color="auto" w:sz="4" w:space="0"/>
            </w:tcBorders>
            <w:noWrap/>
            <w:vAlign w:val="center"/>
          </w:tcPr>
          <w:p>
            <w:pPr>
              <w:spacing w:line="360" w:lineRule="auto"/>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分值</w:t>
            </w:r>
          </w:p>
        </w:tc>
      </w:tr>
      <w:tr>
        <w:trPr>
          <w:trHeight w:val="615" w:hRule="atLeast"/>
          <w:jc w:val="center"/>
        </w:trPr>
        <w:tc>
          <w:tcPr>
            <w:tcW w:w="3400" w:type="dxa"/>
            <w:tcBorders>
              <w:bottom w:val="single" w:color="auto" w:sz="4" w:space="0"/>
              <w:right w:val="single" w:color="auto" w:sz="4" w:space="0"/>
            </w:tcBorders>
            <w:noWrap/>
            <w:vAlign w:val="center"/>
          </w:tcPr>
          <w:p>
            <w:pPr>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A类、B类论文</w:t>
            </w:r>
          </w:p>
        </w:tc>
        <w:tc>
          <w:tcPr>
            <w:tcW w:w="3400" w:type="dxa"/>
            <w:tcBorders>
              <w:left w:val="single" w:color="auto" w:sz="4" w:space="0"/>
              <w:bottom w:val="single" w:color="auto" w:sz="4" w:space="0"/>
              <w:right w:val="single" w:color="auto" w:sz="4" w:space="0"/>
            </w:tcBorders>
            <w:noWrap/>
            <w:vAlign w:val="center"/>
          </w:tcPr>
          <w:p>
            <w:pPr>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r>
      <w:tr>
        <w:trPr>
          <w:trHeight w:val="824" w:hRule="atLeast"/>
          <w:jc w:val="center"/>
        </w:trPr>
        <w:tc>
          <w:tcPr>
            <w:tcW w:w="3400" w:type="dxa"/>
            <w:tcBorders>
              <w:top w:val="single" w:color="auto" w:sz="4" w:space="0"/>
              <w:bottom w:val="single" w:color="auto" w:sz="4" w:space="0"/>
              <w:right w:val="single" w:color="auto" w:sz="4" w:space="0"/>
            </w:tcBorders>
            <w:noWrap/>
            <w:vAlign w:val="center"/>
          </w:tcPr>
          <w:p>
            <w:pPr>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C类论文</w:t>
            </w:r>
          </w:p>
        </w:tc>
        <w:tc>
          <w:tcPr>
            <w:tcW w:w="3400"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r>
      <w:tr>
        <w:trPr>
          <w:trHeight w:val="322" w:hRule="atLeast"/>
          <w:jc w:val="center"/>
        </w:trPr>
        <w:tc>
          <w:tcPr>
            <w:tcW w:w="3400" w:type="dxa"/>
            <w:tcBorders>
              <w:top w:val="single" w:color="auto" w:sz="4" w:space="0"/>
              <w:bottom w:val="single" w:color="auto" w:sz="4" w:space="0"/>
              <w:right w:val="single" w:color="auto" w:sz="4" w:space="0"/>
            </w:tcBorders>
            <w:noWrap/>
            <w:vAlign w:val="center"/>
          </w:tcPr>
          <w:p>
            <w:pPr>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D类论文</w:t>
            </w:r>
          </w:p>
        </w:tc>
        <w:tc>
          <w:tcPr>
            <w:tcW w:w="3400"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bl>
    <w:p>
      <w:pPr>
        <w:spacing w:line="4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1、仅限学生本科阶段在核心期刊上以独立作者或第一作者或导师为第一作者学生为第二作者发表的广州大学为第一单位且</w:t>
      </w:r>
      <w:r>
        <w:rPr>
          <w:rFonts w:hint="eastAsia"/>
          <w:b/>
          <w:bCs/>
          <w:color w:val="000000" w:themeColor="text1"/>
          <w14:textFill>
            <w14:solidFill>
              <w14:schemeClr w14:val="tx1"/>
            </w14:solidFill>
          </w14:textFill>
        </w:rPr>
        <w:t>与学业相关的科研论文</w:t>
      </w:r>
      <w:r>
        <w:rPr>
          <w:rFonts w:hint="eastAsia"/>
          <w:color w:val="000000" w:themeColor="text1"/>
          <w14:textFill>
            <w14:solidFill>
              <w14:schemeClr w14:val="tx1"/>
            </w14:solidFill>
          </w14:textFill>
        </w:rPr>
        <w:t>，限三篇代表作。</w:t>
      </w:r>
    </w:p>
    <w:p>
      <w:pPr>
        <w:spacing w:line="4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、A-D类论文参照广州大学职称评审自然科学期刊认定目录（2020版），进入《国际期刊预警名单(试行)》不计分。</w:t>
      </w:r>
    </w:p>
    <w:p>
      <w:pPr>
        <w:spacing w:line="460" w:lineRule="exact"/>
        <w:ind w:firstLine="420" w:firstLineChars="200"/>
      </w:pPr>
      <w:r>
        <w:rPr>
          <w:rFonts w:hint="eastAsia"/>
        </w:rPr>
        <w:t>3、期刊论文若尚未进入检索，需提供接收证明及期刊检索证明。</w:t>
      </w:r>
    </w:p>
    <w:p>
      <w:pPr>
        <w:spacing w:line="460" w:lineRule="exact"/>
        <w:ind w:firstLine="420" w:firstLineChars="200"/>
      </w:pPr>
      <w:r>
        <w:rPr>
          <w:rFonts w:hint="eastAsia"/>
        </w:rPr>
        <w:t>4、专家审核小组认定的低质量期刊不予加分。</w:t>
      </w:r>
    </w:p>
    <w:p>
      <w:pPr>
        <w:spacing w:line="460" w:lineRule="exact"/>
        <w:ind w:firstLine="420" w:firstLineChars="200"/>
        <w:rPr>
          <w:b/>
          <w:bCs/>
        </w:rPr>
      </w:pPr>
      <w:r>
        <w:rPr>
          <w:rFonts w:hint="eastAsia"/>
          <w:b/>
          <w:bCs/>
        </w:rPr>
        <w:t>二、发明加分</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7"/>
        <w:gridCol w:w="1827"/>
      </w:tblGrid>
      <w:tr>
        <w:trPr>
          <w:jc w:val="center"/>
        </w:trPr>
        <w:tc>
          <w:tcPr>
            <w:tcW w:w="5437" w:type="dxa"/>
            <w:vAlign w:val="center"/>
          </w:tcPr>
          <w:p>
            <w:pPr>
              <w:spacing w:line="460" w:lineRule="exact"/>
              <w:jc w:val="center"/>
              <w:rPr>
                <w:b/>
                <w:bCs/>
              </w:rPr>
            </w:pPr>
            <w:r>
              <w:rPr>
                <w:rFonts w:hint="eastAsia"/>
                <w:b/>
                <w:bCs/>
              </w:rPr>
              <w:t xml:space="preserve">类  别 </w:t>
            </w:r>
          </w:p>
        </w:tc>
        <w:tc>
          <w:tcPr>
            <w:tcW w:w="1827" w:type="dxa"/>
          </w:tcPr>
          <w:p>
            <w:pPr>
              <w:spacing w:line="460" w:lineRule="exact"/>
              <w:jc w:val="center"/>
              <w:rPr>
                <w:b/>
                <w:bCs/>
              </w:rPr>
            </w:pPr>
            <w:r>
              <w:rPr>
                <w:rFonts w:hint="eastAsia"/>
                <w:b/>
                <w:bCs/>
              </w:rPr>
              <w:t>第一发明人</w:t>
            </w:r>
          </w:p>
        </w:tc>
      </w:tr>
      <w:tr>
        <w:trPr>
          <w:jc w:val="center"/>
        </w:trPr>
        <w:tc>
          <w:tcPr>
            <w:tcW w:w="5437" w:type="dxa"/>
            <w:vAlign w:val="center"/>
          </w:tcPr>
          <w:p>
            <w:pPr>
              <w:spacing w:line="460" w:lineRule="exact"/>
              <w:jc w:val="center"/>
            </w:pPr>
            <w:r>
              <w:t>获得国家发明专利授权</w:t>
            </w:r>
            <w:r>
              <w:rPr>
                <w:rFonts w:hint="eastAsia"/>
              </w:rPr>
              <w:t>（含外国）</w:t>
            </w:r>
          </w:p>
        </w:tc>
        <w:tc>
          <w:tcPr>
            <w:tcW w:w="1827" w:type="dxa"/>
          </w:tcPr>
          <w:p>
            <w:pPr>
              <w:spacing w:line="460" w:lineRule="exact"/>
              <w:jc w:val="center"/>
            </w:pPr>
            <w:r>
              <w:rPr>
                <w:rFonts w:hint="eastAsia"/>
              </w:rPr>
              <w:t>5</w:t>
            </w:r>
          </w:p>
        </w:tc>
      </w:tr>
      <w:tr>
        <w:trPr>
          <w:jc w:val="center"/>
        </w:trPr>
        <w:tc>
          <w:tcPr>
            <w:tcW w:w="5437" w:type="dxa"/>
            <w:vAlign w:val="center"/>
          </w:tcPr>
          <w:p>
            <w:pPr>
              <w:spacing w:line="460" w:lineRule="exact"/>
              <w:jc w:val="center"/>
            </w:pPr>
            <w:r>
              <w:rPr>
                <w:rFonts w:hint="eastAsia"/>
              </w:rPr>
              <w:t>发明专利实审公开</w:t>
            </w:r>
          </w:p>
        </w:tc>
        <w:tc>
          <w:tcPr>
            <w:tcW w:w="1827" w:type="dxa"/>
          </w:tcPr>
          <w:p>
            <w:pPr>
              <w:spacing w:line="460" w:lineRule="exact"/>
              <w:jc w:val="center"/>
            </w:pPr>
            <w:r>
              <w:rPr>
                <w:rFonts w:hint="eastAsia"/>
              </w:rPr>
              <w:t>2</w:t>
            </w:r>
          </w:p>
        </w:tc>
      </w:tr>
    </w:tbl>
    <w:p>
      <w:pPr>
        <w:spacing w:line="460" w:lineRule="exact"/>
        <w:ind w:firstLine="420" w:firstLineChars="200"/>
      </w:pPr>
      <w:r>
        <w:rPr>
          <w:rFonts w:hint="eastAsia"/>
        </w:rPr>
        <w:t>1、仅限学生本科阶段以广州大学为第一完成单位，学生本人为第一完成人（包括导师为第一完成人学生为第二完成人），通过广州大学完成与本专业相关的国家（国际）专利证书。</w:t>
      </w:r>
    </w:p>
    <w:p>
      <w:pPr>
        <w:spacing w:line="460" w:lineRule="exact"/>
        <w:ind w:firstLine="420" w:firstLineChars="200"/>
      </w:pPr>
      <w:r>
        <w:t>2</w:t>
      </w:r>
      <w:r>
        <w:rPr>
          <w:rFonts w:hint="eastAsia"/>
        </w:rPr>
        <w:t>、每位学生最多给予</w:t>
      </w:r>
      <w:r>
        <w:rPr>
          <w:rFonts w:hint="eastAsia"/>
          <w:lang w:val="en-US" w:eastAsia="zh-CN"/>
        </w:rPr>
        <w:t>1</w:t>
      </w:r>
      <w:bookmarkStart w:id="0" w:name="_GoBack"/>
      <w:bookmarkEnd w:id="0"/>
      <w:r>
        <w:rPr>
          <w:rFonts w:hint="eastAsia"/>
        </w:rPr>
        <w:t>项该类成果加分。</w:t>
      </w:r>
    </w:p>
    <w:p>
      <w:pPr>
        <w:spacing w:line="560" w:lineRule="exact"/>
        <w:ind w:firstLine="420" w:firstLineChars="200"/>
        <w:rPr>
          <w:b/>
          <w:bCs/>
        </w:rPr>
      </w:pPr>
      <w:r>
        <w:rPr>
          <w:rFonts w:hint="eastAsia"/>
          <w:b/>
          <w:bCs/>
        </w:rPr>
        <w:t>三、学科竞赛加分</w:t>
      </w:r>
    </w:p>
    <w:tbl>
      <w:tblPr>
        <w:tblStyle w:val="2"/>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871"/>
        <w:gridCol w:w="1871"/>
        <w:gridCol w:w="1818"/>
        <w:gridCol w:w="1924"/>
      </w:tblGrid>
      <w:tr>
        <w:trPr>
          <w:trHeight w:val="20" w:hRule="atLeast"/>
          <w:jc w:val="center"/>
        </w:trPr>
        <w:tc>
          <w:tcPr>
            <w:tcW w:w="3107" w:type="dxa"/>
            <w:gridSpan w:val="2"/>
            <w:tcBorders>
              <w:bottom w:val="single" w:color="auto" w:sz="4" w:space="0"/>
              <w:tl2br w:val="single" w:color="auto" w:sz="4" w:space="0"/>
            </w:tcBorders>
          </w:tcPr>
          <w:p>
            <w:pPr>
              <w:spacing w:line="360" w:lineRule="auto"/>
              <w:jc w:val="center"/>
              <w:rPr>
                <w:b/>
                <w:bCs/>
              </w:rPr>
            </w:pPr>
            <w:r>
              <w:rPr>
                <w:rFonts w:hint="eastAsia"/>
                <w:b/>
                <w:bCs/>
              </w:rPr>
              <w:t>竞赛级别</w:t>
            </w:r>
            <w:r>
              <w:rPr>
                <w:rFonts w:hint="eastAsia"/>
                <w:b/>
                <w:bCs/>
              </w:rPr>
              <w:br w:type="textWrapping"/>
            </w:r>
          </w:p>
          <w:p>
            <w:pPr>
              <w:spacing w:line="360" w:lineRule="auto"/>
              <w:jc w:val="center"/>
              <w:rPr>
                <w:b/>
                <w:bCs/>
              </w:rPr>
            </w:pPr>
            <w:r>
              <w:rPr>
                <w:rFonts w:hint="eastAsia"/>
                <w:b/>
                <w:bCs/>
              </w:rPr>
              <w:t>获奖等级</w:t>
            </w:r>
          </w:p>
        </w:tc>
        <w:tc>
          <w:tcPr>
            <w:tcW w:w="1871" w:type="dxa"/>
            <w:tcBorders>
              <w:bottom w:val="single" w:color="auto" w:sz="4" w:space="0"/>
              <w:right w:val="single" w:color="auto" w:sz="4" w:space="0"/>
            </w:tcBorders>
            <w:noWrap/>
            <w:vAlign w:val="center"/>
          </w:tcPr>
          <w:p>
            <w:pPr>
              <w:spacing w:line="360" w:lineRule="auto"/>
              <w:jc w:val="center"/>
              <w:rPr>
                <w:b/>
                <w:bCs/>
              </w:rPr>
            </w:pPr>
            <w:r>
              <w:rPr>
                <w:rFonts w:hint="eastAsia"/>
                <w:b/>
                <w:bCs/>
              </w:rPr>
              <w:t>A</w:t>
            </w:r>
          </w:p>
        </w:tc>
        <w:tc>
          <w:tcPr>
            <w:tcW w:w="1818" w:type="dxa"/>
            <w:tcBorders>
              <w:left w:val="single" w:color="auto" w:sz="4" w:space="0"/>
              <w:bottom w:val="single" w:color="auto" w:sz="4" w:space="0"/>
              <w:right w:val="single" w:color="auto" w:sz="4" w:space="0"/>
            </w:tcBorders>
            <w:noWrap/>
            <w:vAlign w:val="center"/>
          </w:tcPr>
          <w:p>
            <w:pPr>
              <w:spacing w:line="360" w:lineRule="auto"/>
              <w:jc w:val="center"/>
              <w:rPr>
                <w:b/>
                <w:bCs/>
              </w:rPr>
            </w:pPr>
            <w:r>
              <w:rPr>
                <w:b/>
                <w:bCs/>
              </w:rPr>
              <w:t>B1</w:t>
            </w:r>
          </w:p>
        </w:tc>
        <w:tc>
          <w:tcPr>
            <w:tcW w:w="1924" w:type="dxa"/>
            <w:tcBorders>
              <w:left w:val="single" w:color="auto" w:sz="4" w:space="0"/>
              <w:bottom w:val="single" w:color="auto" w:sz="4" w:space="0"/>
              <w:right w:val="single" w:color="auto" w:sz="4" w:space="0"/>
            </w:tcBorders>
            <w:noWrap/>
            <w:vAlign w:val="center"/>
          </w:tcPr>
          <w:p>
            <w:pPr>
              <w:spacing w:line="360" w:lineRule="auto"/>
              <w:jc w:val="center"/>
              <w:rPr>
                <w:b/>
                <w:bCs/>
              </w:rPr>
            </w:pPr>
            <w:r>
              <w:rPr>
                <w:rFonts w:hint="eastAsia"/>
                <w:b/>
                <w:bCs/>
              </w:rPr>
              <w:t>B</w:t>
            </w:r>
            <w:r>
              <w:rPr>
                <w:b/>
                <w:bCs/>
              </w:rPr>
              <w:t>2</w:t>
            </w:r>
          </w:p>
        </w:tc>
      </w:tr>
      <w:tr>
        <w:trPr>
          <w:trHeight w:val="20" w:hRule="atLeast"/>
          <w:jc w:val="center"/>
        </w:trPr>
        <w:tc>
          <w:tcPr>
            <w:tcW w:w="1236" w:type="dxa"/>
            <w:vMerge w:val="restart"/>
          </w:tcPr>
          <w:p>
            <w:pPr>
              <w:spacing w:line="360" w:lineRule="auto"/>
              <w:jc w:val="center"/>
            </w:pPr>
            <w:r>
              <w:rPr>
                <w:rFonts w:hint="eastAsia"/>
              </w:rPr>
              <w:t>国赛</w:t>
            </w:r>
          </w:p>
        </w:tc>
        <w:tc>
          <w:tcPr>
            <w:tcW w:w="1871" w:type="dxa"/>
            <w:noWrap/>
            <w:vAlign w:val="center"/>
          </w:tcPr>
          <w:p>
            <w:pPr>
              <w:spacing w:line="360" w:lineRule="auto"/>
              <w:jc w:val="center"/>
            </w:pPr>
            <w:r>
              <w:rPr>
                <w:rFonts w:hint="eastAsia"/>
              </w:rPr>
              <w:t>一等奖</w:t>
            </w:r>
          </w:p>
        </w:tc>
        <w:tc>
          <w:tcPr>
            <w:tcW w:w="1871" w:type="dxa"/>
            <w:tcBorders>
              <w:top w:val="single" w:color="auto" w:sz="4" w:space="0"/>
              <w:bottom w:val="single" w:color="auto" w:sz="4" w:space="0"/>
              <w:right w:val="single" w:color="auto" w:sz="4" w:space="0"/>
            </w:tcBorders>
            <w:noWrap/>
            <w:vAlign w:val="center"/>
          </w:tcPr>
          <w:p>
            <w:pPr>
              <w:spacing w:line="360" w:lineRule="auto"/>
              <w:jc w:val="center"/>
            </w:pPr>
            <w:r>
              <w:rPr>
                <w:rFonts w:hint="eastAsia"/>
              </w:rPr>
              <w:t>5</w:t>
            </w:r>
          </w:p>
        </w:tc>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3</w:t>
            </w:r>
          </w:p>
        </w:tc>
        <w:tc>
          <w:tcPr>
            <w:tcW w:w="192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2</w:t>
            </w:r>
          </w:p>
        </w:tc>
      </w:tr>
      <w:tr>
        <w:trPr>
          <w:trHeight w:val="20" w:hRule="atLeast"/>
          <w:jc w:val="center"/>
        </w:trPr>
        <w:tc>
          <w:tcPr>
            <w:tcW w:w="1236" w:type="dxa"/>
            <w:vMerge w:val="continue"/>
          </w:tcPr>
          <w:p>
            <w:pPr>
              <w:spacing w:line="360" w:lineRule="auto"/>
              <w:jc w:val="center"/>
            </w:pPr>
          </w:p>
        </w:tc>
        <w:tc>
          <w:tcPr>
            <w:tcW w:w="1871" w:type="dxa"/>
            <w:noWrap/>
            <w:vAlign w:val="center"/>
          </w:tcPr>
          <w:p>
            <w:pPr>
              <w:spacing w:line="360" w:lineRule="auto"/>
              <w:jc w:val="center"/>
            </w:pPr>
            <w:r>
              <w:rPr>
                <w:rFonts w:hint="eastAsia"/>
              </w:rPr>
              <w:t>二等奖</w:t>
            </w:r>
          </w:p>
        </w:tc>
        <w:tc>
          <w:tcPr>
            <w:tcW w:w="1871" w:type="dxa"/>
            <w:tcBorders>
              <w:top w:val="single" w:color="auto" w:sz="4" w:space="0"/>
              <w:bottom w:val="single" w:color="auto" w:sz="4" w:space="0"/>
              <w:right w:val="single" w:color="auto" w:sz="4" w:space="0"/>
            </w:tcBorders>
            <w:noWrap/>
            <w:vAlign w:val="center"/>
          </w:tcPr>
          <w:p>
            <w:pPr>
              <w:spacing w:line="360" w:lineRule="auto"/>
              <w:jc w:val="center"/>
            </w:pPr>
            <w:r>
              <w:rPr>
                <w:rFonts w:hint="eastAsia"/>
              </w:rPr>
              <w:t>4</w:t>
            </w:r>
          </w:p>
        </w:tc>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2</w:t>
            </w:r>
          </w:p>
        </w:tc>
        <w:tc>
          <w:tcPr>
            <w:tcW w:w="192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1.5</w:t>
            </w:r>
          </w:p>
        </w:tc>
      </w:tr>
      <w:tr>
        <w:trPr>
          <w:trHeight w:val="20" w:hRule="atLeast"/>
          <w:jc w:val="center"/>
        </w:trPr>
        <w:tc>
          <w:tcPr>
            <w:tcW w:w="1236" w:type="dxa"/>
            <w:vMerge w:val="continue"/>
          </w:tcPr>
          <w:p>
            <w:pPr>
              <w:spacing w:line="360" w:lineRule="auto"/>
              <w:jc w:val="center"/>
            </w:pPr>
          </w:p>
        </w:tc>
        <w:tc>
          <w:tcPr>
            <w:tcW w:w="1871" w:type="dxa"/>
            <w:noWrap/>
            <w:vAlign w:val="center"/>
          </w:tcPr>
          <w:p>
            <w:pPr>
              <w:spacing w:line="360" w:lineRule="auto"/>
              <w:jc w:val="center"/>
            </w:pPr>
            <w:r>
              <w:rPr>
                <w:rFonts w:hint="eastAsia"/>
              </w:rPr>
              <w:t>三等奖</w:t>
            </w:r>
          </w:p>
        </w:tc>
        <w:tc>
          <w:tcPr>
            <w:tcW w:w="1871" w:type="dxa"/>
            <w:tcBorders>
              <w:top w:val="single" w:color="auto" w:sz="4" w:space="0"/>
              <w:bottom w:val="single" w:color="auto" w:sz="4" w:space="0"/>
              <w:right w:val="single" w:color="auto" w:sz="4" w:space="0"/>
            </w:tcBorders>
            <w:noWrap/>
            <w:vAlign w:val="center"/>
          </w:tcPr>
          <w:p>
            <w:pPr>
              <w:spacing w:line="360" w:lineRule="auto"/>
              <w:jc w:val="center"/>
            </w:pPr>
            <w:r>
              <w:rPr>
                <w:rFonts w:hint="eastAsia"/>
              </w:rPr>
              <w:t>3</w:t>
            </w:r>
          </w:p>
        </w:tc>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u w:val="single"/>
              </w:rPr>
            </w:pPr>
            <w:r>
              <w:rPr>
                <w:rFonts w:hint="eastAsia"/>
              </w:rPr>
              <w:t>1.5</w:t>
            </w:r>
          </w:p>
        </w:tc>
        <w:tc>
          <w:tcPr>
            <w:tcW w:w="192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1</w:t>
            </w:r>
          </w:p>
        </w:tc>
      </w:tr>
      <w:tr>
        <w:trPr>
          <w:trHeight w:val="20" w:hRule="atLeast"/>
          <w:jc w:val="center"/>
        </w:trPr>
        <w:tc>
          <w:tcPr>
            <w:tcW w:w="1236" w:type="dxa"/>
            <w:vMerge w:val="restart"/>
          </w:tcPr>
          <w:p>
            <w:pPr>
              <w:spacing w:line="360" w:lineRule="auto"/>
              <w:jc w:val="center"/>
            </w:pPr>
            <w:r>
              <w:rPr>
                <w:rFonts w:hint="eastAsia"/>
              </w:rPr>
              <w:t>省赛（华南赛区）</w:t>
            </w:r>
          </w:p>
        </w:tc>
        <w:tc>
          <w:tcPr>
            <w:tcW w:w="1871" w:type="dxa"/>
            <w:noWrap/>
            <w:vAlign w:val="center"/>
          </w:tcPr>
          <w:p>
            <w:pPr>
              <w:spacing w:line="360" w:lineRule="auto"/>
              <w:jc w:val="center"/>
            </w:pPr>
            <w:r>
              <w:rPr>
                <w:rFonts w:hint="eastAsia"/>
              </w:rPr>
              <w:t>一等奖</w:t>
            </w:r>
          </w:p>
        </w:tc>
        <w:tc>
          <w:tcPr>
            <w:tcW w:w="1871" w:type="dxa"/>
            <w:tcBorders>
              <w:top w:val="single" w:color="auto" w:sz="4" w:space="0"/>
              <w:bottom w:val="single" w:color="auto" w:sz="4" w:space="0"/>
              <w:right w:val="single" w:color="auto" w:sz="4" w:space="0"/>
            </w:tcBorders>
            <w:noWrap/>
            <w:vAlign w:val="center"/>
          </w:tcPr>
          <w:p>
            <w:pPr>
              <w:spacing w:line="360" w:lineRule="auto"/>
              <w:jc w:val="center"/>
            </w:pPr>
            <w:r>
              <w:rPr>
                <w:rFonts w:hint="eastAsia"/>
              </w:rPr>
              <w:t>3</w:t>
            </w:r>
          </w:p>
        </w:tc>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1.5</w:t>
            </w:r>
          </w:p>
        </w:tc>
        <w:tc>
          <w:tcPr>
            <w:tcW w:w="192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1</w:t>
            </w:r>
          </w:p>
        </w:tc>
      </w:tr>
      <w:tr>
        <w:trPr>
          <w:trHeight w:val="20" w:hRule="atLeast"/>
          <w:jc w:val="center"/>
        </w:trPr>
        <w:tc>
          <w:tcPr>
            <w:tcW w:w="1236" w:type="dxa"/>
            <w:vMerge w:val="continue"/>
          </w:tcPr>
          <w:p>
            <w:pPr>
              <w:spacing w:line="360" w:lineRule="auto"/>
              <w:jc w:val="center"/>
            </w:pPr>
          </w:p>
        </w:tc>
        <w:tc>
          <w:tcPr>
            <w:tcW w:w="1871" w:type="dxa"/>
            <w:noWrap/>
            <w:vAlign w:val="center"/>
          </w:tcPr>
          <w:p>
            <w:pPr>
              <w:spacing w:line="360" w:lineRule="auto"/>
              <w:jc w:val="center"/>
            </w:pPr>
            <w:r>
              <w:rPr>
                <w:rFonts w:hint="eastAsia"/>
              </w:rPr>
              <w:t>二等奖</w:t>
            </w:r>
          </w:p>
        </w:tc>
        <w:tc>
          <w:tcPr>
            <w:tcW w:w="1871" w:type="dxa"/>
            <w:tcBorders>
              <w:top w:val="single" w:color="auto" w:sz="4" w:space="0"/>
              <w:bottom w:val="single" w:color="auto" w:sz="4" w:space="0"/>
              <w:right w:val="single" w:color="auto" w:sz="4" w:space="0"/>
            </w:tcBorders>
            <w:noWrap/>
            <w:vAlign w:val="center"/>
          </w:tcPr>
          <w:p>
            <w:pPr>
              <w:spacing w:line="360" w:lineRule="auto"/>
              <w:jc w:val="center"/>
            </w:pPr>
            <w:r>
              <w:rPr>
                <w:rFonts w:hint="eastAsia"/>
              </w:rPr>
              <w:t>2</w:t>
            </w:r>
          </w:p>
        </w:tc>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1</w:t>
            </w:r>
          </w:p>
        </w:tc>
        <w:tc>
          <w:tcPr>
            <w:tcW w:w="192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0.75</w:t>
            </w:r>
          </w:p>
        </w:tc>
      </w:tr>
      <w:tr>
        <w:trPr>
          <w:trHeight w:val="20" w:hRule="atLeast"/>
          <w:jc w:val="center"/>
        </w:trPr>
        <w:tc>
          <w:tcPr>
            <w:tcW w:w="1236" w:type="dxa"/>
            <w:vMerge w:val="continue"/>
          </w:tcPr>
          <w:p>
            <w:pPr>
              <w:spacing w:line="360" w:lineRule="auto"/>
              <w:jc w:val="center"/>
            </w:pPr>
          </w:p>
        </w:tc>
        <w:tc>
          <w:tcPr>
            <w:tcW w:w="1871" w:type="dxa"/>
            <w:noWrap/>
            <w:vAlign w:val="center"/>
          </w:tcPr>
          <w:p>
            <w:pPr>
              <w:spacing w:line="360" w:lineRule="auto"/>
              <w:jc w:val="center"/>
            </w:pPr>
            <w:r>
              <w:rPr>
                <w:rFonts w:hint="eastAsia"/>
              </w:rPr>
              <w:t>三等奖</w:t>
            </w:r>
          </w:p>
        </w:tc>
        <w:tc>
          <w:tcPr>
            <w:tcW w:w="1871" w:type="dxa"/>
            <w:tcBorders>
              <w:top w:val="single" w:color="auto" w:sz="4" w:space="0"/>
              <w:bottom w:val="single" w:color="auto" w:sz="4" w:space="0"/>
              <w:right w:val="single" w:color="auto" w:sz="4" w:space="0"/>
            </w:tcBorders>
            <w:noWrap/>
            <w:vAlign w:val="center"/>
          </w:tcPr>
          <w:p>
            <w:pPr>
              <w:spacing w:line="360" w:lineRule="auto"/>
              <w:jc w:val="center"/>
            </w:pPr>
            <w:r>
              <w:rPr>
                <w:rFonts w:hint="eastAsia"/>
              </w:rPr>
              <w:t>1</w:t>
            </w:r>
          </w:p>
        </w:tc>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0.75</w:t>
            </w:r>
          </w:p>
        </w:tc>
        <w:tc>
          <w:tcPr>
            <w:tcW w:w="192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pPr>
            <w:r>
              <w:rPr>
                <w:rFonts w:hint="eastAsia"/>
              </w:rPr>
              <w:t>0.5</w:t>
            </w:r>
          </w:p>
        </w:tc>
      </w:tr>
    </w:tbl>
    <w:p>
      <w:pPr>
        <w:spacing w:line="460" w:lineRule="exact"/>
      </w:pPr>
    </w:p>
    <w:p>
      <w:pPr>
        <w:spacing w:line="460" w:lineRule="exact"/>
        <w:ind w:firstLine="420" w:firstLineChars="200"/>
      </w:pPr>
      <w:r>
        <w:rPr>
          <w:rFonts w:hint="eastAsia"/>
        </w:rPr>
        <w:t>1、仅限学生作为主力成员（排名前五）参加与学业相关的学科竞赛获奖，学科竞赛有A、B 两种类型，B类分成两个档次计分，每个赛事只计省赛及以上获奖积分，每个学生学科竞赛加分最高不超过</w:t>
      </w:r>
      <w:r>
        <w:t>5</w:t>
      </w:r>
      <w:r>
        <w:rPr>
          <w:rFonts w:hint="eastAsia"/>
        </w:rPr>
        <w:t>分（B类不超过3分）。</w:t>
      </w:r>
    </w:p>
    <w:p>
      <w:pPr>
        <w:spacing w:line="460" w:lineRule="exact"/>
        <w:ind w:firstLine="420" w:firstLineChars="200"/>
      </w:pPr>
      <w:r>
        <w:rPr>
          <w:rFonts w:hint="eastAsia"/>
        </w:rPr>
        <w:t>2、评奖若以金银铜奖记的，按照一二三等奖加分。</w:t>
      </w:r>
    </w:p>
    <w:p>
      <w:pPr>
        <w:spacing w:line="460" w:lineRule="exact"/>
        <w:ind w:firstLine="420" w:firstLineChars="200"/>
      </w:pPr>
      <w:r>
        <w:rPr>
          <w:rFonts w:hint="eastAsia"/>
        </w:rPr>
        <w:t>3、团队获奖成员加分算法如下：计前5位成员得分，分别按100%，80%，60%，40%，20%计算，排名以获奖证书为准。</w:t>
      </w:r>
    </w:p>
    <w:p>
      <w:pPr>
        <w:spacing w:line="460" w:lineRule="exact"/>
        <w:ind w:firstLine="420" w:firstLineChars="200"/>
      </w:pPr>
      <w:r>
        <w:rPr>
          <w:rFonts w:hint="eastAsia"/>
        </w:rPr>
        <w:t>4、如因同一系列比赛获得不同等级奖励的，不累计积分，只计最高分，如通过省赛选拔入围国赛，只计国赛奖。</w:t>
      </w:r>
    </w:p>
    <w:p>
      <w:pPr>
        <w:spacing w:line="460" w:lineRule="exact"/>
        <w:ind w:firstLine="420" w:firstLineChars="200"/>
      </w:pPr>
      <w:r>
        <w:rPr>
          <w:rFonts w:hint="eastAsia"/>
        </w:rPr>
        <w:t>5、学科竞赛定级见附件3。</w:t>
      </w:r>
    </w:p>
    <w:p>
      <w:pPr>
        <w:spacing w:line="460" w:lineRule="exact"/>
        <w:ind w:firstLine="420" w:firstLineChars="200"/>
      </w:pPr>
    </w:p>
    <w:p>
      <w:pPr>
        <w:spacing w:line="460" w:lineRule="exact"/>
        <w:ind w:firstLine="420" w:firstLineChars="200"/>
      </w:pPr>
    </w:p>
    <w:p>
      <w:pPr>
        <w:spacing w:line="360" w:lineRule="auto"/>
        <w:rPr>
          <w:b/>
        </w:rPr>
      </w:pPr>
      <w:r>
        <w:rPr>
          <w:rFonts w:hint="eastAsia"/>
          <w:b/>
        </w:rPr>
        <w:t xml:space="preserve">   注：以上未罗列情况者，由学院推免工作小组负责认定。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238"/>
    <w:rsid w:val="000109AD"/>
    <w:rsid w:val="00017123"/>
    <w:rsid w:val="00031644"/>
    <w:rsid w:val="000441DF"/>
    <w:rsid w:val="0007465A"/>
    <w:rsid w:val="0027684A"/>
    <w:rsid w:val="002931D2"/>
    <w:rsid w:val="00293A34"/>
    <w:rsid w:val="002B2D72"/>
    <w:rsid w:val="002D6C68"/>
    <w:rsid w:val="00363DC9"/>
    <w:rsid w:val="00374CBB"/>
    <w:rsid w:val="003B7B75"/>
    <w:rsid w:val="003C5796"/>
    <w:rsid w:val="003C7C5E"/>
    <w:rsid w:val="004261F6"/>
    <w:rsid w:val="004578FA"/>
    <w:rsid w:val="00473D62"/>
    <w:rsid w:val="004B6205"/>
    <w:rsid w:val="004C184C"/>
    <w:rsid w:val="00501EAD"/>
    <w:rsid w:val="00523B85"/>
    <w:rsid w:val="00536B42"/>
    <w:rsid w:val="00537255"/>
    <w:rsid w:val="00541E6E"/>
    <w:rsid w:val="00585B4B"/>
    <w:rsid w:val="005A3DF9"/>
    <w:rsid w:val="005A6ACB"/>
    <w:rsid w:val="005B0BDA"/>
    <w:rsid w:val="005B544B"/>
    <w:rsid w:val="005C343A"/>
    <w:rsid w:val="005E2CAF"/>
    <w:rsid w:val="006279D2"/>
    <w:rsid w:val="006624D1"/>
    <w:rsid w:val="00680874"/>
    <w:rsid w:val="006F15D1"/>
    <w:rsid w:val="006F7F9A"/>
    <w:rsid w:val="00713B6E"/>
    <w:rsid w:val="0073371B"/>
    <w:rsid w:val="00787BE5"/>
    <w:rsid w:val="007A5EF3"/>
    <w:rsid w:val="007E7C0A"/>
    <w:rsid w:val="00856393"/>
    <w:rsid w:val="0085657D"/>
    <w:rsid w:val="008903FD"/>
    <w:rsid w:val="00891D3C"/>
    <w:rsid w:val="008C2C73"/>
    <w:rsid w:val="008E73B4"/>
    <w:rsid w:val="009343C1"/>
    <w:rsid w:val="00940DDC"/>
    <w:rsid w:val="00956B3F"/>
    <w:rsid w:val="009A6480"/>
    <w:rsid w:val="009F45BA"/>
    <w:rsid w:val="00A022B5"/>
    <w:rsid w:val="00A12238"/>
    <w:rsid w:val="00A832D9"/>
    <w:rsid w:val="00B5625C"/>
    <w:rsid w:val="00B71A69"/>
    <w:rsid w:val="00B76C1E"/>
    <w:rsid w:val="00B87D17"/>
    <w:rsid w:val="00B94CD9"/>
    <w:rsid w:val="00C36B77"/>
    <w:rsid w:val="00C46EC5"/>
    <w:rsid w:val="00C61A29"/>
    <w:rsid w:val="00C8172B"/>
    <w:rsid w:val="00C9422A"/>
    <w:rsid w:val="00CB2373"/>
    <w:rsid w:val="00CD76E4"/>
    <w:rsid w:val="00D0240C"/>
    <w:rsid w:val="00D042E8"/>
    <w:rsid w:val="00D209B1"/>
    <w:rsid w:val="00D42CC1"/>
    <w:rsid w:val="00D450AF"/>
    <w:rsid w:val="00D5253E"/>
    <w:rsid w:val="00DB0746"/>
    <w:rsid w:val="00E4577F"/>
    <w:rsid w:val="00E967BB"/>
    <w:rsid w:val="00EB6F9C"/>
    <w:rsid w:val="00EC476F"/>
    <w:rsid w:val="00EC6AB9"/>
    <w:rsid w:val="00F27212"/>
    <w:rsid w:val="00F70EFC"/>
    <w:rsid w:val="00F840CE"/>
    <w:rsid w:val="00FA030D"/>
    <w:rsid w:val="00FC64DA"/>
    <w:rsid w:val="00FD60DE"/>
    <w:rsid w:val="00FE7FB6"/>
    <w:rsid w:val="2AFCB83B"/>
    <w:rsid w:val="AFECE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148</Words>
  <Characters>845</Characters>
  <Lines>7</Lines>
  <Paragraphs>1</Paragraphs>
  <TotalTime>60</TotalTime>
  <ScaleCrop>false</ScaleCrop>
  <LinksUpToDate>false</LinksUpToDate>
  <CharactersWithSpaces>992</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2023-09-06T21:52:00Z</dcterms:created>
  <dc:creator>k3po4@qq.com</dc:creator>
  <cp:lastModifiedBy>曾衍瀚</cp:lastModifiedBy>
  <dcterms:modified xsi:type="dcterms:W3CDTF">2024-07-19T09:22:36Z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7E0CB3D9325D624C9A269966938EFD8D_42</vt:lpwstr>
  </property>
</Properties>
</file>