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pacing w:after="225" w:afterAutospacing="0"/>
        <w:jc w:val="left"/>
        <w:rPr>
          <w:rFonts w:hint="eastAsia" w:ascii="黑体" w:hAnsi="黑体" w:eastAsia="黑体" w:cs="黑体"/>
          <w:color w:val="000000" w:themeColor="text1"/>
          <w:sz w:val="48"/>
          <w:szCs w:val="48"/>
          <w14:textFill>
            <w14:solidFill>
              <w14:schemeClr w14:val="tx1"/>
            </w14:solidFill>
          </w14:textFill>
        </w:rPr>
      </w:pPr>
      <w:r>
        <w:rPr>
          <w:rFonts w:hint="eastAsia" w:ascii="黑体" w:hAnsi="黑体" w:eastAsia="黑体" w:cs="黑体"/>
          <w:color w:val="000000" w:themeColor="text1"/>
          <w:kern w:val="0"/>
          <w:sz w:val="32"/>
          <w:szCs w:val="32"/>
          <w:lang w:val="en-US" w:eastAsia="zh-CN" w:bidi="ar"/>
          <w14:textFill>
            <w14:solidFill>
              <w14:schemeClr w14:val="tx1"/>
            </w14:solidFill>
          </w14:textFill>
        </w:rPr>
        <w:t>教务处：关于做好2024年本科生转专业工作的通知</w:t>
      </w:r>
    </w:p>
    <w:p>
      <w:pPr>
        <w:widowControl/>
        <w:pBdr>
          <w:top w:val="single" w:color="auto" w:sz="6" w:space="0"/>
          <w:left w:val="single" w:color="auto" w:sz="6" w:space="0"/>
          <w:bottom w:val="single" w:color="auto" w:sz="6" w:space="0"/>
          <w:right w:val="single" w:color="auto" w:sz="6" w:space="0"/>
        </w:pBdr>
        <w:spacing w:beforeAutospacing="0" w:after="0" w:afterAutospacing="0" w:line="240" w:lineRule="atLeast"/>
        <w:ind w:left="0" w:right="0"/>
        <w:jc w:val="left"/>
        <w:rPr>
          <w:rFonts w:hint="eastAsia"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kern w:val="0"/>
          <w:sz w:val="18"/>
          <w:szCs w:val="18"/>
          <w:lang w:val="en-US" w:eastAsia="zh-CN" w:bidi="ar"/>
          <w14:textFill>
            <w14:solidFill>
              <w14:schemeClr w14:val="tx1"/>
            </w14:solidFill>
          </w14:textFill>
        </w:rPr>
        <w:t>原创</w:t>
      </w:r>
    </w:p>
    <w:p>
      <w:pPr>
        <w:widowControl/>
        <w:spacing w:after="150" w:afterAutospacing="0" w:line="240" w:lineRule="atLeast"/>
        <w:jc w:val="left"/>
        <w:rPr>
          <w:rFonts w:hint="eastAsia"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王琳</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p>
    <w:p>
      <w:pPr>
        <w:widowControl/>
        <w:spacing w:after="150" w:afterAutospacing="0" w:line="240" w:lineRule="atLeast"/>
        <w:jc w:val="left"/>
        <w:rPr>
          <w:rFonts w:hint="eastAsia"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kern w:val="0"/>
          <w:sz w:val="18"/>
          <w:szCs w:val="18"/>
          <w:lang w:val="en-US" w:eastAsia="zh-CN" w:bidi="ar"/>
          <w14:textFill>
            <w14:solidFill>
              <w14:schemeClr w14:val="tx1"/>
            </w14:solidFill>
          </w14:textFill>
        </w:rPr>
        <w:t>更新于</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2024-04-22 17:53</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1.2w</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0</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宽屏</w:t>
      </w:r>
    </w:p>
    <w:p>
      <w:pPr>
        <w:widowControl/>
        <w:spacing w:after="150" w:afterAutospacing="0" w:line="240" w:lineRule="atLeast"/>
        <w:jc w:val="left"/>
        <w:rPr>
          <w:rFonts w:hint="eastAsia"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r>
        <w:rPr>
          <w:rFonts w:hint="eastAsia" w:ascii="黑体" w:hAnsi="黑体" w:eastAsia="黑体" w:cs="黑体"/>
          <w:color w:val="000000" w:themeColor="text1"/>
          <w:kern w:val="0"/>
          <w:sz w:val="18"/>
          <w:szCs w:val="18"/>
          <w:lang w:val="en-US" w:eastAsia="zh-CN" w:bidi="ar"/>
          <w14:textFill>
            <w14:solidFill>
              <w14:schemeClr w14:val="tx1"/>
            </w14:solidFill>
          </w14:textFill>
        </w:rPr>
        <w:t> </w:t>
      </w:r>
    </w:p>
    <w:p>
      <w:pPr>
        <w:pStyle w:val="2"/>
        <w:widowControl/>
        <w:spacing w:beforeAutospacing="0" w:line="240" w:lineRule="atLeast"/>
        <w:jc w:val="center"/>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8"/>
          <w:szCs w:val="28"/>
          <w:shd w:val="clear" w:fill="FFFFFF"/>
          <w14:textFill>
            <w14:solidFill>
              <w14:schemeClr w14:val="tx1"/>
            </w14:solidFill>
          </w14:textFill>
        </w:rPr>
        <w:t>2024年316号</w:t>
      </w:r>
      <w:bookmarkStart w:id="0" w:name="_GoBack"/>
      <w:bookmarkEnd w:id="0"/>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各学院：</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根据《山西大学本科生转专业管理办法》，现组织开展2024年本科生转专业工作，有关事项通知如下：</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一、申请对象和条件</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（一）根据学习成绩排名（仅限2023级）申请转专业，须满足：</w:t>
      </w:r>
    </w:p>
    <w:p>
      <w:pPr>
        <w:widowControl/>
        <w:numPr>
          <w:ilvl w:val="0"/>
          <w:numId w:val="1"/>
        </w:numPr>
        <w:pBdr>
          <w:top w:val="none" w:color="auto" w:sz="0" w:space="0"/>
          <w:left w:val="none" w:color="auto" w:sz="0" w:space="0"/>
          <w:bottom w:val="none" w:color="auto" w:sz="0" w:space="0"/>
          <w:right w:val="none" w:color="auto" w:sz="0" w:space="0"/>
        </w:pBdr>
        <w:spacing w:beforeAutospacing="0" w:after="0" w:afterAutospacing="0" w:line="240" w:lineRule="atLeast"/>
        <w:ind w:left="0" w:right="0" w:firstLine="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bdr w:val="none" w:color="auto" w:sz="0" w:space="0"/>
          <w:shd w:val="clear" w:fill="FFFFFF"/>
          <w14:textFill>
            <w14:solidFill>
              <w14:schemeClr w14:val="tx1"/>
            </w14:solidFill>
          </w14:textFill>
        </w:rPr>
        <w:t>已修完第一学期全部课程；</w:t>
      </w:r>
    </w:p>
    <w:p>
      <w:pPr>
        <w:widowControl/>
        <w:numPr>
          <w:ilvl w:val="0"/>
          <w:numId w:val="1"/>
        </w:numPr>
        <w:pBdr>
          <w:top w:val="none" w:color="auto" w:sz="0" w:space="0"/>
          <w:left w:val="none" w:color="auto" w:sz="0" w:space="0"/>
          <w:bottom w:val="none" w:color="auto" w:sz="0" w:space="0"/>
          <w:right w:val="none" w:color="auto" w:sz="0" w:space="0"/>
        </w:pBdr>
        <w:spacing w:beforeAutospacing="0" w:after="0" w:afterAutospacing="0" w:line="240" w:lineRule="atLeast"/>
        <w:ind w:left="0" w:right="0" w:firstLine="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bdr w:val="none" w:color="auto" w:sz="0" w:space="0"/>
          <w:shd w:val="clear" w:fill="FFFFFF"/>
          <w14:textFill>
            <w14:solidFill>
              <w14:schemeClr w14:val="tx1"/>
            </w14:solidFill>
          </w14:textFill>
        </w:rPr>
        <w:t>无不及格情况；</w:t>
      </w:r>
    </w:p>
    <w:p>
      <w:pPr>
        <w:widowControl/>
        <w:numPr>
          <w:ilvl w:val="0"/>
          <w:numId w:val="1"/>
        </w:numPr>
        <w:pBdr>
          <w:top w:val="none" w:color="auto" w:sz="0" w:space="0"/>
          <w:left w:val="none" w:color="auto" w:sz="0" w:space="0"/>
          <w:bottom w:val="none" w:color="auto" w:sz="0" w:space="0"/>
          <w:right w:val="none" w:color="auto" w:sz="0" w:space="0"/>
        </w:pBdr>
        <w:spacing w:beforeAutospacing="0" w:after="0" w:afterAutospacing="0" w:line="240" w:lineRule="atLeast"/>
        <w:ind w:left="0" w:right="0" w:firstLine="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bdr w:val="none" w:color="auto" w:sz="0" w:space="0"/>
          <w:shd w:val="clear" w:fill="FFFFFF"/>
          <w14:textFill>
            <w14:solidFill>
              <w14:schemeClr w14:val="tx1"/>
            </w14:solidFill>
          </w14:textFill>
        </w:rPr>
        <w:t>必修课平均学分绩点在该年级专业排名前50%（请学院教学秘书在教务系统中生成必修课平均学分绩点排名）。</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（二）其他情况申请转专业，须满足下列条件之一：</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1、入学后发现有某种疾病或生理缺陷，经二级甲等以上医院诊断，并经学生所在学院审核</w:t>
      </w:r>
      <w:r>
        <w:rPr>
          <w:rFonts w:hint="eastAsia" w:ascii="黑体" w:hAnsi="黑体" w:eastAsia="黑体" w:cs="黑体"/>
          <w:color w:val="000000" w:themeColor="text1"/>
          <w:sz w:val="24"/>
          <w:szCs w:val="24"/>
          <w:shd w:val="clear" w:fill="FFFFFF"/>
          <w14:textFill>
            <w14:solidFill>
              <w14:schemeClr w14:val="tx1"/>
            </w14:solidFill>
          </w14:textFill>
        </w:rPr>
        <w:t>同意，确属不能在原专业学习，但尚能在本校其他专业学习的；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2、对某一专业有浓厚兴趣，在相关专业领域确有专长并能提供有效证明，转专业后能更有利于其自身发展的；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3、复学后，原专业不存在或未招生的；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4、休学创业或参军入伍退役后复学的学生，因自身情况需要转专业并能提供有效证明材料（同等条件下优先考虑）；</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5、学校根据人才培养改革或创立试验班的需求，需要进行专业调整的；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6、其他因学籍异动需要转专业的。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（三）有下列情形之一者，不予转专业：</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1、入学未满一学期或三年级及以上的；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2、特殊招生形式录取的学生，国家有相关规定或者录取前与学校有明确约定的；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3、在校期间有违法违纪行为，受过学校处分的；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4、从外校转入我校的；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5、在校期间已转过专业的；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6、由下一批次录取专业转入上一批次录取专业的（以山西省入学当年专业录取批次为准）；</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7、体育类与艺术类之间互转的，体育类、艺术类和其他专业类别之间互转的；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8、正在休学或保留学籍的；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9、可予退学的；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  10、经学校认定不适合转专业或无正当理由的。</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二、工作流程及时间安排</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1、学生申请。</w:t>
      </w:r>
      <w:r>
        <w:rPr>
          <w:rFonts w:hint="eastAsia" w:ascii="黑体" w:hAnsi="黑体" w:eastAsia="黑体" w:cs="黑体"/>
          <w:color w:val="000000" w:themeColor="text1"/>
          <w:sz w:val="24"/>
          <w:szCs w:val="24"/>
          <w:shd w:val="clear" w:fill="FFFFFF"/>
          <w14:textFill>
            <w14:solidFill>
              <w14:schemeClr w14:val="tx1"/>
            </w14:solidFill>
          </w14:textFill>
        </w:rPr>
        <w:t>学生结合自身情况，自愿提出转专业申请，相关专业申请条件及考核办法可咨询转入学院(咨询电话详见附件1）。学生填写《山西大学本科生转专业申请表》（附件2），并于</w:t>
      </w:r>
      <w:r>
        <w:rPr>
          <w:rFonts w:hint="eastAsia" w:ascii="黑体" w:hAnsi="黑体" w:eastAsia="黑体" w:cs="黑体"/>
          <w:color w:val="000000" w:themeColor="text1"/>
          <w:sz w:val="24"/>
          <w:szCs w:val="24"/>
          <w:shd w:val="clear" w:fill="FFFFFF"/>
          <w14:textFill>
            <w14:solidFill>
              <w14:schemeClr w14:val="tx1"/>
            </w14:solidFill>
          </w14:textFill>
        </w:rPr>
        <w:t>4月26日</w:t>
      </w:r>
      <w:r>
        <w:rPr>
          <w:rFonts w:hint="eastAsia" w:ascii="黑体" w:hAnsi="黑体" w:eastAsia="黑体" w:cs="黑体"/>
          <w:color w:val="000000" w:themeColor="text1"/>
          <w:sz w:val="24"/>
          <w:szCs w:val="24"/>
          <w:shd w:val="clear" w:fill="FFFFFF"/>
          <w14:textFill>
            <w14:solidFill>
              <w14:schemeClr w14:val="tx1"/>
            </w14:solidFill>
          </w14:textFill>
        </w:rPr>
        <w:t>前交至学生所在学院。</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2、转出学院推荐。</w:t>
      </w:r>
      <w:r>
        <w:rPr>
          <w:rFonts w:hint="eastAsia" w:ascii="黑体" w:hAnsi="黑体" w:eastAsia="黑体" w:cs="黑体"/>
          <w:color w:val="000000" w:themeColor="text1"/>
          <w:sz w:val="24"/>
          <w:szCs w:val="24"/>
          <w:shd w:val="clear" w:fill="FFFFFF"/>
          <w14:textFill>
            <w14:solidFill>
              <w14:schemeClr w14:val="tx1"/>
            </w14:solidFill>
          </w14:textFill>
        </w:rPr>
        <w:t>①学院对学生申请材料进行审核：“成绩前50%”的审核学生课程及排名情况；“其他情况”中如有因身体原因的，对诊断证明以及是否能在本专业继续学习进行认定。②学院召开党政联席会议，提出推荐意见并公示，将同意转出学生的申请表、汇总表（附件3）于4月30日前交至教务科，电子版发送至邮箱。</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3、教务处审核。</w:t>
      </w:r>
      <w:r>
        <w:rPr>
          <w:rFonts w:hint="eastAsia" w:ascii="黑体" w:hAnsi="黑体" w:eastAsia="黑体" w:cs="黑体"/>
          <w:color w:val="000000" w:themeColor="text1"/>
          <w:sz w:val="24"/>
          <w:szCs w:val="24"/>
          <w:shd w:val="clear" w:fill="FFFFFF"/>
          <w14:textFill>
            <w14:solidFill>
              <w14:schemeClr w14:val="tx1"/>
            </w14:solidFill>
          </w14:textFill>
        </w:rPr>
        <w:t>①教务处对学院报送的申请转专业学生是否有不予转专业的情形进行审核。②无上述情形的，教务处将学生的申请材料转至学生申请转入专业所在学院。</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4、转入学院考核。①</w:t>
      </w:r>
      <w:r>
        <w:rPr>
          <w:rFonts w:hint="eastAsia" w:ascii="黑体" w:hAnsi="黑体" w:eastAsia="黑体" w:cs="黑体"/>
          <w:color w:val="000000" w:themeColor="text1"/>
          <w:sz w:val="24"/>
          <w:szCs w:val="24"/>
          <w:shd w:val="clear" w:fill="FFFFFF"/>
          <w14:textFill>
            <w14:solidFill>
              <w14:schemeClr w14:val="tx1"/>
            </w14:solidFill>
          </w14:textFill>
        </w:rPr>
        <w:t>学院成立转专业工作小组，制定考核办法并对学生公布。②学院对学生申请材料进行审核：因兴趣和专长申请转专业的，对是否具备拟转入专业学习条件进行认定；因身体原因申请转专业的，对是否能在转入专业学习进行认定。③学院按照考核办法，对学生进行全面考核，按择优录取原则，由学院党政联席会议确定初选名单并公示无误后，将拟接收转专业学生的申请表、汇总表（附件4）及学院党政联席会议纪要（附件5）、考核办法于5月16日前交至教务科，电子版发送至邮箱。</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5、学校审批。</w:t>
      </w:r>
      <w:r>
        <w:rPr>
          <w:rFonts w:hint="eastAsia" w:ascii="黑体" w:hAnsi="黑体" w:eastAsia="黑体" w:cs="黑体"/>
          <w:color w:val="000000" w:themeColor="text1"/>
          <w:sz w:val="24"/>
          <w:szCs w:val="24"/>
          <w:shd w:val="clear" w:fill="FFFFFF"/>
          <w14:textFill>
            <w14:solidFill>
              <w14:schemeClr w14:val="tx1"/>
            </w14:solidFill>
          </w14:textFill>
        </w:rPr>
        <w:t>教务科汇总各学院提交的名单，经处务会议审核，报学校审批，经校长办公会议研究决定，向全校公示。</w:t>
      </w:r>
    </w:p>
    <w:p>
      <w:pPr>
        <w:pStyle w:val="2"/>
        <w:widowControl/>
        <w:spacing w:beforeAutospacing="0" w:line="240" w:lineRule="atLeast"/>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三、其他</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1、各学院应加强对学生的学业生涯规划和专业学习指导，增强学生对本专业学习的适应性和稳定性，避免盲从心理，理性选择专业。每位学生只能申请报转一个专业，转入新专业后不得再申请转回原专业。</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2、其他情况申请转专业学生原则上从下一年级读起。具体转入年级，接收学院可根据人才培养方案、学生已修读课程及学生意愿等进行综合考量确定。</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3、获准转专业的学生必须参加原专业期末考试，如出现无故旷考、被取消考试资格、违纪作弊等情况，取消转专业资格。</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4、转专业学生的培养方案、学习年限、学费标准等按照转入专业执行。</w:t>
      </w:r>
    </w:p>
    <w:p>
      <w:pPr>
        <w:pStyle w:val="2"/>
        <w:widowControl/>
        <w:spacing w:beforeAutospacing="0" w:line="240" w:lineRule="atLeast"/>
        <w:ind w:left="0" w:firstLine="560"/>
        <w:jc w:val="left"/>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sz w:val="24"/>
          <w:szCs w:val="24"/>
          <w:shd w:val="clear" w:fill="FFFFFF"/>
          <w14:textFill>
            <w14:solidFill>
              <w14:schemeClr w14:val="tx1"/>
            </w14:solidFill>
          </w14:textFill>
        </w:rPr>
        <w:t>5、学生转专业后，在原专业已修完的相同或相近课程，由转入学院根据培养方案进行成绩认定；未修过的课程，应在毕业前通过补修的方式修读完成。</w:t>
      </w:r>
    </w:p>
    <w:p>
      <w:pPr>
        <w:widowControl/>
        <w:jc w:val="left"/>
        <w:rPr>
          <w:rFonts w:hint="eastAsia" w:ascii="黑体" w:hAnsi="黑体" w:eastAsia="黑体" w:cs="黑体"/>
          <w:color w:val="000000" w:themeColor="text1"/>
          <w14:textFill>
            <w14:solidFill>
              <w14:schemeClr w14:val="tx1"/>
            </w14:solidFill>
          </w14:textFill>
        </w:rPr>
      </w:pPr>
    </w:p>
    <w:p>
      <w:pPr>
        <w:rPr>
          <w:rFonts w:hint="eastAsia" w:ascii="黑体" w:hAnsi="黑体" w:eastAsia="黑体" w:cs="黑体"/>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var(--td-font-body-small)">
    <w:panose1 w:val="00000000000000000000"/>
    <w:charset w:val="00"/>
    <w:family w:val="auto"/>
    <w:pitch w:val="default"/>
    <w:sig w:usb0="00000000" w:usb1="00000000" w:usb2="00000000" w:usb3="00000000" w:csb0="00000000" w:csb1="00000000"/>
  </w:font>
  <w:font w:name="Helvetica Neue">
    <w:panose1 w:val="00000000000000000000"/>
    <w:charset w:val="00"/>
    <w:family w:val="auto"/>
    <w:pitch w:val="default"/>
    <w:sig w:usb0="00000000" w:usb1="00000000" w:usb2="00000000" w:usb3="00000000" w:csb0="00000000" w:csb1="00000000"/>
  </w:font>
  <w:font w:name="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4580A6"/>
    <w:multiLevelType w:val="multilevel"/>
    <w:tmpl w:val="674580A6"/>
    <w:lvl w:ilvl="0" w:tentative="0">
      <w:start w:val="1"/>
      <w:numFmt w:val="bullet"/>
      <w:lvlText w:val=""/>
      <w:lvlJc w:val="left"/>
      <w:pPr>
        <w:tabs>
          <w:tab w:val="left" w:pos="720"/>
        </w:tabs>
        <w:ind w:left="720" w:firstLine="0"/>
      </w:pPr>
      <w:rPr>
        <w:rFonts w:ascii="Symbol" w:hAnsi="Symbol" w:cs="Symbol"/>
        <w:sz w:val="20"/>
      </w:rPr>
    </w:lvl>
    <w:lvl w:ilvl="1" w:tentative="0">
      <w:start w:val="1"/>
      <w:numFmt w:val="bullet"/>
      <w:lvlText w:val=""/>
      <w:lvlJc w:val="left"/>
      <w:pPr>
        <w:tabs>
          <w:tab w:val="left" w:pos="1440"/>
        </w:tabs>
        <w:ind w:left="1440" w:firstLine="0"/>
      </w:pPr>
      <w:rPr>
        <w:rFonts w:hint="default" w:ascii="Symbol" w:hAnsi="Symbol" w:cs="Symbol"/>
        <w:sz w:val="20"/>
      </w:rPr>
    </w:lvl>
    <w:lvl w:ilvl="2" w:tentative="0">
      <w:start w:val="1"/>
      <w:numFmt w:val="bullet"/>
      <w:lvlText w:val=""/>
      <w:lvlJc w:val="left"/>
      <w:pPr>
        <w:tabs>
          <w:tab w:val="left" w:pos="2160"/>
        </w:tabs>
        <w:ind w:left="2160" w:firstLine="0"/>
      </w:pPr>
      <w:rPr>
        <w:rFonts w:hint="default" w:ascii="Symbol" w:hAnsi="Symbol" w:cs="Symbol"/>
        <w:sz w:val="20"/>
      </w:rPr>
    </w:lvl>
    <w:lvl w:ilvl="3" w:tentative="0">
      <w:start w:val="1"/>
      <w:numFmt w:val="bullet"/>
      <w:lvlText w:val=""/>
      <w:lvlJc w:val="left"/>
      <w:pPr>
        <w:tabs>
          <w:tab w:val="left" w:pos="2880"/>
        </w:tabs>
        <w:ind w:left="2880" w:firstLine="0"/>
      </w:pPr>
      <w:rPr>
        <w:rFonts w:hint="default" w:ascii="Symbol" w:hAnsi="Symbol" w:cs="Symbol"/>
        <w:sz w:val="20"/>
      </w:rPr>
    </w:lvl>
    <w:lvl w:ilvl="4" w:tentative="0">
      <w:start w:val="1"/>
      <w:numFmt w:val="bullet"/>
      <w:lvlText w:val=""/>
      <w:lvlJc w:val="left"/>
      <w:pPr>
        <w:tabs>
          <w:tab w:val="left" w:pos="3600"/>
        </w:tabs>
        <w:ind w:left="3600" w:firstLine="0"/>
      </w:pPr>
      <w:rPr>
        <w:rFonts w:hint="default" w:ascii="Symbol" w:hAnsi="Symbol" w:cs="Symbol"/>
        <w:sz w:val="20"/>
      </w:rPr>
    </w:lvl>
    <w:lvl w:ilvl="5" w:tentative="0">
      <w:start w:val="1"/>
      <w:numFmt w:val="bullet"/>
      <w:lvlText w:val=""/>
      <w:lvlJc w:val="left"/>
      <w:pPr>
        <w:tabs>
          <w:tab w:val="left" w:pos="4320"/>
        </w:tabs>
        <w:ind w:left="4320" w:firstLine="0"/>
      </w:pPr>
      <w:rPr>
        <w:rFonts w:hint="default" w:ascii="Symbol" w:hAnsi="Symbol" w:cs="Symbol"/>
        <w:sz w:val="20"/>
      </w:rPr>
    </w:lvl>
    <w:lvl w:ilvl="6" w:tentative="0">
      <w:start w:val="1"/>
      <w:numFmt w:val="bullet"/>
      <w:lvlText w:val=""/>
      <w:lvlJc w:val="left"/>
      <w:pPr>
        <w:tabs>
          <w:tab w:val="left" w:pos="5040"/>
        </w:tabs>
        <w:ind w:left="5040" w:firstLine="0"/>
      </w:pPr>
      <w:rPr>
        <w:rFonts w:hint="default" w:ascii="Symbol" w:hAnsi="Symbol" w:cs="Symbol"/>
        <w:sz w:val="20"/>
      </w:rPr>
    </w:lvl>
    <w:lvl w:ilvl="7" w:tentative="0">
      <w:start w:val="1"/>
      <w:numFmt w:val="bullet"/>
      <w:lvlText w:val=""/>
      <w:lvlJc w:val="left"/>
      <w:pPr>
        <w:tabs>
          <w:tab w:val="left" w:pos="5760"/>
        </w:tabs>
        <w:ind w:left="5760" w:firstLine="0"/>
      </w:pPr>
      <w:rPr>
        <w:rFonts w:hint="default" w:ascii="Symbol" w:hAnsi="Symbol" w:cs="Symbol"/>
        <w:sz w:val="20"/>
      </w:rPr>
    </w:lvl>
    <w:lvl w:ilvl="8" w:tentative="0">
      <w:start w:val="1"/>
      <w:numFmt w:val="bullet"/>
      <w:lvlText w:val=""/>
      <w:lvlJc w:val="left"/>
      <w:pPr>
        <w:tabs>
          <w:tab w:val="left" w:pos="6480"/>
        </w:tabs>
        <w:ind w:left="6480" w:firstLine="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2024-11-26T16:02:31Z</dcterms:created>
  <dc:creator>沈复的ipad</dc:creator>
  <cp:lastModifiedBy>沈复的ipad</cp:lastModifiedBy>
  <dcterms:modified xsi:type="dcterms:W3CDTF">2024-11-26T16:03:47Z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2052-12.0.1</vt:lpwstr>
  </property>
  <property fmtid="{D5CDD505-2E9C-101B-9397-08002B2CF9AE}" pid="3" name="ICV">
    <vt:lpwstr>7A634B6D67BF520997804567DEC75B3D_31</vt:lpwstr>
  </property>
</Properties>
</file>