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95FC3">
      <w:pPr>
        <w:jc w:val="center"/>
        <w:rPr>
          <w:rFonts w:hint="eastAsia" w:ascii="黑体" w:hAnsi="黑体" w:eastAsia="黑体"/>
          <w:sz w:val="28"/>
        </w:rPr>
      </w:pPr>
      <w:r>
        <w:rPr>
          <w:rFonts w:hint="eastAsia" w:ascii="黑体" w:hAnsi="黑体" w:eastAsia="黑体"/>
          <w:sz w:val="28"/>
        </w:rPr>
        <w:t>中北大学仪器与电子学院推荐优秀应届本科毕业生</w:t>
      </w:r>
    </w:p>
    <w:p w14:paraId="0234E102">
      <w:pPr>
        <w:jc w:val="center"/>
        <w:rPr>
          <w:rFonts w:hint="eastAsia" w:ascii="黑体" w:hAnsi="黑体" w:eastAsia="黑体"/>
          <w:sz w:val="28"/>
        </w:rPr>
      </w:pPr>
      <w:r>
        <w:rPr>
          <w:rFonts w:hint="eastAsia" w:ascii="黑体" w:hAnsi="黑体" w:eastAsia="黑体"/>
          <w:sz w:val="28"/>
        </w:rPr>
        <w:t>免试攻读硕士研究生实施办法</w:t>
      </w:r>
    </w:p>
    <w:p w14:paraId="50C8910D">
      <w:pPr>
        <w:spacing w:line="360" w:lineRule="auto"/>
        <w:jc w:val="center"/>
      </w:pPr>
      <w:r>
        <w:rPr>
          <w:rFonts w:hint="eastAsia"/>
        </w:rPr>
        <w:t>（202</w:t>
      </w:r>
      <w:r>
        <w:rPr>
          <w:rFonts w:hint="eastAsia"/>
          <w:lang w:val="en-US" w:eastAsia="zh-CN"/>
        </w:rPr>
        <w:t>5</w:t>
      </w:r>
      <w:r>
        <w:rPr>
          <w:rFonts w:hint="eastAsia"/>
        </w:rPr>
        <w:t xml:space="preserve"> 修订版）</w:t>
      </w:r>
    </w:p>
    <w:p w14:paraId="69350818">
      <w:pPr>
        <w:spacing w:line="312" w:lineRule="auto"/>
        <w:ind w:firstLine="420" w:firstLineChars="200"/>
        <w:rPr>
          <w:rFonts w:hint="eastAsia" w:asciiTheme="minorEastAsia" w:hAnsiTheme="minorEastAsia"/>
        </w:rPr>
      </w:pPr>
      <w:r>
        <w:rPr>
          <w:rFonts w:hint="eastAsia" w:asciiTheme="minorEastAsia" w:hAnsiTheme="minorEastAsia"/>
        </w:rPr>
        <w:t>根据《中北大学推荐优秀应届本科毕业生免试攻读硕士研究生实施办法（修订）》（校</w:t>
      </w:r>
      <w:r>
        <w:rPr>
          <w:rFonts w:hint="eastAsia" w:asciiTheme="minorEastAsia" w:hAnsiTheme="minorEastAsia"/>
          <w:lang w:val="en-US" w:eastAsia="zh-CN"/>
        </w:rPr>
        <w:t>教</w:t>
      </w:r>
      <w:r>
        <w:rPr>
          <w:rFonts w:hint="eastAsia" w:asciiTheme="minorEastAsia" w:hAnsiTheme="minorEastAsia"/>
        </w:rPr>
        <w:t>〔2020〕17 号）的规定和要求，为规范我院推荐优秀应届本科毕业生免试攻读硕士学位研究生（以下简称推免生）工作，特制定本实施办法。</w:t>
      </w:r>
    </w:p>
    <w:p w14:paraId="33796950">
      <w:pPr>
        <w:spacing w:line="312" w:lineRule="auto"/>
        <w:rPr>
          <w:rFonts w:hint="eastAsia" w:ascii="黑体" w:hAnsi="黑体" w:eastAsia="黑体"/>
        </w:rPr>
      </w:pPr>
      <w:r>
        <w:rPr>
          <w:rFonts w:hint="eastAsia" w:ascii="黑体" w:hAnsi="黑体" w:eastAsia="黑体"/>
        </w:rPr>
        <w:t>一、基本原则</w:t>
      </w:r>
    </w:p>
    <w:p w14:paraId="50BD5534">
      <w:pPr>
        <w:spacing w:line="312" w:lineRule="auto"/>
        <w:ind w:firstLine="420" w:firstLineChars="200"/>
        <w:rPr>
          <w:rFonts w:hint="eastAsia" w:asciiTheme="minorEastAsia" w:hAnsiTheme="minorEastAsia"/>
        </w:rPr>
      </w:pPr>
      <w:r>
        <w:rPr>
          <w:rFonts w:hint="eastAsia" w:asciiTheme="minorEastAsia" w:hAnsiTheme="minorEastAsia"/>
        </w:rPr>
        <w:t>体现“一素质三能力”培养模式下大力推进创新型人才培养工作的特点，综合考虑推免生工作政策性强、涉及面广、直接关系到学生利益的特点，坚持德智体全面衡量，择优录取，保证质量，坚持“公平、公正、公开”。</w:t>
      </w:r>
    </w:p>
    <w:p w14:paraId="6BE6C1CC">
      <w:pPr>
        <w:spacing w:line="312" w:lineRule="auto"/>
        <w:rPr>
          <w:rFonts w:hint="eastAsia" w:ascii="黑体" w:hAnsi="黑体" w:eastAsia="黑体"/>
        </w:rPr>
      </w:pPr>
      <w:r>
        <w:rPr>
          <w:rFonts w:hint="eastAsia" w:ascii="黑体" w:hAnsi="黑体" w:eastAsia="黑体"/>
        </w:rPr>
        <w:t>二、推免生遴选工作组</w:t>
      </w:r>
    </w:p>
    <w:p w14:paraId="725B3AEC">
      <w:pPr>
        <w:spacing w:line="312" w:lineRule="auto"/>
        <w:ind w:firstLine="420" w:firstLineChars="200"/>
        <w:rPr>
          <w:rFonts w:hint="eastAsia" w:asciiTheme="minorEastAsia" w:hAnsiTheme="minorEastAsia"/>
        </w:rPr>
      </w:pPr>
      <w:r>
        <w:rPr>
          <w:rFonts w:hint="eastAsia" w:asciiTheme="minorEastAsia" w:hAnsiTheme="minorEastAsia"/>
        </w:rPr>
        <w:t>组 长：院长、院党委书记</w:t>
      </w:r>
    </w:p>
    <w:p w14:paraId="64761717">
      <w:pPr>
        <w:pStyle w:val="3"/>
        <w:ind w:firstLine="420" w:firstLineChars="200"/>
        <w:rPr>
          <w:rFonts w:hint="eastAsia" w:asciiTheme="minorEastAsia" w:hAnsiTheme="minorEastAsia"/>
        </w:rPr>
      </w:pPr>
      <w:r>
        <w:rPr>
          <w:rFonts w:hint="eastAsia" w:asciiTheme="minorEastAsia" w:hAnsiTheme="minorEastAsia"/>
        </w:rPr>
        <w:t>成 员：院务会成员和系主任</w:t>
      </w:r>
    </w:p>
    <w:p w14:paraId="419152DC">
      <w:pPr>
        <w:spacing w:line="312" w:lineRule="auto"/>
        <w:ind w:firstLine="420" w:firstLineChars="200"/>
        <w:rPr>
          <w:rFonts w:hint="eastAsia" w:asciiTheme="minorEastAsia" w:hAnsiTheme="minorEastAsia"/>
        </w:rPr>
      </w:pPr>
      <w:r>
        <w:rPr>
          <w:rFonts w:hint="eastAsia" w:asciiTheme="minorEastAsia" w:hAnsiTheme="minorEastAsia"/>
        </w:rPr>
        <w:t>部 门：教学科</w:t>
      </w:r>
    </w:p>
    <w:p w14:paraId="5A7E9ED4">
      <w:pPr>
        <w:spacing w:line="312" w:lineRule="auto"/>
        <w:rPr>
          <w:rFonts w:hint="eastAsia" w:ascii="黑体" w:hAnsi="黑体" w:eastAsia="黑体"/>
        </w:rPr>
      </w:pPr>
      <w:r>
        <w:rPr>
          <w:rFonts w:hint="eastAsia" w:ascii="黑体" w:hAnsi="黑体" w:eastAsia="黑体"/>
        </w:rPr>
        <w:t>三、遴选推免生范围及条件</w:t>
      </w:r>
    </w:p>
    <w:p w14:paraId="492CD954">
      <w:pPr>
        <w:spacing w:line="312" w:lineRule="auto"/>
        <w:ind w:firstLine="422" w:firstLineChars="200"/>
        <w:rPr>
          <w:rFonts w:hint="eastAsia" w:asciiTheme="minorEastAsia" w:hAnsiTheme="minorEastAsia"/>
          <w:b/>
        </w:rPr>
      </w:pPr>
      <w:r>
        <w:rPr>
          <w:rFonts w:hint="eastAsia" w:asciiTheme="minorEastAsia" w:hAnsiTheme="minorEastAsia"/>
          <w:b/>
        </w:rPr>
        <w:t>（一）择优遴选范围</w:t>
      </w:r>
    </w:p>
    <w:p w14:paraId="10895CDF">
      <w:pPr>
        <w:spacing w:line="312" w:lineRule="auto"/>
        <w:ind w:firstLine="420" w:firstLineChars="200"/>
        <w:rPr>
          <w:rFonts w:hint="eastAsia" w:asciiTheme="minorEastAsia" w:hAnsiTheme="minorEastAsia"/>
        </w:rPr>
      </w:pPr>
      <w:r>
        <w:rPr>
          <w:rFonts w:hint="eastAsia" w:asciiTheme="minorEastAsia" w:hAnsiTheme="minorEastAsia"/>
        </w:rPr>
        <w:t>具有中北大学学籍的我院测控技术与仪器、电子科学与技术、智能感知工程专业应届毕业生（不含我校之外交流学生，根据学校政策在一、二年级转入我院各专业学生可以正常参加排队）。“免试”的含义是免予参加全国统一的研究生入学考试（初试），但必须经过面试（复试）；“应届”的含义是指每年研究生招生报名阶段开始时已进入本科最后一学年学习的本科生。</w:t>
      </w:r>
    </w:p>
    <w:p w14:paraId="544A7CE9">
      <w:pPr>
        <w:spacing w:line="312" w:lineRule="auto"/>
        <w:ind w:firstLine="422" w:firstLineChars="200"/>
        <w:rPr>
          <w:rFonts w:hint="eastAsia" w:asciiTheme="minorEastAsia" w:hAnsiTheme="minorEastAsia"/>
          <w:b/>
        </w:rPr>
      </w:pPr>
      <w:r>
        <w:rPr>
          <w:rFonts w:hint="eastAsia" w:asciiTheme="minorEastAsia" w:hAnsiTheme="minorEastAsia"/>
          <w:b/>
        </w:rPr>
        <w:t>（二）基本条件</w:t>
      </w:r>
    </w:p>
    <w:p w14:paraId="28D51E8B">
      <w:pPr>
        <w:spacing w:line="312" w:lineRule="auto"/>
        <w:ind w:firstLine="420" w:firstLineChars="200"/>
        <w:rPr>
          <w:rFonts w:hint="eastAsia" w:asciiTheme="minorEastAsia" w:hAnsiTheme="minorEastAsia"/>
        </w:rPr>
      </w:pPr>
      <w:r>
        <w:rPr>
          <w:rFonts w:hint="eastAsia" w:asciiTheme="minorEastAsia" w:hAnsiTheme="minorEastAsia"/>
        </w:rPr>
        <w:t>1.思想政治要求</w:t>
      </w:r>
    </w:p>
    <w:p w14:paraId="0EB4C28A">
      <w:pPr>
        <w:spacing w:line="312" w:lineRule="auto"/>
        <w:ind w:firstLine="420" w:firstLineChars="200"/>
        <w:rPr>
          <w:rFonts w:hint="eastAsia" w:asciiTheme="minorEastAsia" w:hAnsiTheme="minorEastAsia"/>
        </w:rPr>
      </w:pPr>
      <w:r>
        <w:rPr>
          <w:rFonts w:hint="eastAsia" w:asciiTheme="minorEastAsia" w:hAnsiTheme="minorEastAsia"/>
        </w:rPr>
        <w:t>拥护中国共产党的领导，诚实守信，学风端正，无任何考试作弊和剽窃他人学术成果记录，无未解除的处分记录。</w:t>
      </w:r>
    </w:p>
    <w:p w14:paraId="732B614E">
      <w:pPr>
        <w:spacing w:line="312" w:lineRule="auto"/>
        <w:ind w:firstLine="420" w:firstLineChars="200"/>
        <w:rPr>
          <w:rFonts w:hint="eastAsia" w:asciiTheme="minorEastAsia" w:hAnsiTheme="minorEastAsia"/>
        </w:rPr>
      </w:pPr>
      <w:r>
        <w:rPr>
          <w:rFonts w:hint="eastAsia" w:asciiTheme="minorEastAsia" w:hAnsiTheme="minorEastAsia"/>
        </w:rPr>
        <w:t>2.体质健康要求</w:t>
      </w:r>
    </w:p>
    <w:p w14:paraId="3D65AD8D">
      <w:pPr>
        <w:spacing w:line="312" w:lineRule="auto"/>
        <w:ind w:firstLine="420" w:firstLineChars="200"/>
        <w:rPr>
          <w:rFonts w:hint="eastAsia" w:asciiTheme="minorEastAsia" w:hAnsiTheme="minorEastAsia"/>
        </w:rPr>
      </w:pPr>
      <w:r>
        <w:rPr>
          <w:rFonts w:hint="eastAsia" w:asciiTheme="minorEastAsia" w:hAnsiTheme="minorEastAsia"/>
        </w:rPr>
        <w:t>身体健康状况符合规定的体检标准，且《国家学生体质健康标准》测试的前三年成绩平均达标（因残疾或重大疾病确实丧失运动能力的学生除外），以教务处提供成绩为准。</w:t>
      </w:r>
    </w:p>
    <w:p w14:paraId="76A2C500">
      <w:pPr>
        <w:spacing w:line="312" w:lineRule="auto"/>
        <w:ind w:firstLine="420" w:firstLineChars="200"/>
        <w:rPr>
          <w:rFonts w:hint="eastAsia" w:asciiTheme="minorEastAsia" w:hAnsiTheme="minorEastAsia"/>
        </w:rPr>
      </w:pPr>
      <w:r>
        <w:rPr>
          <w:rFonts w:hint="eastAsia" w:asciiTheme="minorEastAsia" w:hAnsiTheme="minorEastAsia"/>
        </w:rPr>
        <w:t>3.学业成绩要求</w:t>
      </w:r>
    </w:p>
    <w:p w14:paraId="50100ED4">
      <w:pPr>
        <w:spacing w:line="312" w:lineRule="auto"/>
        <w:ind w:firstLine="420" w:firstLineChars="200"/>
        <w:rPr>
          <w:rFonts w:hint="eastAsia" w:asciiTheme="minorEastAsia" w:hAnsiTheme="minorEastAsia"/>
        </w:rPr>
      </w:pPr>
      <w:r>
        <w:rPr>
          <w:rFonts w:hint="eastAsia" w:asciiTheme="minorEastAsia" w:hAnsiTheme="minorEastAsia"/>
        </w:rPr>
        <w:t>①基础知识扎实，成绩优良，所修全部课程无不及格记录；</w:t>
      </w:r>
    </w:p>
    <w:p w14:paraId="0BEF9078">
      <w:pPr>
        <w:spacing w:line="312" w:lineRule="auto"/>
        <w:ind w:firstLine="420" w:firstLineChars="200"/>
        <w:rPr>
          <w:rFonts w:hint="eastAsia" w:asciiTheme="minorEastAsia" w:hAnsiTheme="minorEastAsia"/>
        </w:rPr>
      </w:pPr>
      <w:r>
        <w:rPr>
          <w:rFonts w:hint="eastAsia" w:asciiTheme="minorEastAsia" w:hAnsiTheme="minorEastAsia"/>
        </w:rPr>
        <w:t>②学业成绩评价以综合评分的方式进行，推免学生的平均学习绩点（平均学分绩点，成绩单上的绩点）不低于3.0，且平均学分绩点在本专业前20%（含20%）。综合评分由“学习成绩分”、“创新能力分”、“实践能力分”三个部分加总获得。</w:t>
      </w:r>
    </w:p>
    <w:p w14:paraId="7F60E79B">
      <w:pPr>
        <w:spacing w:line="312" w:lineRule="auto"/>
        <w:ind w:firstLine="420" w:firstLineChars="200"/>
        <w:rPr>
          <w:rFonts w:hint="eastAsia" w:asciiTheme="minorEastAsia" w:hAnsiTheme="minorEastAsia"/>
        </w:rPr>
      </w:pPr>
      <w:r>
        <w:rPr>
          <w:rFonts w:hint="eastAsia" w:asciiTheme="minorEastAsia" w:hAnsiTheme="minorEastAsia"/>
        </w:rPr>
        <w:t>“学习成绩分”截止到教务处发出推免工作启动通知当日的平均学分绩点计算，以教务处提供绩点为准；</w:t>
      </w:r>
    </w:p>
    <w:p w14:paraId="71399AF1">
      <w:pPr>
        <w:spacing w:line="312" w:lineRule="auto"/>
        <w:ind w:firstLine="420" w:firstLineChars="200"/>
        <w:rPr>
          <w:rFonts w:hint="eastAsia" w:asciiTheme="minorEastAsia" w:hAnsiTheme="minorEastAsia"/>
        </w:rPr>
      </w:pPr>
      <w:r>
        <w:rPr>
          <w:rFonts w:hint="eastAsia" w:asciiTheme="minorEastAsia" w:hAnsiTheme="minorEastAsia"/>
        </w:rPr>
        <w:t>“创新能力分”以发表论文，申请专利、申报大学生创新创业训练项目、参加各类学科竞赛及成果为主要考核内容，记分方法见附件一，每个学生的创新能力分累计最大值不超过 0.</w:t>
      </w:r>
      <w:r>
        <w:rPr>
          <w:rFonts w:asciiTheme="minorEastAsia" w:hAnsiTheme="minorEastAsia"/>
        </w:rPr>
        <w:t>4</w:t>
      </w:r>
      <w:r>
        <w:rPr>
          <w:rFonts w:hint="eastAsia" w:asciiTheme="minorEastAsia" w:hAnsiTheme="minorEastAsia"/>
        </w:rPr>
        <w:t>，由学生主动申请，提供支撑材料，教学科核实、公示认定。</w:t>
      </w:r>
    </w:p>
    <w:p w14:paraId="3DA9279F">
      <w:pPr>
        <w:spacing w:line="312" w:lineRule="auto"/>
        <w:ind w:firstLine="420" w:firstLineChars="200"/>
        <w:rPr>
          <w:rFonts w:hint="eastAsia" w:asciiTheme="minorEastAsia" w:hAnsiTheme="minorEastAsia"/>
        </w:rPr>
      </w:pPr>
      <w:r>
        <w:rPr>
          <w:rFonts w:hint="eastAsia" w:asciiTheme="minorEastAsia" w:hAnsiTheme="minorEastAsia"/>
        </w:rPr>
        <w:t>“实践能力分”以承担志愿服务等公益性社会工作、各类社会实践等方面的工作并有较大影响为主要考核内容，以在省级及以上报纸、杂志或电视通讯报道的证明材料为准，报道主角为推免生本人。每个学生的实践能力分累计最大值不超过 0.1，由学生主动申请，提供支撑材料，教学科按照附件二核实、公示认定。</w:t>
      </w:r>
    </w:p>
    <w:p w14:paraId="40A4B05D">
      <w:pPr>
        <w:spacing w:line="312" w:lineRule="auto"/>
        <w:ind w:firstLine="420" w:firstLineChars="200"/>
        <w:rPr>
          <w:rFonts w:hint="eastAsia" w:asciiTheme="minorEastAsia" w:hAnsiTheme="minorEastAsia"/>
        </w:rPr>
      </w:pPr>
      <w:r>
        <w:rPr>
          <w:rFonts w:hint="eastAsia" w:asciiTheme="minorEastAsia" w:hAnsiTheme="minorEastAsia"/>
        </w:rPr>
        <w:t>4.英语水平要求</w:t>
      </w:r>
    </w:p>
    <w:p w14:paraId="25D372E5">
      <w:pPr>
        <w:spacing w:line="312" w:lineRule="auto"/>
        <w:ind w:firstLine="420" w:firstLineChars="200"/>
        <w:rPr>
          <w:rFonts w:hint="eastAsia" w:asciiTheme="minorEastAsia" w:hAnsiTheme="minorEastAsia"/>
        </w:rPr>
      </w:pPr>
      <w:r>
        <w:rPr>
          <w:rFonts w:hint="eastAsia" w:asciiTheme="minorEastAsia" w:hAnsiTheme="minorEastAsia"/>
        </w:rPr>
        <w:t>全国大学英语四级考试成绩不低于425分。以证书原件为准。</w:t>
      </w:r>
    </w:p>
    <w:p w14:paraId="49F26AC5">
      <w:pPr>
        <w:spacing w:line="312" w:lineRule="auto"/>
        <w:rPr>
          <w:rFonts w:hint="eastAsia" w:ascii="黑体" w:hAnsi="黑体" w:eastAsia="黑体"/>
        </w:rPr>
      </w:pPr>
      <w:r>
        <w:rPr>
          <w:rFonts w:hint="eastAsia" w:ascii="黑体" w:hAnsi="黑体" w:eastAsia="黑体"/>
        </w:rPr>
        <w:t>四、名额分配</w:t>
      </w:r>
    </w:p>
    <w:p w14:paraId="7529256E">
      <w:pPr>
        <w:spacing w:line="312" w:lineRule="auto"/>
        <w:ind w:firstLine="420" w:firstLineChars="200"/>
        <w:rPr>
          <w:rFonts w:hint="eastAsia" w:asciiTheme="minorEastAsia" w:hAnsiTheme="minorEastAsia"/>
        </w:rPr>
      </w:pPr>
      <w:r>
        <w:rPr>
          <w:rFonts w:hint="eastAsia" w:asciiTheme="minorEastAsia" w:hAnsiTheme="minorEastAsia"/>
        </w:rPr>
        <w:t>原则上，学院根据学校下达的推免指标的计算方法来分配所有指标给专业，四舍五入，尽量不做调整。主要依据是各专业本届学生人数。因计算误差导致的个别名额归属难以界定时，按照小数点后余数大者决定。特殊难以按计算决定的情况，由学院推免生遴选工作组决议。</w:t>
      </w:r>
    </w:p>
    <w:p w14:paraId="67EA37B5">
      <w:pPr>
        <w:spacing w:line="312" w:lineRule="auto"/>
        <w:rPr>
          <w:rFonts w:hint="eastAsia" w:ascii="黑体" w:hAnsi="黑体" w:eastAsia="黑体"/>
        </w:rPr>
      </w:pPr>
      <w:r>
        <w:rPr>
          <w:rFonts w:hint="eastAsia" w:ascii="黑体" w:hAnsi="黑体" w:eastAsia="黑体"/>
        </w:rPr>
        <w:t>五、有关工作及申请程序</w:t>
      </w:r>
    </w:p>
    <w:p w14:paraId="5367EA07">
      <w:pPr>
        <w:spacing w:line="312" w:lineRule="auto"/>
        <w:ind w:firstLine="420" w:firstLineChars="200"/>
        <w:rPr>
          <w:rFonts w:hint="eastAsia" w:asciiTheme="minorEastAsia" w:hAnsiTheme="minorEastAsia"/>
        </w:rPr>
      </w:pPr>
      <w:r>
        <w:rPr>
          <w:rFonts w:hint="eastAsia" w:asciiTheme="minorEastAsia" w:hAnsiTheme="minorEastAsia"/>
        </w:rPr>
        <w:t>（一）每年推免工作开始前，学院向学生公布本实施办法以及专业学分绩点排名。</w:t>
      </w:r>
    </w:p>
    <w:p w14:paraId="6DE54198">
      <w:pPr>
        <w:spacing w:line="312" w:lineRule="auto"/>
        <w:ind w:firstLine="420" w:firstLineChars="200"/>
        <w:rPr>
          <w:rFonts w:hint="eastAsia" w:asciiTheme="minorEastAsia" w:hAnsiTheme="minorEastAsia"/>
        </w:rPr>
      </w:pPr>
      <w:r>
        <w:rPr>
          <w:rFonts w:hint="eastAsia" w:asciiTheme="minorEastAsia" w:hAnsiTheme="minorEastAsia"/>
        </w:rPr>
        <w:t>（二）学校名额分配出台，符合推免生条件的学生必须向仪器与电子学院提出申请方可作为候选人。申请人应在规定的期限内填写《中北大学推荐免试攻读硕士学位研究生资格申请表》，并提交个人陈述、成绩单、英语四级或六级证书、公开发表的学术论文、出版物、获奖证书及其它可证明学术、实践成果的复印件等材料到教学科。教学科统计申请人加分，汇总综合评分排名，并将排名情况向全体申请人公布。</w:t>
      </w:r>
    </w:p>
    <w:p w14:paraId="71DCC998">
      <w:pPr>
        <w:spacing w:line="312" w:lineRule="auto"/>
        <w:ind w:firstLine="420" w:firstLineChars="200"/>
        <w:rPr>
          <w:rFonts w:hint="eastAsia" w:asciiTheme="minorEastAsia" w:hAnsiTheme="minorEastAsia"/>
        </w:rPr>
      </w:pPr>
      <w:r>
        <w:rPr>
          <w:rFonts w:hint="eastAsia" w:asciiTheme="minorEastAsia" w:hAnsiTheme="minorEastAsia"/>
        </w:rPr>
        <w:t>（三）学院推免生遴选工作组组织专家组对申请人论文、专利、成果及各类学科竞赛材料以及加分汇总情况进行审核认定，专家组成员不少于五人。</w:t>
      </w:r>
    </w:p>
    <w:p w14:paraId="325956B2">
      <w:pPr>
        <w:spacing w:line="312" w:lineRule="auto"/>
        <w:ind w:firstLine="420" w:firstLineChars="200"/>
        <w:rPr>
          <w:rFonts w:hint="eastAsia" w:asciiTheme="minorEastAsia" w:hAnsiTheme="minorEastAsia"/>
        </w:rPr>
      </w:pPr>
      <w:r>
        <w:rPr>
          <w:rFonts w:hint="eastAsia" w:asciiTheme="minorEastAsia" w:hAnsiTheme="minorEastAsia"/>
        </w:rPr>
        <w:t>（四）学院初步将审定的推荐学生名单在本学院内进行公示。根据公示期间反馈意见，确定本单位推荐生名单，并报送教务处。</w:t>
      </w:r>
    </w:p>
    <w:p w14:paraId="7A2763B0">
      <w:pPr>
        <w:spacing w:line="312" w:lineRule="auto"/>
        <w:ind w:firstLine="420" w:firstLineChars="200"/>
        <w:rPr>
          <w:rFonts w:hint="eastAsia" w:asciiTheme="minorEastAsia" w:hAnsiTheme="minorEastAsia"/>
        </w:rPr>
      </w:pPr>
      <w:r>
        <w:rPr>
          <w:rFonts w:hint="eastAsia" w:asciiTheme="minorEastAsia" w:hAnsiTheme="minorEastAsia"/>
        </w:rPr>
        <w:t>（五）教务处对各单位报送的推荐名单和相关材料进行汇总，报校推免生推荐工作领导小组审核、批准、公示。</w:t>
      </w:r>
    </w:p>
    <w:p w14:paraId="05DB0173">
      <w:pPr>
        <w:spacing w:line="312" w:lineRule="auto"/>
        <w:ind w:firstLine="420" w:firstLineChars="200"/>
        <w:rPr>
          <w:rFonts w:hint="eastAsia" w:asciiTheme="minorEastAsia" w:hAnsiTheme="minorEastAsia"/>
        </w:rPr>
      </w:pPr>
      <w:r>
        <w:rPr>
          <w:rFonts w:hint="eastAsia" w:asciiTheme="minorEastAsia" w:hAnsiTheme="minorEastAsia"/>
        </w:rPr>
        <w:t>（六）所有流程完毕，取得推免资格的学生根据学校和国家要求，按时填写相关信息系统并办理相关手续，否则推免无效。</w:t>
      </w:r>
    </w:p>
    <w:p w14:paraId="529782E2">
      <w:pPr>
        <w:spacing w:line="312" w:lineRule="auto"/>
        <w:ind w:firstLine="420" w:firstLineChars="200"/>
        <w:rPr>
          <w:rFonts w:hint="eastAsia" w:asciiTheme="minorEastAsia" w:hAnsiTheme="minorEastAsia"/>
        </w:rPr>
      </w:pPr>
      <w:r>
        <w:rPr>
          <w:rFonts w:hint="eastAsia" w:asciiTheme="minorEastAsia" w:hAnsiTheme="minorEastAsia"/>
        </w:rPr>
        <w:t>（七）根据学校整体进度要求的时间节点，所有推免生按照全国硕士生考试网上报名的要求，进行网上报名和办理现场确认手续。</w:t>
      </w:r>
    </w:p>
    <w:p w14:paraId="2317BB25">
      <w:pPr>
        <w:spacing w:line="312" w:lineRule="auto"/>
        <w:rPr>
          <w:rFonts w:hint="eastAsia" w:ascii="黑体" w:hAnsi="黑体" w:eastAsia="黑体"/>
        </w:rPr>
      </w:pPr>
      <w:r>
        <w:rPr>
          <w:rFonts w:hint="eastAsia" w:ascii="黑体" w:hAnsi="黑体" w:eastAsia="黑体"/>
        </w:rPr>
        <w:t>六、其它事项</w:t>
      </w:r>
    </w:p>
    <w:p w14:paraId="5D74C5E3">
      <w:pPr>
        <w:spacing w:line="312" w:lineRule="auto"/>
        <w:ind w:firstLine="420" w:firstLineChars="200"/>
        <w:rPr>
          <w:rFonts w:hint="eastAsia" w:asciiTheme="minorEastAsia" w:hAnsiTheme="minorEastAsia"/>
        </w:rPr>
      </w:pPr>
      <w:r>
        <w:rPr>
          <w:rFonts w:hint="eastAsia" w:asciiTheme="minorEastAsia" w:hAnsiTheme="minorEastAsia"/>
        </w:rPr>
        <w:t>（一）鼓励推免生申报我院相关专业。</w:t>
      </w:r>
    </w:p>
    <w:p w14:paraId="7D039347">
      <w:pPr>
        <w:spacing w:line="312" w:lineRule="auto"/>
        <w:ind w:firstLine="420" w:firstLineChars="200"/>
        <w:rPr>
          <w:rFonts w:hint="eastAsia" w:asciiTheme="minorEastAsia" w:hAnsiTheme="minorEastAsia"/>
          <w:color w:val="auto"/>
        </w:rPr>
      </w:pPr>
      <w:r>
        <w:rPr>
          <w:rFonts w:hint="eastAsia" w:asciiTheme="minorEastAsia" w:hAnsiTheme="minorEastAsia"/>
          <w:color w:val="auto"/>
        </w:rPr>
        <w:t>（二）综合</w:t>
      </w:r>
      <w:r>
        <w:rPr>
          <w:rFonts w:hint="eastAsia" w:asciiTheme="minorEastAsia" w:hAnsiTheme="minorEastAsia"/>
          <w:color w:val="auto"/>
          <w:lang w:val="en-US" w:eastAsia="zh-CN"/>
        </w:rPr>
        <w:t>评分</w:t>
      </w:r>
      <w:r>
        <w:rPr>
          <w:rFonts w:hint="eastAsia" w:asciiTheme="minorEastAsia" w:hAnsiTheme="minorEastAsia"/>
          <w:color w:val="auto"/>
        </w:rPr>
        <w:t>相同者，推荐平均学分绩点高者。</w:t>
      </w:r>
    </w:p>
    <w:p w14:paraId="4AA8651F">
      <w:pPr>
        <w:spacing w:line="312" w:lineRule="auto"/>
        <w:ind w:firstLine="420" w:firstLineChars="200"/>
        <w:rPr>
          <w:rFonts w:hint="eastAsia" w:asciiTheme="minorEastAsia" w:hAnsiTheme="minorEastAsia"/>
        </w:rPr>
      </w:pPr>
      <w:r>
        <w:rPr>
          <w:rFonts w:hint="eastAsia" w:asciiTheme="minorEastAsia" w:hAnsiTheme="minorEastAsia"/>
        </w:rPr>
        <w:t>（三）在校期间有参军入伍服兵役或到国际组织实习经历的，同等条件下优先推荐。</w:t>
      </w:r>
    </w:p>
    <w:p w14:paraId="3FB2995C">
      <w:pPr>
        <w:spacing w:line="312" w:lineRule="auto"/>
        <w:ind w:firstLine="420" w:firstLineChars="200"/>
        <w:rPr>
          <w:rFonts w:hint="eastAsia" w:asciiTheme="minorEastAsia" w:hAnsiTheme="minorEastAsia"/>
        </w:rPr>
      </w:pPr>
      <w:r>
        <w:rPr>
          <w:rFonts w:hint="eastAsia" w:asciiTheme="minorEastAsia" w:hAnsiTheme="minorEastAsia"/>
        </w:rPr>
        <w:t>（</w:t>
      </w:r>
      <w:r>
        <w:rPr>
          <w:rFonts w:hint="eastAsia" w:asciiTheme="minorEastAsia" w:hAnsiTheme="minorEastAsia"/>
          <w:lang w:val="en-US" w:eastAsia="zh-CN"/>
        </w:rPr>
        <w:t>四</w:t>
      </w:r>
      <w:r>
        <w:rPr>
          <w:rFonts w:hint="eastAsia" w:asciiTheme="minorEastAsia" w:hAnsiTheme="minorEastAsia"/>
        </w:rPr>
        <w:t>）推免生出现下列情况之一的，取消其推荐资格并视情节轻重追究有关人员的责任：</w:t>
      </w:r>
    </w:p>
    <w:p w14:paraId="1CC6634E">
      <w:pPr>
        <w:spacing w:line="312" w:lineRule="auto"/>
        <w:ind w:firstLine="420" w:firstLineChars="200"/>
        <w:rPr>
          <w:rFonts w:hint="eastAsia" w:asciiTheme="minorEastAsia" w:hAnsiTheme="minorEastAsia"/>
        </w:rPr>
      </w:pPr>
      <w:r>
        <w:rPr>
          <w:rFonts w:hint="eastAsia" w:asciiTheme="minorEastAsia" w:hAnsiTheme="minorEastAsia"/>
        </w:rPr>
        <w:t>1. 经核实，在推免及接收过程中弄虚作假，及存在学术不端行为者；</w:t>
      </w:r>
    </w:p>
    <w:p w14:paraId="719762BF">
      <w:pPr>
        <w:spacing w:line="312" w:lineRule="auto"/>
        <w:ind w:firstLine="420" w:firstLineChars="200"/>
        <w:rPr>
          <w:rFonts w:hint="eastAsia" w:asciiTheme="minorEastAsia" w:hAnsiTheme="minorEastAsia"/>
        </w:rPr>
      </w:pPr>
      <w:r>
        <w:rPr>
          <w:rFonts w:hint="eastAsia" w:asciiTheme="minorEastAsia" w:hAnsiTheme="minorEastAsia"/>
        </w:rPr>
        <w:t>2. 本科毕业时，未获得学士学位者；</w:t>
      </w:r>
    </w:p>
    <w:p w14:paraId="09C4D584">
      <w:pPr>
        <w:spacing w:line="312" w:lineRule="auto"/>
        <w:ind w:firstLine="420" w:firstLineChars="200"/>
        <w:rPr>
          <w:rFonts w:hint="eastAsia" w:asciiTheme="minorEastAsia" w:hAnsiTheme="minorEastAsia"/>
        </w:rPr>
      </w:pPr>
      <w:r>
        <w:rPr>
          <w:rFonts w:hint="eastAsia" w:asciiTheme="minorEastAsia" w:hAnsiTheme="minorEastAsia"/>
        </w:rPr>
        <w:t>3. 取得推免生资格又参加全国硕士研究生招生统一入学考试者；</w:t>
      </w:r>
    </w:p>
    <w:p w14:paraId="3AC1553E">
      <w:pPr>
        <w:spacing w:line="312" w:lineRule="auto"/>
        <w:ind w:firstLine="420" w:firstLineChars="200"/>
        <w:rPr>
          <w:rFonts w:hint="eastAsia" w:asciiTheme="minorEastAsia" w:hAnsiTheme="minorEastAsia"/>
        </w:rPr>
      </w:pPr>
      <w:r>
        <w:rPr>
          <w:rFonts w:hint="eastAsia" w:asciiTheme="minorEastAsia" w:hAnsiTheme="minorEastAsia"/>
        </w:rPr>
        <w:t>（</w:t>
      </w:r>
      <w:r>
        <w:rPr>
          <w:rFonts w:hint="eastAsia" w:asciiTheme="minorEastAsia" w:hAnsiTheme="minorEastAsia"/>
          <w:lang w:val="en-US" w:eastAsia="zh-CN"/>
        </w:rPr>
        <w:t>五</w:t>
      </w:r>
      <w:r>
        <w:rPr>
          <w:rFonts w:hint="eastAsia" w:asciiTheme="minorEastAsia" w:hAnsiTheme="minorEastAsia"/>
        </w:rPr>
        <w:t>）畅通推免咨询、监督与申诉渠道。学生如对推免工作任何环节存在异议的，应根据具体事宜形成书面材料，向学院推免生遴选工作组提请申诉，学院将根据调查事实及时回应和处理。联系电话：0</w:t>
      </w:r>
      <w:r>
        <w:rPr>
          <w:rFonts w:asciiTheme="minorEastAsia" w:hAnsiTheme="minorEastAsia"/>
        </w:rPr>
        <w:t>351-3922457。</w:t>
      </w:r>
    </w:p>
    <w:p w14:paraId="141E368D">
      <w:pPr>
        <w:spacing w:line="312" w:lineRule="auto"/>
        <w:ind w:firstLine="420" w:firstLineChars="200"/>
        <w:rPr>
          <w:rFonts w:hint="eastAsia" w:asciiTheme="minorEastAsia" w:hAnsiTheme="minorEastAsia"/>
        </w:rPr>
      </w:pPr>
      <w:r>
        <w:rPr>
          <w:rFonts w:hint="eastAsia" w:asciiTheme="minorEastAsia" w:hAnsiTheme="minorEastAsia"/>
        </w:rPr>
        <w:t>（</w:t>
      </w:r>
      <w:r>
        <w:rPr>
          <w:rFonts w:hint="eastAsia" w:asciiTheme="minorEastAsia" w:hAnsiTheme="minorEastAsia"/>
          <w:lang w:val="en-US" w:eastAsia="zh-CN"/>
        </w:rPr>
        <w:t>六</w:t>
      </w:r>
      <w:r>
        <w:rPr>
          <w:rFonts w:hint="eastAsia" w:asciiTheme="minorEastAsia" w:hAnsiTheme="minorEastAsia"/>
        </w:rPr>
        <w:t>）本文件可能根据当年度学校文件要求做出适应性调整。</w:t>
      </w:r>
    </w:p>
    <w:p w14:paraId="64847279">
      <w:pPr>
        <w:spacing w:line="312" w:lineRule="auto"/>
        <w:ind w:firstLine="420" w:firstLineChars="200"/>
        <w:rPr>
          <w:rFonts w:hint="eastAsia" w:asciiTheme="minorEastAsia" w:hAnsiTheme="minorEastAsia"/>
        </w:rPr>
      </w:pPr>
      <w:r>
        <w:rPr>
          <w:rFonts w:hint="eastAsia" w:asciiTheme="minorEastAsia" w:hAnsiTheme="minorEastAsia"/>
        </w:rPr>
        <w:t>（</w:t>
      </w:r>
      <w:r>
        <w:rPr>
          <w:rFonts w:hint="eastAsia" w:asciiTheme="minorEastAsia" w:hAnsiTheme="minorEastAsia"/>
          <w:lang w:val="en-US" w:eastAsia="zh-CN"/>
        </w:rPr>
        <w:t>七</w:t>
      </w:r>
      <w:r>
        <w:rPr>
          <w:rFonts w:hint="eastAsia" w:asciiTheme="minorEastAsia" w:hAnsiTheme="minorEastAsia"/>
        </w:rPr>
        <w:t>）本实施办法解释权在院推免生遴选工作组。</w:t>
      </w:r>
    </w:p>
    <w:p w14:paraId="5C730AE7">
      <w:pPr>
        <w:spacing w:line="312" w:lineRule="auto"/>
        <w:ind w:firstLine="420" w:firstLineChars="200"/>
        <w:rPr>
          <w:rFonts w:hint="eastAsia" w:asciiTheme="minorEastAsia" w:hAnsiTheme="minorEastAsia"/>
        </w:rPr>
      </w:pPr>
    </w:p>
    <w:p w14:paraId="11C62FA4">
      <w:pPr>
        <w:spacing w:line="312" w:lineRule="auto"/>
        <w:ind w:firstLine="5040" w:firstLineChars="2400"/>
        <w:rPr>
          <w:rFonts w:hint="eastAsia" w:asciiTheme="minorEastAsia" w:hAnsiTheme="minorEastAsia"/>
        </w:rPr>
      </w:pPr>
      <w:r>
        <w:rPr>
          <w:rFonts w:hint="eastAsia" w:asciiTheme="minorEastAsia" w:hAnsiTheme="minorEastAsia"/>
        </w:rPr>
        <w:t>中北大学仪器与电子学院</w:t>
      </w:r>
    </w:p>
    <w:p w14:paraId="701562CC">
      <w:pPr>
        <w:spacing w:line="312" w:lineRule="auto"/>
        <w:ind w:firstLine="5250" w:firstLineChars="2500"/>
        <w:rPr>
          <w:rFonts w:hint="eastAsia" w:asciiTheme="minorEastAsia" w:hAnsiTheme="minorEastAsia"/>
        </w:rPr>
      </w:pPr>
      <w:r>
        <w:rPr>
          <w:rFonts w:hint="eastAsia" w:asciiTheme="minorEastAsia" w:hAnsiTheme="minorEastAsia"/>
        </w:rPr>
        <w:t>二〇二</w:t>
      </w:r>
      <w:r>
        <w:rPr>
          <w:rFonts w:hint="eastAsia" w:asciiTheme="minorEastAsia" w:hAnsiTheme="minorEastAsia"/>
          <w:lang w:val="en-US" w:eastAsia="zh-CN"/>
        </w:rPr>
        <w:t>五</w:t>
      </w:r>
      <w:r>
        <w:rPr>
          <w:rFonts w:hint="eastAsia" w:asciiTheme="minorEastAsia" w:hAnsiTheme="minorEastAsia"/>
        </w:rPr>
        <w:t>年二月修订</w:t>
      </w:r>
    </w:p>
    <w:p w14:paraId="0EDE92C4">
      <w:pPr>
        <w:widowControl/>
        <w:jc w:val="left"/>
        <w:rPr>
          <w:rFonts w:hint="eastAsia" w:asciiTheme="minorEastAsia" w:hAnsiTheme="minorEastAsia"/>
        </w:rPr>
      </w:pPr>
      <w:r>
        <w:rPr>
          <w:rFonts w:asciiTheme="minorEastAsia" w:hAnsiTheme="minorEastAsia"/>
        </w:rPr>
        <w:br w:type="page"/>
      </w:r>
    </w:p>
    <w:p w14:paraId="1A75E21C">
      <w:pPr>
        <w:pStyle w:val="9"/>
        <w:snapToGrid w:val="0"/>
        <w:spacing w:line="360" w:lineRule="auto"/>
        <w:ind w:left="136" w:right="129"/>
        <w:jc w:val="left"/>
        <w:rPr>
          <w:rFonts w:hint="eastAsia" w:ascii="楷体" w:hAnsi="楷体" w:eastAsia="楷体" w:cs="楷体"/>
          <w:b/>
          <w:kern w:val="0"/>
          <w:szCs w:val="21"/>
          <w:lang w:val="en-US"/>
        </w:rPr>
      </w:pPr>
    </w:p>
    <w:p w14:paraId="5AE28B63">
      <w:pPr>
        <w:pStyle w:val="9"/>
        <w:snapToGrid w:val="0"/>
        <w:spacing w:line="360" w:lineRule="auto"/>
        <w:ind w:left="136" w:right="129"/>
        <w:jc w:val="left"/>
        <w:rPr>
          <w:rFonts w:hint="eastAsia" w:ascii="楷体" w:hAnsi="楷体" w:eastAsia="楷体" w:cs="楷体"/>
          <w:b/>
          <w:kern w:val="0"/>
          <w:szCs w:val="21"/>
          <w:lang w:val="en-US"/>
        </w:rPr>
      </w:pPr>
      <w:r>
        <w:rPr>
          <w:rFonts w:hint="eastAsia" w:ascii="楷体" w:hAnsi="楷体" w:eastAsia="楷体" w:cs="楷体"/>
          <w:b/>
          <w:kern w:val="0"/>
          <w:szCs w:val="21"/>
          <w:lang w:val="en-US"/>
        </w:rPr>
        <w:t>附件一 ：推免生 “ 创新能力分 ” 附加分</w:t>
      </w:r>
    </w:p>
    <w:p w14:paraId="2163A48A">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1、以第一作者发表学术论文并被 SCI 收录记 0.1 分/项（学生与直系亲属或学历、职称、职务明显高于本人者合作的科研成果、</w:t>
      </w:r>
      <w:r>
        <w:rPr>
          <w:rFonts w:hint="eastAsia" w:ascii="楷体" w:hAnsi="楷体" w:eastAsia="楷体" w:cs="楷体"/>
          <w:kern w:val="0"/>
          <w:szCs w:val="21"/>
          <w:lang w:val="en-US" w:eastAsia="zh-CN"/>
        </w:rPr>
        <w:t>论文，</w:t>
      </w:r>
      <w:r>
        <w:rPr>
          <w:rFonts w:hint="eastAsia" w:ascii="楷体" w:hAnsi="楷体" w:eastAsia="楷体" w:cs="楷体"/>
          <w:kern w:val="0"/>
          <w:szCs w:val="21"/>
          <w:lang w:val="en-US"/>
        </w:rPr>
        <w:t>不纳入遴选指标成绩计算体系，同等条件下可优先考虑。）；</w:t>
      </w:r>
      <w:r>
        <w:rPr>
          <w:rFonts w:ascii="楷体" w:hAnsi="楷体" w:eastAsia="楷体" w:cs="楷体"/>
          <w:kern w:val="0"/>
          <w:szCs w:val="21"/>
          <w:lang w:val="en-US"/>
        </w:rPr>
        <w:t xml:space="preserve"> </w:t>
      </w:r>
    </w:p>
    <w:p w14:paraId="7EEA0DBD">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2、获省部级科技成果二等奖以上取前三名，按名次分别记 0.</w:t>
      </w:r>
      <w:r>
        <w:rPr>
          <w:rFonts w:ascii="楷体" w:hAnsi="楷体" w:eastAsia="楷体" w:cs="楷体"/>
          <w:kern w:val="0"/>
          <w:szCs w:val="21"/>
          <w:lang w:val="en-US"/>
        </w:rPr>
        <w:t>15</w:t>
      </w:r>
      <w:r>
        <w:rPr>
          <w:rFonts w:hint="eastAsia" w:ascii="楷体" w:hAnsi="楷体" w:eastAsia="楷体" w:cs="楷体"/>
          <w:kern w:val="0"/>
          <w:szCs w:val="21"/>
          <w:lang w:val="en-US"/>
        </w:rPr>
        <w:t>、0.</w:t>
      </w:r>
      <w:r>
        <w:rPr>
          <w:rFonts w:ascii="楷体" w:hAnsi="楷体" w:eastAsia="楷体" w:cs="楷体"/>
          <w:kern w:val="0"/>
          <w:szCs w:val="21"/>
          <w:lang w:val="en-US"/>
        </w:rPr>
        <w:t>1</w:t>
      </w:r>
      <w:r>
        <w:rPr>
          <w:rFonts w:hint="eastAsia" w:ascii="楷体" w:hAnsi="楷体" w:eastAsia="楷体" w:cs="楷体"/>
          <w:kern w:val="0"/>
          <w:szCs w:val="21"/>
          <w:lang w:val="en-US"/>
        </w:rPr>
        <w:t>、0.</w:t>
      </w:r>
      <w:r>
        <w:rPr>
          <w:rFonts w:ascii="楷体" w:hAnsi="楷体" w:eastAsia="楷体" w:cs="楷体"/>
          <w:kern w:val="0"/>
          <w:szCs w:val="21"/>
          <w:lang w:val="en-US"/>
        </w:rPr>
        <w:t>05</w:t>
      </w:r>
      <w:r>
        <w:rPr>
          <w:rFonts w:hint="eastAsia" w:ascii="楷体" w:hAnsi="楷体" w:eastAsia="楷体" w:cs="楷体"/>
          <w:kern w:val="0"/>
          <w:szCs w:val="21"/>
          <w:lang w:val="en-US"/>
        </w:rPr>
        <w:t>分/项；</w:t>
      </w:r>
    </w:p>
    <w:p w14:paraId="61B5852D">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3、以负责人身份申请并完成大学生创新创业训练项目，国家级记 0.</w:t>
      </w:r>
      <w:r>
        <w:rPr>
          <w:rFonts w:ascii="楷体" w:hAnsi="楷体" w:eastAsia="楷体" w:cs="楷体"/>
          <w:kern w:val="0"/>
          <w:szCs w:val="21"/>
          <w:lang w:val="en-US"/>
        </w:rPr>
        <w:t>15</w:t>
      </w:r>
      <w:r>
        <w:rPr>
          <w:rFonts w:hint="eastAsia" w:ascii="楷体" w:hAnsi="楷体" w:eastAsia="楷体" w:cs="楷体"/>
          <w:kern w:val="0"/>
          <w:szCs w:val="21"/>
          <w:lang w:val="en-US"/>
        </w:rPr>
        <w:t>分/项,省级记 0.1分/项；</w:t>
      </w:r>
    </w:p>
    <w:p w14:paraId="04C51975">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4、以第一发明人授权发明专利，记 0.</w:t>
      </w:r>
      <w:r>
        <w:rPr>
          <w:rFonts w:hint="eastAsia" w:ascii="楷体" w:hAnsi="楷体" w:eastAsia="楷体" w:cs="楷体"/>
          <w:kern w:val="0"/>
          <w:szCs w:val="21"/>
          <w:lang w:val="en-US" w:eastAsia="zh-CN"/>
        </w:rPr>
        <w:t>1</w:t>
      </w:r>
      <w:r>
        <w:rPr>
          <w:rFonts w:hint="eastAsia" w:ascii="楷体" w:hAnsi="楷体" w:eastAsia="楷体" w:cs="楷体"/>
          <w:kern w:val="0"/>
          <w:szCs w:val="21"/>
          <w:lang w:val="en-US"/>
        </w:rPr>
        <w:t>分/项</w:t>
      </w:r>
      <w:r>
        <w:rPr>
          <w:rFonts w:hint="eastAsia" w:ascii="楷体" w:hAnsi="楷体" w:eastAsia="楷体" w:cs="楷体"/>
          <w:kern w:val="0"/>
          <w:szCs w:val="21"/>
          <w:lang w:val="en-US" w:eastAsia="zh-CN"/>
        </w:rPr>
        <w:t>(</w:t>
      </w:r>
      <w:r>
        <w:rPr>
          <w:rFonts w:hint="eastAsia" w:ascii="楷体" w:hAnsi="楷体" w:eastAsia="楷体" w:cs="楷体"/>
          <w:kern w:val="0"/>
          <w:szCs w:val="21"/>
          <w:lang w:val="en-US"/>
        </w:rPr>
        <w:t>学生与直系亲属或学历、职称、职务明显高于本人者合作的科研成果仅作为参考，不纳入遴选指标成绩计算体系，同等条件下可优先考虑。</w:t>
      </w:r>
      <w:r>
        <w:rPr>
          <w:rFonts w:hint="eastAsia" w:ascii="楷体" w:hAnsi="楷体" w:eastAsia="楷体" w:cs="楷体"/>
          <w:kern w:val="0"/>
          <w:szCs w:val="21"/>
          <w:lang w:val="en-US" w:eastAsia="zh-CN"/>
        </w:rPr>
        <w:t>)</w:t>
      </w:r>
      <w:r>
        <w:rPr>
          <w:rFonts w:hint="eastAsia" w:ascii="楷体" w:hAnsi="楷体" w:eastAsia="楷体" w:cs="楷体"/>
          <w:kern w:val="0"/>
          <w:szCs w:val="21"/>
          <w:lang w:val="en-US"/>
        </w:rPr>
        <w:t xml:space="preserve">； </w:t>
      </w:r>
    </w:p>
    <w:p w14:paraId="6F84FA1E">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5、参加学科竞赛获奖，每类每项加分如下：</w:t>
      </w:r>
    </w:p>
    <w:tbl>
      <w:tblPr>
        <w:tblStyle w:val="5"/>
        <w:tblW w:w="9060" w:type="dxa"/>
        <w:tblInd w:w="93" w:type="dxa"/>
        <w:tblLayout w:type="autofit"/>
        <w:tblCellMar>
          <w:top w:w="0" w:type="dxa"/>
          <w:left w:w="108" w:type="dxa"/>
          <w:bottom w:w="0" w:type="dxa"/>
          <w:right w:w="108" w:type="dxa"/>
        </w:tblCellMar>
      </w:tblPr>
      <w:tblGrid>
        <w:gridCol w:w="774"/>
        <w:gridCol w:w="1412"/>
        <w:gridCol w:w="4376"/>
        <w:gridCol w:w="1430"/>
        <w:gridCol w:w="1068"/>
      </w:tblGrid>
      <w:tr w14:paraId="1D216E92">
        <w:tblPrEx>
          <w:tblCellMar>
            <w:top w:w="0" w:type="dxa"/>
            <w:left w:w="108" w:type="dxa"/>
            <w:bottom w:w="0" w:type="dxa"/>
            <w:right w:w="108" w:type="dxa"/>
          </w:tblCellMar>
        </w:tblPrEx>
        <w:trPr>
          <w:trHeight w:val="300" w:hRule="atLeast"/>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D7BC">
            <w:pPr>
              <w:widowControl/>
              <w:jc w:val="center"/>
              <w:textAlignment w:val="center"/>
              <w:rPr>
                <w:rFonts w:hint="eastAsia" w:ascii="楷体" w:hAnsi="楷体" w:eastAsia="楷体" w:cs="楷体"/>
                <w:color w:val="000000"/>
                <w:szCs w:val="21"/>
              </w:rPr>
            </w:pPr>
            <w:r>
              <w:rPr>
                <w:rStyle w:val="10"/>
                <w:rFonts w:hint="eastAsia"/>
                <w:sz w:val="21"/>
                <w:szCs w:val="21"/>
                <w:lang w:bidi="ar"/>
              </w:rPr>
              <w:t>序号</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8F7B">
            <w:pPr>
              <w:widowControl/>
              <w:jc w:val="center"/>
              <w:textAlignment w:val="center"/>
              <w:rPr>
                <w:rFonts w:hint="eastAsia" w:ascii="楷体" w:hAnsi="楷体" w:eastAsia="楷体" w:cs="楷体"/>
                <w:color w:val="000000"/>
                <w:szCs w:val="21"/>
              </w:rPr>
            </w:pPr>
            <w:r>
              <w:rPr>
                <w:rStyle w:val="10"/>
                <w:rFonts w:hint="eastAsia"/>
                <w:sz w:val="21"/>
                <w:szCs w:val="21"/>
                <w:lang w:bidi="ar"/>
              </w:rPr>
              <w:t>分类</w:t>
            </w: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2B57">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竞赛名称</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B7521">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奖项</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15F8">
            <w:pPr>
              <w:widowControl/>
              <w:jc w:val="center"/>
              <w:textAlignment w:val="center"/>
              <w:rPr>
                <w:rFonts w:hint="eastAsia" w:ascii="楷体" w:hAnsi="楷体" w:eastAsia="楷体" w:cs="楷体"/>
                <w:color w:val="000000"/>
                <w:szCs w:val="21"/>
              </w:rPr>
            </w:pPr>
            <w:r>
              <w:rPr>
                <w:rStyle w:val="10"/>
                <w:rFonts w:hint="eastAsia"/>
                <w:sz w:val="21"/>
                <w:szCs w:val="21"/>
                <w:lang w:bidi="ar"/>
              </w:rPr>
              <w:t>加分</w:t>
            </w:r>
          </w:p>
        </w:tc>
      </w:tr>
      <w:tr w14:paraId="7955309C">
        <w:tblPrEx>
          <w:tblCellMar>
            <w:top w:w="0" w:type="dxa"/>
            <w:left w:w="108" w:type="dxa"/>
            <w:bottom w:w="0" w:type="dxa"/>
            <w:right w:w="108" w:type="dxa"/>
          </w:tblCellMar>
        </w:tblPrEx>
        <w:trPr>
          <w:trHeight w:val="300" w:hRule="atLeast"/>
        </w:trPr>
        <w:tc>
          <w:tcPr>
            <w:tcW w:w="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FFC64">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1</w:t>
            </w:r>
          </w:p>
        </w:tc>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F80AE">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A+</w:t>
            </w:r>
          </w:p>
        </w:tc>
        <w:tc>
          <w:tcPr>
            <w:tcW w:w="4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30FDB1">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szCs w:val="21"/>
              </w:rPr>
              <w:t>“挑战杯”大学生课外学术科技作品竞赛；</w:t>
            </w:r>
          </w:p>
          <w:p w14:paraId="53F40812">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szCs w:val="21"/>
              </w:rPr>
              <w:t>中国国际大学生创新大赛；</w:t>
            </w:r>
          </w:p>
          <w:p w14:paraId="76E39134">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szCs w:val="21"/>
              </w:rPr>
              <w:t>（包含二者的专项赛道）</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C775">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全国金奖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B9C5">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0.4</w:t>
            </w:r>
          </w:p>
        </w:tc>
      </w:tr>
      <w:tr w14:paraId="206F0B50">
        <w:tblPrEx>
          <w:tblCellMar>
            <w:top w:w="0" w:type="dxa"/>
            <w:left w:w="108" w:type="dxa"/>
            <w:bottom w:w="0" w:type="dxa"/>
            <w:right w:w="108" w:type="dxa"/>
          </w:tblCellMar>
        </w:tblPrEx>
        <w:trPr>
          <w:trHeight w:val="300"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EC88A">
            <w:pPr>
              <w:jc w:val="center"/>
              <w:rPr>
                <w:rFonts w:hint="eastAsia" w:ascii="楷体" w:hAnsi="楷体" w:eastAsia="楷体" w:cs="楷体"/>
                <w:color w:val="000000"/>
                <w:szCs w:val="21"/>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39F40">
            <w:pPr>
              <w:jc w:val="center"/>
              <w:rPr>
                <w:rFonts w:hint="eastAsia" w:ascii="楷体" w:hAnsi="楷体" w:eastAsia="楷体" w:cs="楷体"/>
                <w:color w:val="000000"/>
                <w:szCs w:val="21"/>
              </w:rPr>
            </w:pPr>
          </w:p>
        </w:tc>
        <w:tc>
          <w:tcPr>
            <w:tcW w:w="4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D9C53">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21C9F">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全国银奖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E61C">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0.3</w:t>
            </w:r>
          </w:p>
        </w:tc>
      </w:tr>
      <w:tr w14:paraId="1F87F5F2">
        <w:tblPrEx>
          <w:tblCellMar>
            <w:top w:w="0" w:type="dxa"/>
            <w:left w:w="108" w:type="dxa"/>
            <w:bottom w:w="0" w:type="dxa"/>
            <w:right w:w="108" w:type="dxa"/>
          </w:tblCellMar>
        </w:tblPrEx>
        <w:trPr>
          <w:trHeight w:val="300"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E9246">
            <w:pPr>
              <w:jc w:val="center"/>
              <w:rPr>
                <w:rFonts w:hint="eastAsia" w:ascii="楷体" w:hAnsi="楷体" w:eastAsia="楷体" w:cs="楷体"/>
                <w:color w:val="000000"/>
                <w:szCs w:val="21"/>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99531">
            <w:pPr>
              <w:jc w:val="center"/>
              <w:rPr>
                <w:rFonts w:hint="eastAsia" w:ascii="楷体" w:hAnsi="楷体" w:eastAsia="楷体" w:cs="楷体"/>
                <w:color w:val="000000"/>
                <w:szCs w:val="21"/>
              </w:rPr>
            </w:pPr>
          </w:p>
        </w:tc>
        <w:tc>
          <w:tcPr>
            <w:tcW w:w="4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86653">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3864">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全国铜奖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CE30">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0.2</w:t>
            </w:r>
          </w:p>
        </w:tc>
      </w:tr>
      <w:tr w14:paraId="4296D29A">
        <w:tblPrEx>
          <w:tblCellMar>
            <w:top w:w="0" w:type="dxa"/>
            <w:left w:w="108" w:type="dxa"/>
            <w:bottom w:w="0" w:type="dxa"/>
            <w:right w:w="108" w:type="dxa"/>
          </w:tblCellMar>
        </w:tblPrEx>
        <w:trPr>
          <w:trHeight w:val="300"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4260D">
            <w:pPr>
              <w:jc w:val="center"/>
              <w:rPr>
                <w:rFonts w:hint="eastAsia" w:ascii="楷体" w:hAnsi="楷体" w:eastAsia="楷体" w:cs="楷体"/>
                <w:color w:val="000000"/>
                <w:szCs w:val="21"/>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25F9E">
            <w:pPr>
              <w:jc w:val="center"/>
              <w:rPr>
                <w:rFonts w:hint="eastAsia" w:ascii="楷体" w:hAnsi="楷体" w:eastAsia="楷体" w:cs="楷体"/>
                <w:color w:val="000000"/>
                <w:szCs w:val="21"/>
              </w:rPr>
            </w:pPr>
          </w:p>
        </w:tc>
        <w:tc>
          <w:tcPr>
            <w:tcW w:w="4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C7308">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AC84">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省级金奖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9F9F">
            <w:pPr>
              <w:widowControl/>
              <w:jc w:val="center"/>
              <w:textAlignment w:val="center"/>
              <w:rPr>
                <w:rFonts w:hint="eastAsia" w:ascii="楷体" w:hAnsi="楷体" w:eastAsia="楷体" w:cs="楷体"/>
                <w:color w:val="FF0000"/>
                <w:szCs w:val="21"/>
              </w:rPr>
            </w:pPr>
            <w:r>
              <w:rPr>
                <w:rFonts w:hint="eastAsia" w:ascii="楷体" w:hAnsi="楷体" w:eastAsia="楷体" w:cs="楷体"/>
                <w:color w:val="000000"/>
                <w:kern w:val="0"/>
                <w:szCs w:val="21"/>
                <w:lang w:bidi="ar"/>
              </w:rPr>
              <w:t>0.15</w:t>
            </w:r>
          </w:p>
        </w:tc>
      </w:tr>
      <w:tr w14:paraId="7E1BDC0B">
        <w:tblPrEx>
          <w:tblCellMar>
            <w:top w:w="0" w:type="dxa"/>
            <w:left w:w="108" w:type="dxa"/>
            <w:bottom w:w="0" w:type="dxa"/>
            <w:right w:w="108" w:type="dxa"/>
          </w:tblCellMar>
        </w:tblPrEx>
        <w:trPr>
          <w:trHeight w:val="300"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166A3">
            <w:pPr>
              <w:jc w:val="center"/>
              <w:rPr>
                <w:rFonts w:hint="eastAsia" w:ascii="楷体" w:hAnsi="楷体" w:eastAsia="楷体" w:cs="楷体"/>
                <w:color w:val="000000"/>
                <w:szCs w:val="21"/>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89786">
            <w:pPr>
              <w:jc w:val="center"/>
              <w:rPr>
                <w:rFonts w:hint="eastAsia" w:ascii="楷体" w:hAnsi="楷体" w:eastAsia="楷体" w:cs="楷体"/>
                <w:color w:val="000000"/>
                <w:szCs w:val="21"/>
              </w:rPr>
            </w:pPr>
          </w:p>
        </w:tc>
        <w:tc>
          <w:tcPr>
            <w:tcW w:w="4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B03D0">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FBB6">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省级银奖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ADD6">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0.05</w:t>
            </w:r>
          </w:p>
        </w:tc>
      </w:tr>
      <w:tr w14:paraId="7D00DE69">
        <w:tblPrEx>
          <w:tblCellMar>
            <w:top w:w="0" w:type="dxa"/>
            <w:left w:w="108" w:type="dxa"/>
            <w:bottom w:w="0" w:type="dxa"/>
            <w:right w:w="108" w:type="dxa"/>
          </w:tblCellMar>
        </w:tblPrEx>
        <w:trPr>
          <w:trHeight w:val="312" w:hRule="atLeast"/>
        </w:trPr>
        <w:tc>
          <w:tcPr>
            <w:tcW w:w="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1D76B">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2</w:t>
            </w:r>
          </w:p>
        </w:tc>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6597D">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A</w:t>
            </w:r>
            <w:r>
              <w:rPr>
                <w:rFonts w:ascii="楷体" w:hAnsi="楷体" w:eastAsia="楷体" w:cs="楷体"/>
                <w:color w:val="000000"/>
                <w:kern w:val="0"/>
                <w:szCs w:val="21"/>
                <w:lang w:bidi="ar"/>
              </w:rPr>
              <w:t>(</w:t>
            </w:r>
            <w:r>
              <w:rPr>
                <w:rFonts w:hint="eastAsia" w:ascii="楷体" w:hAnsi="楷体" w:eastAsia="楷体" w:cs="楷体"/>
                <w:color w:val="000000"/>
                <w:kern w:val="0"/>
                <w:szCs w:val="21"/>
                <w:lang w:bidi="ar"/>
              </w:rPr>
              <w:t>学院承办</w:t>
            </w:r>
            <w:r>
              <w:rPr>
                <w:rFonts w:ascii="楷体" w:hAnsi="楷体" w:eastAsia="楷体" w:cs="楷体"/>
                <w:color w:val="000000"/>
                <w:kern w:val="0"/>
                <w:szCs w:val="21"/>
                <w:lang w:bidi="ar"/>
              </w:rPr>
              <w:t>)</w:t>
            </w:r>
          </w:p>
        </w:tc>
        <w:tc>
          <w:tcPr>
            <w:tcW w:w="4376" w:type="dxa"/>
            <w:vMerge w:val="restart"/>
            <w:tcBorders>
              <w:top w:val="single" w:color="000000" w:sz="4" w:space="0"/>
              <w:left w:val="single" w:color="000000" w:sz="4" w:space="0"/>
              <w:right w:val="single" w:color="000000" w:sz="4" w:space="0"/>
            </w:tcBorders>
            <w:shd w:val="clear" w:color="auto" w:fill="auto"/>
            <w:vAlign w:val="center"/>
          </w:tcPr>
          <w:p w14:paraId="7A139DB7">
            <w:pPr>
              <w:widowControl/>
              <w:jc w:val="center"/>
              <w:textAlignment w:val="center"/>
              <w:rPr>
                <w:rFonts w:hint="eastAsia" w:ascii="楷体" w:hAnsi="楷体" w:eastAsia="楷体" w:cs="楷体"/>
                <w:color w:val="000000"/>
                <w:kern w:val="0"/>
                <w:szCs w:val="21"/>
                <w:lang w:bidi="ar"/>
              </w:rPr>
            </w:pPr>
            <w:r>
              <w:rPr>
                <w:rFonts w:hint="eastAsia" w:ascii="楷体" w:hAnsi="楷体" w:eastAsia="楷体" w:cs="楷体"/>
                <w:color w:val="000000"/>
                <w:kern w:val="0"/>
                <w:szCs w:val="21"/>
                <w:lang w:bidi="ar"/>
              </w:rPr>
              <w:t>全国大学生机器人大赛</w:t>
            </w:r>
            <w:r>
              <w:rPr>
                <w:rStyle w:val="11"/>
                <w:rFonts w:hint="eastAsia" w:ascii="楷体" w:hAnsi="楷体" w:eastAsia="楷体" w:cs="楷体"/>
                <w:sz w:val="21"/>
                <w:szCs w:val="21"/>
                <w:lang w:bidi="ar"/>
              </w:rPr>
              <w:t>-RoboMaster</w:t>
            </w:r>
            <w:r>
              <w:rPr>
                <w:rStyle w:val="10"/>
                <w:rFonts w:hint="eastAsia"/>
                <w:sz w:val="21"/>
                <w:szCs w:val="21"/>
                <w:lang w:bidi="ar"/>
              </w:rPr>
              <w:t>、</w:t>
            </w:r>
            <w:r>
              <w:rPr>
                <w:rStyle w:val="11"/>
                <w:rFonts w:hint="eastAsia" w:ascii="楷体" w:hAnsi="楷体" w:eastAsia="楷体" w:cs="楷体"/>
                <w:sz w:val="21"/>
                <w:szCs w:val="21"/>
                <w:lang w:bidi="ar"/>
              </w:rPr>
              <w:t>RoboCon、Robotac；</w:t>
            </w:r>
          </w:p>
          <w:p w14:paraId="701FE3DD">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中国机器人大赛暨</w:t>
            </w:r>
            <w:r>
              <w:rPr>
                <w:rStyle w:val="11"/>
                <w:rFonts w:hint="eastAsia" w:ascii="楷体" w:hAnsi="楷体" w:eastAsia="楷体" w:cs="楷体"/>
                <w:sz w:val="21"/>
                <w:szCs w:val="21"/>
                <w:lang w:bidi="ar"/>
              </w:rPr>
              <w:t>RoboCup</w:t>
            </w:r>
            <w:r>
              <w:rPr>
                <w:rStyle w:val="10"/>
                <w:rFonts w:hint="eastAsia"/>
                <w:sz w:val="21"/>
                <w:szCs w:val="21"/>
                <w:lang w:bidi="ar"/>
              </w:rPr>
              <w:t>机器人世界杯中国赛；</w:t>
            </w:r>
          </w:p>
          <w:p w14:paraId="41128A82">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睿抗机器人开发者大赛（</w:t>
            </w:r>
            <w:r>
              <w:rPr>
                <w:rStyle w:val="11"/>
                <w:rFonts w:hint="eastAsia" w:ascii="楷体" w:hAnsi="楷体" w:eastAsia="楷体" w:cs="楷体"/>
                <w:sz w:val="21"/>
                <w:szCs w:val="21"/>
                <w:lang w:bidi="ar"/>
              </w:rPr>
              <w:t>RAICOM)（学科相关赛道）；</w:t>
            </w:r>
          </w:p>
          <w:p w14:paraId="3A3705A6">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iCAN</w:t>
            </w:r>
            <w:r>
              <w:rPr>
                <w:rStyle w:val="10"/>
                <w:rFonts w:hint="eastAsia"/>
                <w:sz w:val="21"/>
                <w:szCs w:val="21"/>
                <w:lang w:bidi="ar"/>
              </w:rPr>
              <w:t>国际创新创业大赛；</w:t>
            </w:r>
          </w:p>
          <w:p w14:paraId="27369F6A">
            <w:pPr>
              <w:widowControl/>
              <w:jc w:val="center"/>
              <w:textAlignment w:val="center"/>
              <w:rPr>
                <w:rFonts w:hint="eastAsia" w:ascii="楷体" w:hAnsi="楷体" w:eastAsia="楷体" w:cs="楷体"/>
                <w:color w:val="000000"/>
                <w:kern w:val="0"/>
                <w:szCs w:val="21"/>
                <w:lang w:bidi="ar"/>
              </w:rPr>
            </w:pPr>
            <w:r>
              <w:rPr>
                <w:rFonts w:hint="eastAsia" w:ascii="楷体" w:hAnsi="楷体" w:eastAsia="楷体" w:cs="楷体"/>
                <w:color w:val="000000"/>
                <w:kern w:val="0"/>
                <w:szCs w:val="21"/>
                <w:lang w:bidi="ar"/>
              </w:rPr>
              <w:t>全国大学生智能汽车竞赛</w:t>
            </w:r>
          </w:p>
          <w:p w14:paraId="4B01CF0A">
            <w:pPr>
              <w:widowControl/>
              <w:jc w:val="center"/>
              <w:textAlignment w:val="center"/>
              <w:rPr>
                <w:rFonts w:hint="eastAsia" w:ascii="楷体" w:hAnsi="楷体" w:eastAsia="楷体" w:cs="楷体"/>
                <w:color w:val="000000"/>
                <w:kern w:val="0"/>
                <w:szCs w:val="21"/>
                <w:lang w:bidi="ar"/>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B3F8">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全国一等奖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4492">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0.25</w:t>
            </w:r>
          </w:p>
        </w:tc>
      </w:tr>
      <w:tr w14:paraId="72EDDEF2">
        <w:tblPrEx>
          <w:tblCellMar>
            <w:top w:w="0" w:type="dxa"/>
            <w:left w:w="108" w:type="dxa"/>
            <w:bottom w:w="0" w:type="dxa"/>
            <w:right w:w="108" w:type="dxa"/>
          </w:tblCellMar>
        </w:tblPrEx>
        <w:trPr>
          <w:trHeight w:val="312"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A24E5">
            <w:pPr>
              <w:jc w:val="center"/>
              <w:rPr>
                <w:rFonts w:hint="eastAsia" w:ascii="楷体" w:hAnsi="楷体" w:eastAsia="楷体" w:cs="楷体"/>
                <w:color w:val="000000"/>
                <w:szCs w:val="21"/>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CBF74">
            <w:pPr>
              <w:jc w:val="center"/>
              <w:rPr>
                <w:rFonts w:hint="eastAsia" w:ascii="楷体" w:hAnsi="楷体" w:eastAsia="楷体" w:cs="楷体"/>
                <w:color w:val="000000"/>
                <w:szCs w:val="21"/>
              </w:rPr>
            </w:pPr>
          </w:p>
        </w:tc>
        <w:tc>
          <w:tcPr>
            <w:tcW w:w="4376" w:type="dxa"/>
            <w:vMerge w:val="continue"/>
            <w:tcBorders>
              <w:left w:val="single" w:color="000000" w:sz="4" w:space="0"/>
              <w:right w:val="single" w:color="000000" w:sz="4" w:space="0"/>
            </w:tcBorders>
            <w:shd w:val="clear" w:color="auto" w:fill="auto"/>
            <w:vAlign w:val="center"/>
          </w:tcPr>
          <w:p w14:paraId="6B56BD0B">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3EEA8">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全国二等奖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7E6BC">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0.12</w:t>
            </w:r>
          </w:p>
        </w:tc>
      </w:tr>
      <w:tr w14:paraId="47C08FA2">
        <w:tblPrEx>
          <w:tblCellMar>
            <w:top w:w="0" w:type="dxa"/>
            <w:left w:w="108" w:type="dxa"/>
            <w:bottom w:w="0" w:type="dxa"/>
            <w:right w:w="108" w:type="dxa"/>
          </w:tblCellMar>
        </w:tblPrEx>
        <w:trPr>
          <w:trHeight w:val="312"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BDEEA">
            <w:pPr>
              <w:jc w:val="center"/>
              <w:rPr>
                <w:rFonts w:hint="eastAsia" w:ascii="楷体" w:hAnsi="楷体" w:eastAsia="楷体" w:cs="楷体"/>
                <w:color w:val="000000"/>
                <w:szCs w:val="21"/>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6994D">
            <w:pPr>
              <w:jc w:val="center"/>
              <w:rPr>
                <w:rFonts w:hint="eastAsia" w:ascii="楷体" w:hAnsi="楷体" w:eastAsia="楷体" w:cs="楷体"/>
                <w:color w:val="000000"/>
                <w:szCs w:val="21"/>
              </w:rPr>
            </w:pPr>
          </w:p>
        </w:tc>
        <w:tc>
          <w:tcPr>
            <w:tcW w:w="4376" w:type="dxa"/>
            <w:vMerge w:val="continue"/>
            <w:tcBorders>
              <w:left w:val="single" w:color="000000" w:sz="4" w:space="0"/>
              <w:right w:val="single" w:color="000000" w:sz="4" w:space="0"/>
            </w:tcBorders>
            <w:shd w:val="clear" w:color="auto" w:fill="auto"/>
            <w:vAlign w:val="center"/>
          </w:tcPr>
          <w:p w14:paraId="4BCDA45B">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7EFF">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全国三等奖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6D88">
            <w:pPr>
              <w:widowControl/>
              <w:jc w:val="center"/>
              <w:textAlignment w:val="center"/>
              <w:rPr>
                <w:rFonts w:hint="eastAsia" w:ascii="楷体" w:hAnsi="楷体" w:eastAsia="楷体" w:cs="楷体"/>
                <w:color w:val="FF0000"/>
                <w:szCs w:val="21"/>
              </w:rPr>
            </w:pPr>
            <w:r>
              <w:rPr>
                <w:rFonts w:hint="eastAsia" w:ascii="楷体" w:hAnsi="楷体" w:eastAsia="楷体" w:cs="楷体"/>
                <w:color w:val="000000"/>
                <w:kern w:val="0"/>
                <w:szCs w:val="21"/>
                <w:lang w:bidi="ar"/>
              </w:rPr>
              <w:t>0.1</w:t>
            </w:r>
          </w:p>
        </w:tc>
      </w:tr>
      <w:tr w14:paraId="61919237">
        <w:tblPrEx>
          <w:tblCellMar>
            <w:top w:w="0" w:type="dxa"/>
            <w:left w:w="108" w:type="dxa"/>
            <w:bottom w:w="0" w:type="dxa"/>
            <w:right w:w="108" w:type="dxa"/>
          </w:tblCellMar>
        </w:tblPrEx>
        <w:trPr>
          <w:trHeight w:val="312"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06C31">
            <w:pPr>
              <w:jc w:val="center"/>
              <w:rPr>
                <w:rFonts w:hint="eastAsia" w:ascii="楷体" w:hAnsi="楷体" w:eastAsia="楷体" w:cs="楷体"/>
                <w:color w:val="000000"/>
                <w:szCs w:val="21"/>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D56D8">
            <w:pPr>
              <w:jc w:val="center"/>
              <w:rPr>
                <w:rFonts w:hint="eastAsia" w:ascii="楷体" w:hAnsi="楷体" w:eastAsia="楷体" w:cs="楷体"/>
                <w:color w:val="000000"/>
                <w:szCs w:val="21"/>
              </w:rPr>
            </w:pPr>
          </w:p>
        </w:tc>
        <w:tc>
          <w:tcPr>
            <w:tcW w:w="4376" w:type="dxa"/>
            <w:vMerge w:val="continue"/>
            <w:tcBorders>
              <w:left w:val="single" w:color="000000" w:sz="4" w:space="0"/>
              <w:right w:val="single" w:color="000000" w:sz="4" w:space="0"/>
            </w:tcBorders>
            <w:shd w:val="clear" w:color="auto" w:fill="auto"/>
            <w:vAlign w:val="center"/>
          </w:tcPr>
          <w:p w14:paraId="64059215">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0AB5">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赛区一等奖(省级一等奖）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912C5">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0.05</w:t>
            </w:r>
          </w:p>
        </w:tc>
      </w:tr>
      <w:tr w14:paraId="49D5144D">
        <w:tblPrEx>
          <w:tblCellMar>
            <w:top w:w="0" w:type="dxa"/>
            <w:left w:w="108" w:type="dxa"/>
            <w:bottom w:w="0" w:type="dxa"/>
            <w:right w:w="108" w:type="dxa"/>
          </w:tblCellMar>
        </w:tblPrEx>
        <w:trPr>
          <w:trHeight w:val="634" w:hRule="atLeast"/>
        </w:trPr>
        <w:tc>
          <w:tcPr>
            <w:tcW w:w="774" w:type="dxa"/>
            <w:vMerge w:val="restart"/>
            <w:tcBorders>
              <w:top w:val="single" w:color="000000" w:sz="4" w:space="0"/>
              <w:left w:val="single" w:color="000000" w:sz="4" w:space="0"/>
              <w:bottom w:val="nil"/>
              <w:right w:val="single" w:color="000000" w:sz="4" w:space="0"/>
            </w:tcBorders>
            <w:shd w:val="clear" w:color="auto" w:fill="auto"/>
            <w:vAlign w:val="center"/>
          </w:tcPr>
          <w:p w14:paraId="15D2B55B">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3</w:t>
            </w:r>
          </w:p>
        </w:tc>
        <w:tc>
          <w:tcPr>
            <w:tcW w:w="1412" w:type="dxa"/>
            <w:vMerge w:val="restart"/>
            <w:tcBorders>
              <w:top w:val="single" w:color="000000" w:sz="4" w:space="0"/>
              <w:left w:val="single" w:color="000000" w:sz="4" w:space="0"/>
              <w:right w:val="single" w:color="000000" w:sz="4" w:space="0"/>
            </w:tcBorders>
            <w:shd w:val="clear" w:color="auto" w:fill="auto"/>
            <w:vAlign w:val="center"/>
          </w:tcPr>
          <w:p w14:paraId="56A1631E">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A（学科相关）</w:t>
            </w:r>
          </w:p>
        </w:tc>
        <w:tc>
          <w:tcPr>
            <w:tcW w:w="4376" w:type="dxa"/>
            <w:vMerge w:val="restart"/>
            <w:tcBorders>
              <w:top w:val="single" w:color="000000" w:sz="4" w:space="0"/>
              <w:left w:val="single" w:color="000000" w:sz="4" w:space="0"/>
              <w:right w:val="single" w:color="000000" w:sz="4" w:space="0"/>
            </w:tcBorders>
            <w:shd w:val="clear" w:color="auto" w:fill="auto"/>
            <w:vAlign w:val="center"/>
          </w:tcPr>
          <w:p w14:paraId="46CCA1FF">
            <w:pPr>
              <w:widowControl/>
              <w:jc w:val="center"/>
              <w:textAlignment w:val="center"/>
              <w:rPr>
                <w:rFonts w:hint="eastAsia" w:ascii="楷体" w:hAnsi="楷体" w:eastAsia="楷体" w:cs="楷体"/>
                <w:color w:val="000000"/>
                <w:kern w:val="0"/>
                <w:szCs w:val="21"/>
                <w:lang w:bidi="ar"/>
              </w:rPr>
            </w:pPr>
            <w:r>
              <w:rPr>
                <w:rFonts w:hint="eastAsia" w:ascii="楷体" w:hAnsi="楷体" w:eastAsia="楷体" w:cs="楷体"/>
                <w:color w:val="000000"/>
                <w:kern w:val="0"/>
                <w:szCs w:val="21"/>
                <w:lang w:bidi="ar"/>
              </w:rPr>
              <w:t>中国高校智能机器人创意大赛；</w:t>
            </w:r>
          </w:p>
          <w:p w14:paraId="7A301FEA">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szCs w:val="21"/>
              </w:rPr>
              <w:t>全国大学生嵌入式芯片与系统设计竞赛；</w:t>
            </w:r>
          </w:p>
          <w:p w14:paraId="5CF78C48">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“西门子杯”中国智能制造挑战赛</w:t>
            </w:r>
            <w:r>
              <w:rPr>
                <w:rFonts w:hint="eastAsia" w:ascii="楷体" w:hAnsi="楷体" w:eastAsia="楷体" w:cs="楷体"/>
                <w:color w:val="000000"/>
                <w:szCs w:val="21"/>
              </w:rPr>
              <w:t>；</w:t>
            </w:r>
          </w:p>
          <w:p w14:paraId="0C57C9F6">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全国大学生集成电路创新创业大赛；</w:t>
            </w:r>
          </w:p>
          <w:p w14:paraId="114BF9BA">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中国机器人及人工智能大赛；</w:t>
            </w:r>
          </w:p>
          <w:p w14:paraId="513D736B">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全国大学生电子设计竞赛；</w:t>
            </w:r>
          </w:p>
          <w:p w14:paraId="0C115A96">
            <w:pPr>
              <w:jc w:val="center"/>
              <w:rPr>
                <w:rFonts w:hint="eastAsia" w:ascii="楷体" w:hAnsi="楷体" w:eastAsia="楷体" w:cs="楷体"/>
                <w:color w:val="000000"/>
                <w:szCs w:val="21"/>
              </w:rPr>
            </w:pPr>
            <w:r>
              <w:rPr>
                <w:rFonts w:hint="eastAsia" w:ascii="楷体" w:hAnsi="楷体" w:eastAsia="楷体" w:cs="楷体"/>
                <w:color w:val="000000"/>
                <w:szCs w:val="21"/>
              </w:rPr>
              <w:t>全国大学生物联网设计竞赛；</w:t>
            </w:r>
          </w:p>
          <w:p w14:paraId="4760D86E">
            <w:pPr>
              <w:jc w:val="center"/>
              <w:rPr>
                <w:rFonts w:hint="eastAsia" w:ascii="楷体" w:hAnsi="楷体" w:eastAsia="楷体" w:cs="楷体"/>
                <w:color w:val="000000"/>
                <w:szCs w:val="21"/>
                <w:lang w:eastAsia="zh-CN"/>
              </w:rPr>
            </w:pPr>
            <w:r>
              <w:rPr>
                <w:rFonts w:hint="eastAsia" w:ascii="楷体" w:hAnsi="楷体" w:eastAsia="楷体" w:cs="楷体"/>
                <w:color w:val="000000"/>
                <w:szCs w:val="21"/>
              </w:rPr>
              <w:t>中国大学生计算机设计大赛（物联网应用、人工智能）</w:t>
            </w:r>
            <w:r>
              <w:rPr>
                <w:rFonts w:hint="eastAsia" w:ascii="楷体" w:hAnsi="楷体" w:eastAsia="楷体" w:cs="楷体"/>
                <w:color w:val="000000"/>
                <w:szCs w:val="21"/>
                <w:lang w:eastAsia="zh-CN"/>
              </w:rPr>
              <w:t>；</w:t>
            </w:r>
          </w:p>
          <w:p w14:paraId="63EA99AA">
            <w:pPr>
              <w:jc w:val="center"/>
              <w:rPr>
                <w:rFonts w:hint="eastAsia" w:ascii="楷体" w:hAnsi="楷体" w:eastAsia="楷体" w:cs="楷体"/>
                <w:color w:val="000000"/>
                <w:szCs w:val="21"/>
                <w:lang w:val="en-US" w:eastAsia="zh-CN"/>
              </w:rPr>
            </w:pPr>
            <w:r>
              <w:rPr>
                <w:rFonts w:hint="eastAsia" w:ascii="楷体" w:hAnsi="楷体" w:eastAsia="楷体" w:cs="楷体"/>
                <w:color w:val="000000"/>
                <w:szCs w:val="21"/>
                <w:lang w:val="en-US" w:eastAsia="zh-CN"/>
              </w:rPr>
              <w:t>全国大学生数学建模竞赛；</w:t>
            </w:r>
          </w:p>
          <w:p w14:paraId="2487AE0C">
            <w:pPr>
              <w:jc w:val="center"/>
              <w:rPr>
                <w:rFonts w:hint="eastAsia" w:ascii="楷体" w:hAnsi="楷体" w:eastAsia="楷体" w:cs="楷体"/>
                <w:color w:val="000000"/>
                <w:szCs w:val="21"/>
                <w:lang w:val="en-US" w:eastAsia="zh-CN"/>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622D">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全国一等奖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CEBC">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0.2</w:t>
            </w:r>
          </w:p>
        </w:tc>
      </w:tr>
      <w:tr w14:paraId="4549D80A">
        <w:tblPrEx>
          <w:tblCellMar>
            <w:top w:w="0" w:type="dxa"/>
            <w:left w:w="108" w:type="dxa"/>
            <w:bottom w:w="0" w:type="dxa"/>
            <w:right w:w="108" w:type="dxa"/>
          </w:tblCellMar>
        </w:tblPrEx>
        <w:trPr>
          <w:trHeight w:val="312" w:hRule="atLeast"/>
        </w:trPr>
        <w:tc>
          <w:tcPr>
            <w:tcW w:w="774" w:type="dxa"/>
            <w:vMerge w:val="continue"/>
            <w:tcBorders>
              <w:left w:val="single" w:color="000000" w:sz="4" w:space="0"/>
              <w:right w:val="single" w:color="000000" w:sz="4" w:space="0"/>
            </w:tcBorders>
            <w:shd w:val="clear" w:color="auto" w:fill="auto"/>
            <w:vAlign w:val="center"/>
          </w:tcPr>
          <w:p w14:paraId="4F911758">
            <w:pPr>
              <w:jc w:val="center"/>
              <w:rPr>
                <w:rFonts w:hint="eastAsia" w:ascii="楷体" w:hAnsi="楷体" w:eastAsia="楷体" w:cs="楷体"/>
                <w:color w:val="000000"/>
                <w:szCs w:val="21"/>
              </w:rPr>
            </w:pPr>
          </w:p>
        </w:tc>
        <w:tc>
          <w:tcPr>
            <w:tcW w:w="1412" w:type="dxa"/>
            <w:vMerge w:val="continue"/>
            <w:tcBorders>
              <w:left w:val="single" w:color="000000" w:sz="4" w:space="0"/>
              <w:right w:val="single" w:color="000000" w:sz="4" w:space="0"/>
            </w:tcBorders>
            <w:shd w:val="clear" w:color="auto" w:fill="auto"/>
            <w:vAlign w:val="center"/>
          </w:tcPr>
          <w:p w14:paraId="2783B63E">
            <w:pPr>
              <w:jc w:val="center"/>
              <w:rPr>
                <w:rFonts w:hint="eastAsia" w:ascii="楷体" w:hAnsi="楷体" w:eastAsia="楷体" w:cs="楷体"/>
                <w:color w:val="000000"/>
                <w:szCs w:val="21"/>
              </w:rPr>
            </w:pPr>
          </w:p>
        </w:tc>
        <w:tc>
          <w:tcPr>
            <w:tcW w:w="4376" w:type="dxa"/>
            <w:vMerge w:val="continue"/>
            <w:tcBorders>
              <w:left w:val="single" w:color="000000" w:sz="4" w:space="0"/>
              <w:right w:val="single" w:color="000000" w:sz="4" w:space="0"/>
            </w:tcBorders>
            <w:shd w:val="clear" w:color="auto" w:fill="auto"/>
            <w:vAlign w:val="center"/>
          </w:tcPr>
          <w:p w14:paraId="406CD2A4">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8253">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全国二等奖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8A18">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0.1</w:t>
            </w:r>
          </w:p>
        </w:tc>
      </w:tr>
      <w:tr w14:paraId="584AC150">
        <w:tblPrEx>
          <w:tblCellMar>
            <w:top w:w="0" w:type="dxa"/>
            <w:left w:w="108" w:type="dxa"/>
            <w:bottom w:w="0" w:type="dxa"/>
            <w:right w:w="108" w:type="dxa"/>
          </w:tblCellMar>
        </w:tblPrEx>
        <w:trPr>
          <w:trHeight w:val="634" w:hRule="atLeast"/>
        </w:trPr>
        <w:tc>
          <w:tcPr>
            <w:tcW w:w="774" w:type="dxa"/>
            <w:vMerge w:val="continue"/>
            <w:tcBorders>
              <w:left w:val="single" w:color="000000" w:sz="4" w:space="0"/>
              <w:bottom w:val="nil"/>
              <w:right w:val="single" w:color="000000" w:sz="4" w:space="0"/>
            </w:tcBorders>
            <w:shd w:val="clear" w:color="auto" w:fill="auto"/>
            <w:vAlign w:val="center"/>
          </w:tcPr>
          <w:p w14:paraId="287721AE">
            <w:pPr>
              <w:jc w:val="center"/>
              <w:rPr>
                <w:rFonts w:hint="eastAsia" w:ascii="楷体" w:hAnsi="楷体" w:eastAsia="楷体" w:cs="楷体"/>
                <w:color w:val="000000"/>
                <w:szCs w:val="21"/>
              </w:rPr>
            </w:pPr>
          </w:p>
        </w:tc>
        <w:tc>
          <w:tcPr>
            <w:tcW w:w="1412" w:type="dxa"/>
            <w:vMerge w:val="continue"/>
            <w:tcBorders>
              <w:left w:val="single" w:color="000000" w:sz="4" w:space="0"/>
              <w:right w:val="single" w:color="000000" w:sz="4" w:space="0"/>
            </w:tcBorders>
            <w:shd w:val="clear" w:color="auto" w:fill="auto"/>
            <w:vAlign w:val="center"/>
          </w:tcPr>
          <w:p w14:paraId="26220D88">
            <w:pPr>
              <w:jc w:val="center"/>
              <w:rPr>
                <w:rFonts w:hint="eastAsia" w:ascii="楷体" w:hAnsi="楷体" w:eastAsia="楷体" w:cs="楷体"/>
                <w:color w:val="000000"/>
                <w:szCs w:val="21"/>
              </w:rPr>
            </w:pPr>
          </w:p>
        </w:tc>
        <w:tc>
          <w:tcPr>
            <w:tcW w:w="4376" w:type="dxa"/>
            <w:vMerge w:val="continue"/>
            <w:tcBorders>
              <w:left w:val="single" w:color="000000" w:sz="4" w:space="0"/>
              <w:right w:val="single" w:color="000000" w:sz="4" w:space="0"/>
            </w:tcBorders>
            <w:shd w:val="clear" w:color="auto" w:fill="auto"/>
            <w:vAlign w:val="center"/>
          </w:tcPr>
          <w:p w14:paraId="44CAE8E5">
            <w:pPr>
              <w:widowControl/>
              <w:jc w:val="center"/>
              <w:textAlignment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37C3">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全国三等奖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4BA6">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0.05</w:t>
            </w:r>
          </w:p>
        </w:tc>
      </w:tr>
      <w:tr w14:paraId="25E0CBE8">
        <w:tblPrEx>
          <w:tblCellMar>
            <w:top w:w="0" w:type="dxa"/>
            <w:left w:w="108" w:type="dxa"/>
            <w:bottom w:w="0" w:type="dxa"/>
            <w:right w:w="108" w:type="dxa"/>
          </w:tblCellMar>
        </w:tblPrEx>
        <w:trPr>
          <w:trHeight w:val="312" w:hRule="atLeast"/>
        </w:trPr>
        <w:tc>
          <w:tcPr>
            <w:tcW w:w="774" w:type="dxa"/>
            <w:vMerge w:val="continue"/>
            <w:tcBorders>
              <w:left w:val="single" w:color="000000" w:sz="4" w:space="0"/>
              <w:right w:val="single" w:color="000000" w:sz="4" w:space="0"/>
            </w:tcBorders>
            <w:shd w:val="clear" w:color="auto" w:fill="auto"/>
            <w:vAlign w:val="center"/>
          </w:tcPr>
          <w:p w14:paraId="0FBDCC81">
            <w:pPr>
              <w:jc w:val="center"/>
              <w:rPr>
                <w:rFonts w:hint="eastAsia" w:ascii="楷体" w:hAnsi="楷体" w:eastAsia="楷体" w:cs="楷体"/>
                <w:color w:val="000000"/>
                <w:szCs w:val="21"/>
              </w:rPr>
            </w:pPr>
          </w:p>
        </w:tc>
        <w:tc>
          <w:tcPr>
            <w:tcW w:w="1412" w:type="dxa"/>
            <w:vMerge w:val="continue"/>
            <w:tcBorders>
              <w:left w:val="single" w:color="000000" w:sz="4" w:space="0"/>
              <w:right w:val="single" w:color="000000" w:sz="4" w:space="0"/>
            </w:tcBorders>
            <w:shd w:val="clear" w:color="auto" w:fill="auto"/>
            <w:vAlign w:val="center"/>
          </w:tcPr>
          <w:p w14:paraId="5E0A3AFF">
            <w:pPr>
              <w:jc w:val="center"/>
              <w:rPr>
                <w:rFonts w:hint="eastAsia" w:ascii="楷体" w:hAnsi="楷体" w:eastAsia="楷体" w:cs="楷体"/>
                <w:color w:val="000000"/>
                <w:szCs w:val="21"/>
              </w:rPr>
            </w:pPr>
          </w:p>
        </w:tc>
        <w:tc>
          <w:tcPr>
            <w:tcW w:w="4376" w:type="dxa"/>
            <w:vMerge w:val="continue"/>
            <w:tcBorders>
              <w:left w:val="single" w:color="000000" w:sz="4" w:space="0"/>
              <w:right w:val="single" w:color="000000" w:sz="4" w:space="0"/>
            </w:tcBorders>
            <w:shd w:val="clear" w:color="auto" w:fill="auto"/>
            <w:vAlign w:val="center"/>
          </w:tcPr>
          <w:p w14:paraId="79EF6904">
            <w:pPr>
              <w:jc w:val="center"/>
              <w:rPr>
                <w:rFonts w:hint="eastAsia" w:ascii="楷体" w:hAnsi="楷体" w:eastAsia="楷体" w:cs="楷体"/>
                <w:color w:val="000000"/>
                <w:szCs w:val="21"/>
              </w:rPr>
            </w:pPr>
          </w:p>
        </w:tc>
        <w:tc>
          <w:tcPr>
            <w:tcW w:w="1430" w:type="dxa"/>
            <w:tcBorders>
              <w:top w:val="single" w:color="000000" w:sz="4" w:space="0"/>
              <w:left w:val="single" w:color="000000" w:sz="4" w:space="0"/>
              <w:right w:val="single" w:color="000000" w:sz="4" w:space="0"/>
            </w:tcBorders>
            <w:shd w:val="clear" w:color="auto" w:fill="auto"/>
            <w:vAlign w:val="center"/>
          </w:tcPr>
          <w:p w14:paraId="2A00178E">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赛区一等奖(省级一等奖）</w:t>
            </w:r>
          </w:p>
        </w:tc>
        <w:tc>
          <w:tcPr>
            <w:tcW w:w="1068" w:type="dxa"/>
            <w:tcBorders>
              <w:top w:val="single" w:color="000000" w:sz="4" w:space="0"/>
              <w:left w:val="single" w:color="000000" w:sz="4" w:space="0"/>
              <w:right w:val="single" w:color="000000" w:sz="4" w:space="0"/>
            </w:tcBorders>
            <w:shd w:val="clear" w:color="auto" w:fill="auto"/>
            <w:vAlign w:val="center"/>
          </w:tcPr>
          <w:p w14:paraId="701ED641">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0.03</w:t>
            </w:r>
          </w:p>
        </w:tc>
      </w:tr>
      <w:tr w14:paraId="32E6143C">
        <w:tblPrEx>
          <w:tblCellMar>
            <w:top w:w="0" w:type="dxa"/>
            <w:left w:w="108" w:type="dxa"/>
            <w:bottom w:w="0" w:type="dxa"/>
            <w:right w:w="108" w:type="dxa"/>
          </w:tblCellMar>
        </w:tblPrEx>
        <w:trPr>
          <w:trHeight w:val="270" w:hRule="atLeast"/>
        </w:trPr>
        <w:tc>
          <w:tcPr>
            <w:tcW w:w="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9DB55">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4</w:t>
            </w:r>
          </w:p>
        </w:tc>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68F79">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A（其他）</w:t>
            </w:r>
          </w:p>
        </w:tc>
        <w:tc>
          <w:tcPr>
            <w:tcW w:w="4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946890">
            <w:pPr>
              <w:widowControl/>
              <w:jc w:val="center"/>
              <w:textAlignment w:val="center"/>
              <w:rPr>
                <w:rFonts w:hint="eastAsia" w:ascii="楷体" w:hAnsi="楷体" w:eastAsia="楷体" w:cs="楷体"/>
                <w:color w:val="000000"/>
                <w:szCs w:val="21"/>
                <w:lang w:bidi="ar"/>
              </w:rPr>
            </w:pPr>
            <w:r>
              <w:rPr>
                <w:rStyle w:val="12"/>
                <w:rFonts w:hint="default"/>
                <w:lang w:bidi="ar"/>
              </w:rPr>
              <w:t>其它教务处认定的A类赛事</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926A">
            <w:pPr>
              <w:widowControl/>
              <w:jc w:val="center"/>
              <w:textAlignment w:val="center"/>
              <w:rPr>
                <w:rFonts w:hint="eastAsia" w:ascii="楷体" w:hAnsi="楷体" w:eastAsia="楷体" w:cs="楷体"/>
                <w:color w:val="000000"/>
                <w:szCs w:val="21"/>
              </w:rPr>
            </w:pPr>
            <w:r>
              <w:rPr>
                <w:rStyle w:val="12"/>
                <w:rFonts w:hint="default"/>
                <w:lang w:bidi="ar"/>
              </w:rPr>
              <w:t>全国一等奖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F869">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0.1</w:t>
            </w:r>
          </w:p>
        </w:tc>
      </w:tr>
      <w:tr w14:paraId="003F682E">
        <w:tblPrEx>
          <w:tblCellMar>
            <w:top w:w="0" w:type="dxa"/>
            <w:left w:w="108" w:type="dxa"/>
            <w:bottom w:w="0" w:type="dxa"/>
            <w:right w:w="108" w:type="dxa"/>
          </w:tblCellMar>
        </w:tblPrEx>
        <w:trPr>
          <w:trHeight w:val="270"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16D30">
            <w:pPr>
              <w:jc w:val="center"/>
              <w:rPr>
                <w:rFonts w:hint="eastAsia" w:ascii="楷体" w:hAnsi="楷体" w:eastAsia="楷体" w:cs="楷体"/>
                <w:color w:val="000000"/>
                <w:szCs w:val="21"/>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7A494">
            <w:pPr>
              <w:jc w:val="center"/>
              <w:rPr>
                <w:rFonts w:hint="eastAsia" w:ascii="楷体" w:hAnsi="楷体" w:eastAsia="楷体" w:cs="楷体"/>
                <w:color w:val="000000"/>
                <w:szCs w:val="21"/>
              </w:rPr>
            </w:pPr>
          </w:p>
        </w:tc>
        <w:tc>
          <w:tcPr>
            <w:tcW w:w="4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88ED3">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C0E0">
            <w:pPr>
              <w:widowControl/>
              <w:jc w:val="center"/>
              <w:textAlignment w:val="center"/>
              <w:rPr>
                <w:rFonts w:hint="eastAsia" w:ascii="楷体" w:hAnsi="楷体" w:eastAsia="楷体" w:cs="楷体"/>
                <w:color w:val="000000"/>
                <w:szCs w:val="21"/>
              </w:rPr>
            </w:pPr>
            <w:r>
              <w:rPr>
                <w:rStyle w:val="12"/>
                <w:rFonts w:hint="default"/>
                <w:lang w:bidi="ar"/>
              </w:rPr>
              <w:t>全国二等奖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DA4B">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0.05</w:t>
            </w:r>
          </w:p>
        </w:tc>
      </w:tr>
      <w:tr w14:paraId="2C488721">
        <w:tblPrEx>
          <w:tblCellMar>
            <w:top w:w="0" w:type="dxa"/>
            <w:left w:w="108" w:type="dxa"/>
            <w:bottom w:w="0" w:type="dxa"/>
            <w:right w:w="108" w:type="dxa"/>
          </w:tblCellMar>
        </w:tblPrEx>
        <w:trPr>
          <w:trHeight w:val="305"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4F542">
            <w:pPr>
              <w:jc w:val="center"/>
              <w:rPr>
                <w:rFonts w:hint="eastAsia" w:ascii="楷体" w:hAnsi="楷体" w:eastAsia="楷体" w:cs="楷体"/>
                <w:color w:val="000000"/>
                <w:szCs w:val="21"/>
              </w:rPr>
            </w:pPr>
          </w:p>
        </w:tc>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AB694">
            <w:pPr>
              <w:jc w:val="center"/>
              <w:rPr>
                <w:rFonts w:hint="eastAsia" w:ascii="楷体" w:hAnsi="楷体" w:eastAsia="楷体" w:cs="楷体"/>
                <w:color w:val="000000"/>
                <w:szCs w:val="21"/>
              </w:rPr>
            </w:pPr>
          </w:p>
        </w:tc>
        <w:tc>
          <w:tcPr>
            <w:tcW w:w="4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03560">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DDDD9">
            <w:pPr>
              <w:widowControl/>
              <w:jc w:val="center"/>
              <w:textAlignment w:val="center"/>
              <w:rPr>
                <w:rFonts w:hint="eastAsia" w:ascii="楷体" w:hAnsi="楷体" w:eastAsia="楷体" w:cs="楷体"/>
                <w:color w:val="000000"/>
                <w:szCs w:val="21"/>
              </w:rPr>
            </w:pPr>
            <w:r>
              <w:rPr>
                <w:rStyle w:val="12"/>
                <w:rFonts w:hint="default"/>
                <w:lang w:bidi="ar"/>
              </w:rPr>
              <w:t>全国三等奖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70FD">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0.03</w:t>
            </w:r>
          </w:p>
        </w:tc>
      </w:tr>
      <w:tr w14:paraId="462F56A9">
        <w:tblPrEx>
          <w:tblCellMar>
            <w:top w:w="0" w:type="dxa"/>
            <w:left w:w="108" w:type="dxa"/>
            <w:bottom w:w="0" w:type="dxa"/>
            <w:right w:w="108" w:type="dxa"/>
          </w:tblCellMar>
        </w:tblPrEx>
        <w:trPr>
          <w:trHeight w:val="270" w:hRule="atLeast"/>
        </w:trPr>
        <w:tc>
          <w:tcPr>
            <w:tcW w:w="774" w:type="dxa"/>
            <w:vMerge w:val="restart"/>
            <w:tcBorders>
              <w:top w:val="single" w:color="000000" w:sz="4" w:space="0"/>
              <w:left w:val="single" w:color="000000" w:sz="4" w:space="0"/>
              <w:right w:val="single" w:color="000000" w:sz="4" w:space="0"/>
            </w:tcBorders>
            <w:shd w:val="clear" w:color="auto" w:fill="auto"/>
            <w:vAlign w:val="center"/>
          </w:tcPr>
          <w:p w14:paraId="250262EE">
            <w:pPr>
              <w:widowControl/>
              <w:jc w:val="center"/>
              <w:textAlignment w:val="center"/>
              <w:rPr>
                <w:rFonts w:hint="eastAsia" w:ascii="楷体" w:hAnsi="楷体" w:eastAsia="楷体" w:cs="楷体"/>
                <w:color w:val="000000"/>
                <w:kern w:val="0"/>
                <w:szCs w:val="21"/>
                <w:lang w:val="en-US" w:eastAsia="zh-CN" w:bidi="ar"/>
              </w:rPr>
            </w:pPr>
          </w:p>
          <w:p w14:paraId="549E9C5A">
            <w:pPr>
              <w:widowControl/>
              <w:jc w:val="center"/>
              <w:textAlignment w:val="center"/>
              <w:rPr>
                <w:rFonts w:hint="eastAsia" w:ascii="楷体" w:hAnsi="楷体" w:eastAsia="楷体" w:cs="楷体"/>
                <w:color w:val="000000"/>
                <w:kern w:val="0"/>
                <w:szCs w:val="21"/>
                <w:lang w:val="en-US" w:eastAsia="zh-CN" w:bidi="ar"/>
              </w:rPr>
            </w:pPr>
            <w:r>
              <w:rPr>
                <w:rFonts w:hint="eastAsia" w:ascii="楷体" w:hAnsi="楷体" w:eastAsia="楷体" w:cs="楷体"/>
                <w:color w:val="000000"/>
                <w:kern w:val="0"/>
                <w:szCs w:val="21"/>
                <w:lang w:val="en-US" w:eastAsia="zh-CN" w:bidi="ar"/>
              </w:rPr>
              <w:t>5</w:t>
            </w:r>
          </w:p>
          <w:p w14:paraId="22D19A45">
            <w:pPr>
              <w:widowControl/>
              <w:jc w:val="center"/>
              <w:textAlignment w:val="center"/>
              <w:rPr>
                <w:rFonts w:hint="eastAsia" w:ascii="楷体" w:hAnsi="楷体" w:eastAsia="楷体" w:cs="楷体"/>
                <w:color w:val="000000"/>
                <w:szCs w:val="21"/>
                <w:lang w:eastAsia="zh-CN"/>
              </w:rPr>
            </w:pPr>
          </w:p>
        </w:tc>
        <w:tc>
          <w:tcPr>
            <w:tcW w:w="1412" w:type="dxa"/>
            <w:vMerge w:val="restart"/>
            <w:tcBorders>
              <w:top w:val="single" w:color="000000" w:sz="4" w:space="0"/>
              <w:left w:val="single" w:color="000000" w:sz="4" w:space="0"/>
              <w:right w:val="single" w:color="000000" w:sz="4" w:space="0"/>
            </w:tcBorders>
            <w:shd w:val="clear" w:color="auto" w:fill="auto"/>
            <w:vAlign w:val="center"/>
          </w:tcPr>
          <w:p w14:paraId="267D81B8">
            <w:pPr>
              <w:widowControl/>
              <w:jc w:val="center"/>
              <w:textAlignment w:val="center"/>
              <w:rPr>
                <w:rFonts w:hint="default" w:ascii="楷体" w:hAnsi="楷体" w:eastAsia="楷体" w:cs="楷体"/>
                <w:color w:val="000000"/>
                <w:szCs w:val="21"/>
                <w:lang w:val="en-US" w:eastAsia="zh-CN"/>
              </w:rPr>
            </w:pPr>
            <w:r>
              <w:rPr>
                <w:rStyle w:val="12"/>
                <w:rFonts w:hint="default"/>
                <w:lang w:bidi="ar"/>
              </w:rPr>
              <w:t>其</w:t>
            </w:r>
            <w:r>
              <w:rPr>
                <w:rStyle w:val="12"/>
                <w:rFonts w:hint="eastAsia" w:eastAsia="楷体"/>
                <w:lang w:val="en-US" w:eastAsia="zh-CN" w:bidi="ar"/>
              </w:rPr>
              <w:t>他比赛</w:t>
            </w:r>
          </w:p>
        </w:tc>
        <w:tc>
          <w:tcPr>
            <w:tcW w:w="4376" w:type="dxa"/>
            <w:vMerge w:val="restart"/>
            <w:tcBorders>
              <w:top w:val="single" w:color="000000" w:sz="4" w:space="0"/>
              <w:left w:val="single" w:color="000000" w:sz="4" w:space="0"/>
              <w:right w:val="single" w:color="000000" w:sz="4" w:space="0"/>
            </w:tcBorders>
            <w:shd w:val="clear" w:color="auto" w:fill="auto"/>
            <w:vAlign w:val="center"/>
          </w:tcPr>
          <w:p w14:paraId="3B78DD94">
            <w:pPr>
              <w:widowControl/>
              <w:jc w:val="center"/>
              <w:textAlignment w:val="center"/>
              <w:rPr>
                <w:rFonts w:hint="eastAsia" w:ascii="楷体" w:hAnsi="楷体" w:eastAsia="楷体" w:cs="楷体"/>
                <w:color w:val="000000"/>
                <w:szCs w:val="21"/>
              </w:rPr>
            </w:pPr>
            <w:r>
              <w:rPr>
                <w:rFonts w:ascii="楷体" w:hAnsi="楷体" w:eastAsia="楷体" w:cs="楷体"/>
                <w:color w:val="000000"/>
                <w:szCs w:val="21"/>
              </w:rPr>
              <w:t>教务处认定的</w:t>
            </w:r>
            <w:r>
              <w:rPr>
                <w:rFonts w:hint="eastAsia" w:ascii="楷体" w:hAnsi="楷体" w:eastAsia="楷体" w:cs="楷体"/>
                <w:color w:val="000000"/>
                <w:szCs w:val="21"/>
                <w:lang w:val="en-US" w:eastAsia="zh-CN"/>
              </w:rPr>
              <w:t>其他科技</w:t>
            </w:r>
            <w:r>
              <w:rPr>
                <w:rFonts w:ascii="楷体" w:hAnsi="楷体" w:eastAsia="楷体" w:cs="楷体"/>
                <w:color w:val="000000"/>
                <w:szCs w:val="21"/>
              </w:rPr>
              <w:t>类竞赛</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6840">
            <w:pPr>
              <w:widowControl/>
              <w:jc w:val="center"/>
              <w:textAlignment w:val="center"/>
              <w:rPr>
                <w:rFonts w:hint="eastAsia" w:ascii="楷体" w:hAnsi="楷体" w:eastAsia="楷体" w:cs="楷体"/>
                <w:color w:val="000000"/>
                <w:szCs w:val="21"/>
              </w:rPr>
            </w:pPr>
            <w:r>
              <w:rPr>
                <w:rStyle w:val="12"/>
                <w:rFonts w:hint="default"/>
                <w:lang w:bidi="ar"/>
              </w:rPr>
              <w:t>全国一等奖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E6D4">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0.05</w:t>
            </w:r>
          </w:p>
        </w:tc>
      </w:tr>
      <w:tr w14:paraId="3C4EFCE9">
        <w:tblPrEx>
          <w:tblCellMar>
            <w:top w:w="0" w:type="dxa"/>
            <w:left w:w="108" w:type="dxa"/>
            <w:bottom w:w="0" w:type="dxa"/>
            <w:right w:w="108" w:type="dxa"/>
          </w:tblCellMar>
        </w:tblPrEx>
        <w:trPr>
          <w:trHeight w:val="270" w:hRule="atLeast"/>
        </w:trPr>
        <w:tc>
          <w:tcPr>
            <w:tcW w:w="774" w:type="dxa"/>
            <w:vMerge w:val="continue"/>
            <w:tcBorders>
              <w:left w:val="single" w:color="000000" w:sz="4" w:space="0"/>
              <w:right w:val="single" w:color="000000" w:sz="4" w:space="0"/>
            </w:tcBorders>
            <w:shd w:val="clear" w:color="auto" w:fill="auto"/>
            <w:vAlign w:val="center"/>
          </w:tcPr>
          <w:p w14:paraId="624EC048">
            <w:pPr>
              <w:widowControl/>
              <w:jc w:val="center"/>
              <w:textAlignment w:val="center"/>
              <w:rPr>
                <w:rFonts w:hint="eastAsia" w:ascii="楷体" w:hAnsi="楷体" w:eastAsia="楷体" w:cs="楷体"/>
                <w:color w:val="000000"/>
                <w:kern w:val="0"/>
                <w:szCs w:val="21"/>
                <w:lang w:bidi="ar"/>
              </w:rPr>
            </w:pPr>
          </w:p>
        </w:tc>
        <w:tc>
          <w:tcPr>
            <w:tcW w:w="1412" w:type="dxa"/>
            <w:vMerge w:val="continue"/>
            <w:tcBorders>
              <w:left w:val="single" w:color="000000" w:sz="4" w:space="0"/>
              <w:right w:val="single" w:color="000000" w:sz="4" w:space="0"/>
            </w:tcBorders>
            <w:shd w:val="clear" w:color="auto" w:fill="auto"/>
            <w:vAlign w:val="center"/>
          </w:tcPr>
          <w:p w14:paraId="02336BDE">
            <w:pPr>
              <w:widowControl/>
              <w:jc w:val="center"/>
              <w:textAlignment w:val="center"/>
              <w:rPr>
                <w:rFonts w:hint="eastAsia" w:ascii="楷体" w:hAnsi="楷体" w:eastAsia="楷体" w:cs="楷体"/>
                <w:color w:val="000000"/>
                <w:kern w:val="0"/>
                <w:szCs w:val="21"/>
                <w:lang w:bidi="ar"/>
              </w:rPr>
            </w:pPr>
          </w:p>
        </w:tc>
        <w:tc>
          <w:tcPr>
            <w:tcW w:w="4376" w:type="dxa"/>
            <w:vMerge w:val="continue"/>
            <w:tcBorders>
              <w:left w:val="single" w:color="000000" w:sz="4" w:space="0"/>
              <w:bottom w:val="single" w:color="000000" w:sz="4" w:space="0"/>
              <w:right w:val="single" w:color="000000" w:sz="4" w:space="0"/>
            </w:tcBorders>
            <w:shd w:val="clear" w:color="auto" w:fill="auto"/>
            <w:vAlign w:val="center"/>
          </w:tcPr>
          <w:p w14:paraId="09BDD1BC">
            <w:pPr>
              <w:widowControl/>
              <w:jc w:val="center"/>
              <w:textAlignment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3C19C">
            <w:pPr>
              <w:widowControl/>
              <w:jc w:val="center"/>
              <w:textAlignment w:val="center"/>
              <w:rPr>
                <w:rStyle w:val="12"/>
                <w:rFonts w:hint="default"/>
                <w:lang w:bidi="ar"/>
              </w:rPr>
            </w:pPr>
            <w:r>
              <w:rPr>
                <w:rStyle w:val="12"/>
                <w:rFonts w:hint="default"/>
                <w:lang w:bidi="ar"/>
              </w:rPr>
              <w:t>全国二等奖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763DD">
            <w:pPr>
              <w:widowControl/>
              <w:jc w:val="center"/>
              <w:textAlignment w:val="center"/>
              <w:rPr>
                <w:rFonts w:hint="eastAsia" w:ascii="楷体" w:hAnsi="楷体" w:eastAsia="楷体" w:cs="楷体"/>
                <w:color w:val="000000"/>
                <w:kern w:val="0"/>
                <w:szCs w:val="21"/>
                <w:lang w:bidi="ar"/>
              </w:rPr>
            </w:pPr>
            <w:r>
              <w:rPr>
                <w:rFonts w:hint="eastAsia" w:ascii="楷体" w:hAnsi="楷体" w:eastAsia="楷体" w:cs="楷体"/>
                <w:color w:val="000000"/>
                <w:kern w:val="0"/>
                <w:szCs w:val="21"/>
                <w:lang w:bidi="ar"/>
              </w:rPr>
              <w:t>0.03</w:t>
            </w:r>
          </w:p>
        </w:tc>
      </w:tr>
      <w:tr w14:paraId="4AE6747A">
        <w:tblPrEx>
          <w:tblCellMar>
            <w:top w:w="0" w:type="dxa"/>
            <w:left w:w="108" w:type="dxa"/>
            <w:bottom w:w="0" w:type="dxa"/>
            <w:right w:w="108" w:type="dxa"/>
          </w:tblCellMar>
        </w:tblPrEx>
        <w:trPr>
          <w:trHeight w:val="270" w:hRule="atLeast"/>
        </w:trPr>
        <w:tc>
          <w:tcPr>
            <w:tcW w:w="774" w:type="dxa"/>
            <w:vMerge w:val="continue"/>
            <w:tcBorders>
              <w:left w:val="single" w:color="000000" w:sz="4" w:space="0"/>
              <w:right w:val="single" w:color="000000" w:sz="4" w:space="0"/>
            </w:tcBorders>
            <w:shd w:val="clear" w:color="auto" w:fill="auto"/>
            <w:vAlign w:val="center"/>
          </w:tcPr>
          <w:p w14:paraId="46E7990D">
            <w:pPr>
              <w:widowControl/>
              <w:jc w:val="center"/>
              <w:textAlignment w:val="center"/>
              <w:rPr>
                <w:rFonts w:hint="eastAsia" w:ascii="楷体" w:hAnsi="楷体" w:eastAsia="楷体" w:cs="楷体"/>
                <w:color w:val="000000"/>
                <w:szCs w:val="21"/>
                <w:lang w:eastAsia="zh-CN"/>
              </w:rPr>
            </w:pPr>
          </w:p>
        </w:tc>
        <w:tc>
          <w:tcPr>
            <w:tcW w:w="1412" w:type="dxa"/>
            <w:vMerge w:val="continue"/>
            <w:tcBorders>
              <w:left w:val="single" w:color="000000" w:sz="4" w:space="0"/>
              <w:right w:val="single" w:color="000000" w:sz="4" w:space="0"/>
            </w:tcBorders>
            <w:shd w:val="clear" w:color="auto" w:fill="auto"/>
            <w:vAlign w:val="center"/>
          </w:tcPr>
          <w:p w14:paraId="37F7055B">
            <w:pPr>
              <w:widowControl/>
              <w:jc w:val="center"/>
              <w:textAlignment w:val="center"/>
              <w:rPr>
                <w:rFonts w:hint="eastAsia" w:ascii="楷体" w:hAnsi="楷体" w:eastAsia="楷体" w:cs="楷体"/>
                <w:color w:val="000000"/>
                <w:szCs w:val="21"/>
              </w:rPr>
            </w:pPr>
          </w:p>
        </w:tc>
        <w:tc>
          <w:tcPr>
            <w:tcW w:w="4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4F1E98">
            <w:pPr>
              <w:widowControl/>
              <w:jc w:val="center"/>
              <w:textAlignment w:val="center"/>
              <w:rPr>
                <w:rFonts w:hint="eastAsia" w:ascii="楷体" w:hAnsi="楷体" w:eastAsia="楷体" w:cs="楷体"/>
                <w:color w:val="000000"/>
                <w:szCs w:val="21"/>
              </w:rPr>
            </w:pPr>
            <w:r>
              <w:rPr>
                <w:rStyle w:val="12"/>
                <w:rFonts w:hint="default"/>
                <w:lang w:bidi="ar"/>
              </w:rPr>
              <w:t>美国数学建模大赛</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4C37">
            <w:pPr>
              <w:widowControl/>
              <w:jc w:val="center"/>
              <w:textAlignment w:val="center"/>
              <w:rPr>
                <w:rFonts w:hint="eastAsia" w:ascii="楷体" w:hAnsi="楷体" w:eastAsia="楷体" w:cs="楷体"/>
                <w:color w:val="000000"/>
                <w:szCs w:val="21"/>
              </w:rPr>
            </w:pPr>
            <w:r>
              <w:rPr>
                <w:rStyle w:val="12"/>
                <w:rFonts w:hint="default"/>
                <w:lang w:bidi="ar"/>
              </w:rPr>
              <w:t>O奖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9589">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0.3</w:t>
            </w:r>
          </w:p>
        </w:tc>
      </w:tr>
      <w:tr w14:paraId="5CE2D821">
        <w:tblPrEx>
          <w:tblCellMar>
            <w:top w:w="0" w:type="dxa"/>
            <w:left w:w="108" w:type="dxa"/>
            <w:bottom w:w="0" w:type="dxa"/>
            <w:right w:w="108" w:type="dxa"/>
          </w:tblCellMar>
        </w:tblPrEx>
        <w:trPr>
          <w:trHeight w:val="270" w:hRule="atLeast"/>
        </w:trPr>
        <w:tc>
          <w:tcPr>
            <w:tcW w:w="774" w:type="dxa"/>
            <w:vMerge w:val="continue"/>
            <w:tcBorders>
              <w:left w:val="single" w:color="000000" w:sz="4" w:space="0"/>
              <w:right w:val="single" w:color="000000" w:sz="4" w:space="0"/>
            </w:tcBorders>
            <w:shd w:val="clear" w:color="auto" w:fill="auto"/>
            <w:vAlign w:val="center"/>
          </w:tcPr>
          <w:p w14:paraId="3DC07FB5">
            <w:pPr>
              <w:jc w:val="center"/>
              <w:rPr>
                <w:rFonts w:hint="eastAsia" w:ascii="楷体" w:hAnsi="楷体" w:eastAsia="楷体" w:cs="楷体"/>
                <w:color w:val="000000"/>
                <w:szCs w:val="21"/>
              </w:rPr>
            </w:pPr>
          </w:p>
        </w:tc>
        <w:tc>
          <w:tcPr>
            <w:tcW w:w="1412" w:type="dxa"/>
            <w:vMerge w:val="continue"/>
            <w:tcBorders>
              <w:left w:val="single" w:color="000000" w:sz="4" w:space="0"/>
              <w:right w:val="single" w:color="000000" w:sz="4" w:space="0"/>
            </w:tcBorders>
            <w:shd w:val="clear" w:color="auto" w:fill="auto"/>
            <w:vAlign w:val="center"/>
          </w:tcPr>
          <w:p w14:paraId="1B9F0035">
            <w:pPr>
              <w:jc w:val="center"/>
              <w:rPr>
                <w:rFonts w:hint="eastAsia" w:ascii="楷体" w:hAnsi="楷体" w:eastAsia="楷体" w:cs="楷体"/>
                <w:color w:val="000000"/>
                <w:szCs w:val="21"/>
              </w:rPr>
            </w:pPr>
          </w:p>
        </w:tc>
        <w:tc>
          <w:tcPr>
            <w:tcW w:w="4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422E8">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01710">
            <w:pPr>
              <w:widowControl/>
              <w:jc w:val="center"/>
              <w:textAlignment w:val="center"/>
              <w:rPr>
                <w:rFonts w:hint="eastAsia" w:ascii="楷体" w:hAnsi="楷体" w:eastAsia="楷体" w:cs="楷体"/>
                <w:color w:val="000000"/>
                <w:szCs w:val="21"/>
              </w:rPr>
            </w:pPr>
            <w:r>
              <w:rPr>
                <w:rStyle w:val="12"/>
                <w:rFonts w:hint="default"/>
                <w:lang w:bidi="ar"/>
              </w:rPr>
              <w:t>F奖</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A087">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0.1</w:t>
            </w:r>
          </w:p>
        </w:tc>
      </w:tr>
      <w:tr w14:paraId="44F6BCAC">
        <w:tblPrEx>
          <w:tblCellMar>
            <w:top w:w="0" w:type="dxa"/>
            <w:left w:w="108" w:type="dxa"/>
            <w:bottom w:w="0" w:type="dxa"/>
            <w:right w:w="108" w:type="dxa"/>
          </w:tblCellMar>
        </w:tblPrEx>
        <w:trPr>
          <w:trHeight w:val="270" w:hRule="atLeast"/>
        </w:trPr>
        <w:tc>
          <w:tcPr>
            <w:tcW w:w="774" w:type="dxa"/>
            <w:vMerge w:val="continue"/>
            <w:tcBorders>
              <w:left w:val="single" w:color="000000" w:sz="4" w:space="0"/>
              <w:right w:val="single" w:color="000000" w:sz="4" w:space="0"/>
            </w:tcBorders>
            <w:shd w:val="clear" w:color="auto" w:fill="auto"/>
            <w:vAlign w:val="center"/>
          </w:tcPr>
          <w:p w14:paraId="7EE6FB36">
            <w:pPr>
              <w:jc w:val="center"/>
              <w:rPr>
                <w:rFonts w:hint="eastAsia" w:ascii="楷体" w:hAnsi="楷体" w:eastAsia="楷体" w:cs="楷体"/>
                <w:color w:val="000000"/>
                <w:szCs w:val="21"/>
              </w:rPr>
            </w:pPr>
          </w:p>
        </w:tc>
        <w:tc>
          <w:tcPr>
            <w:tcW w:w="1412" w:type="dxa"/>
            <w:vMerge w:val="continue"/>
            <w:tcBorders>
              <w:left w:val="single" w:color="000000" w:sz="4" w:space="0"/>
              <w:right w:val="single" w:color="000000" w:sz="4" w:space="0"/>
            </w:tcBorders>
            <w:shd w:val="clear" w:color="auto" w:fill="auto"/>
            <w:vAlign w:val="center"/>
          </w:tcPr>
          <w:p w14:paraId="4CAF14E9">
            <w:pPr>
              <w:jc w:val="center"/>
              <w:rPr>
                <w:rFonts w:hint="eastAsia" w:ascii="楷体" w:hAnsi="楷体" w:eastAsia="楷体" w:cs="楷体"/>
                <w:color w:val="000000"/>
                <w:szCs w:val="21"/>
              </w:rPr>
            </w:pPr>
          </w:p>
        </w:tc>
        <w:tc>
          <w:tcPr>
            <w:tcW w:w="4376"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51912E0">
            <w:pPr>
              <w:jc w:val="center"/>
              <w:rPr>
                <w:rFonts w:hint="eastAsia" w:ascii="楷体" w:hAnsi="楷体" w:eastAsia="楷体" w:cs="楷体"/>
                <w:color w:val="000000"/>
                <w:szCs w:val="21"/>
              </w:rPr>
            </w:pPr>
          </w:p>
        </w:tc>
        <w:tc>
          <w:tcPr>
            <w:tcW w:w="1430" w:type="dxa"/>
            <w:tcBorders>
              <w:top w:val="single" w:color="000000" w:sz="4" w:space="0"/>
              <w:left w:val="single" w:color="000000" w:sz="4" w:space="0"/>
              <w:bottom w:val="single" w:color="auto" w:sz="4" w:space="0"/>
              <w:right w:val="single" w:color="000000" w:sz="4" w:space="0"/>
            </w:tcBorders>
            <w:shd w:val="clear" w:color="auto" w:fill="auto"/>
            <w:vAlign w:val="center"/>
          </w:tcPr>
          <w:p w14:paraId="38AB73CD">
            <w:pPr>
              <w:widowControl/>
              <w:jc w:val="center"/>
              <w:textAlignment w:val="center"/>
              <w:rPr>
                <w:rFonts w:hint="eastAsia" w:ascii="楷体" w:hAnsi="楷体" w:eastAsia="楷体" w:cs="楷体"/>
                <w:color w:val="000000"/>
                <w:szCs w:val="21"/>
              </w:rPr>
            </w:pPr>
            <w:r>
              <w:rPr>
                <w:rStyle w:val="12"/>
                <w:rFonts w:hint="default"/>
                <w:lang w:bidi="ar"/>
              </w:rPr>
              <w:t>M奖</w:t>
            </w:r>
          </w:p>
        </w:tc>
        <w:tc>
          <w:tcPr>
            <w:tcW w:w="1068" w:type="dxa"/>
            <w:tcBorders>
              <w:top w:val="single" w:color="000000" w:sz="4" w:space="0"/>
              <w:left w:val="single" w:color="000000" w:sz="4" w:space="0"/>
              <w:bottom w:val="single" w:color="auto" w:sz="4" w:space="0"/>
              <w:right w:val="single" w:color="000000" w:sz="4" w:space="0"/>
            </w:tcBorders>
            <w:shd w:val="clear" w:color="auto" w:fill="auto"/>
            <w:vAlign w:val="center"/>
          </w:tcPr>
          <w:p w14:paraId="14608DFA">
            <w:pPr>
              <w:widowControl/>
              <w:jc w:val="center"/>
              <w:textAlignment w:val="center"/>
              <w:rPr>
                <w:rFonts w:hint="eastAsia" w:ascii="楷体" w:hAnsi="楷体" w:eastAsia="楷体" w:cs="楷体"/>
                <w:color w:val="000000"/>
                <w:szCs w:val="21"/>
              </w:rPr>
            </w:pPr>
            <w:r>
              <w:rPr>
                <w:rFonts w:hint="eastAsia" w:ascii="楷体" w:hAnsi="楷体" w:eastAsia="楷体" w:cs="楷体"/>
                <w:color w:val="000000"/>
                <w:kern w:val="0"/>
                <w:szCs w:val="21"/>
                <w:lang w:bidi="ar"/>
              </w:rPr>
              <w:t>0.05</w:t>
            </w:r>
          </w:p>
        </w:tc>
      </w:tr>
      <w:tr w14:paraId="4BF8E6C3">
        <w:tblPrEx>
          <w:tblCellMar>
            <w:top w:w="0" w:type="dxa"/>
            <w:left w:w="108" w:type="dxa"/>
            <w:bottom w:w="0" w:type="dxa"/>
            <w:right w:w="108" w:type="dxa"/>
          </w:tblCellMar>
        </w:tblPrEx>
        <w:trPr>
          <w:trHeight w:val="270" w:hRule="atLeast"/>
        </w:trPr>
        <w:tc>
          <w:tcPr>
            <w:tcW w:w="774" w:type="dxa"/>
            <w:vMerge w:val="continue"/>
            <w:tcBorders>
              <w:left w:val="single" w:color="000000" w:sz="4" w:space="0"/>
              <w:right w:val="single" w:color="000000" w:sz="4" w:space="0"/>
            </w:tcBorders>
            <w:shd w:val="clear" w:color="auto" w:fill="auto"/>
            <w:vAlign w:val="center"/>
          </w:tcPr>
          <w:p w14:paraId="2F4B9EB0">
            <w:pPr>
              <w:jc w:val="center"/>
              <w:rPr>
                <w:rFonts w:hint="eastAsia" w:ascii="楷体" w:hAnsi="楷体" w:eastAsia="楷体" w:cs="楷体"/>
                <w:color w:val="000000"/>
                <w:szCs w:val="21"/>
              </w:rPr>
            </w:pPr>
          </w:p>
        </w:tc>
        <w:tc>
          <w:tcPr>
            <w:tcW w:w="1412" w:type="dxa"/>
            <w:vMerge w:val="continue"/>
            <w:tcBorders>
              <w:left w:val="single" w:color="000000" w:sz="4" w:space="0"/>
              <w:right w:val="single" w:color="000000" w:sz="4" w:space="0"/>
            </w:tcBorders>
            <w:shd w:val="clear" w:color="auto" w:fill="auto"/>
            <w:vAlign w:val="center"/>
          </w:tcPr>
          <w:p w14:paraId="0313894D">
            <w:pPr>
              <w:jc w:val="center"/>
              <w:rPr>
                <w:rFonts w:hint="eastAsia" w:ascii="楷体" w:hAnsi="楷体" w:eastAsia="楷体" w:cs="楷体"/>
                <w:color w:val="000000"/>
                <w:szCs w:val="21"/>
              </w:rPr>
            </w:pPr>
          </w:p>
        </w:tc>
        <w:tc>
          <w:tcPr>
            <w:tcW w:w="4376" w:type="dxa"/>
            <w:vMerge w:val="restart"/>
            <w:tcBorders>
              <w:top w:val="single" w:color="auto" w:sz="4" w:space="0"/>
              <w:left w:val="single" w:color="000000" w:sz="4" w:space="0"/>
              <w:bottom w:val="single" w:color="auto" w:sz="4" w:space="0"/>
              <w:right w:val="single" w:color="auto" w:sz="4" w:space="0"/>
            </w:tcBorders>
            <w:shd w:val="clear" w:color="auto" w:fill="auto"/>
            <w:vAlign w:val="center"/>
          </w:tcPr>
          <w:p w14:paraId="1F870DC4">
            <w:pPr>
              <w:jc w:val="center"/>
              <w:rPr>
                <w:rFonts w:hint="eastAsia" w:ascii="楷体" w:hAnsi="楷体" w:eastAsia="楷体" w:cs="楷体"/>
                <w:color w:val="auto"/>
                <w:szCs w:val="21"/>
              </w:rPr>
            </w:pPr>
            <w:r>
              <w:rPr>
                <w:rFonts w:hint="eastAsia" w:ascii="楷体" w:hAnsi="楷体" w:eastAsia="楷体" w:cs="楷体"/>
                <w:color w:val="auto"/>
                <w:szCs w:val="21"/>
              </w:rPr>
              <w:t>职业规划大赛</w:t>
            </w:r>
          </w:p>
        </w:tc>
        <w:tc>
          <w:tcPr>
            <w:tcW w:w="1430" w:type="dxa"/>
            <w:tcBorders>
              <w:top w:val="single" w:color="auto" w:sz="4" w:space="0"/>
              <w:left w:val="single" w:color="auto" w:sz="4" w:space="0"/>
              <w:bottom w:val="single" w:color="auto" w:sz="4" w:space="0"/>
              <w:right w:val="single" w:color="auto" w:sz="4" w:space="0"/>
            </w:tcBorders>
            <w:shd w:val="clear" w:color="auto" w:fill="auto"/>
            <w:vAlign w:val="center"/>
          </w:tcPr>
          <w:p w14:paraId="1B27D3ED">
            <w:pPr>
              <w:widowControl/>
              <w:jc w:val="center"/>
              <w:textAlignment w:val="center"/>
              <w:rPr>
                <w:rStyle w:val="12"/>
                <w:rFonts w:hint="default"/>
                <w:color w:val="auto"/>
                <w:lang w:bidi="ar"/>
              </w:rPr>
            </w:pPr>
            <w:r>
              <w:rPr>
                <w:rStyle w:val="12"/>
                <w:rFonts w:hint="default"/>
                <w:color w:val="auto"/>
                <w:lang w:bidi="ar"/>
              </w:rPr>
              <w:t>全国金奖</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61F9ECA8">
            <w:pPr>
              <w:widowControl/>
              <w:jc w:val="center"/>
              <w:textAlignment w:val="center"/>
              <w:rPr>
                <w:rFonts w:hint="eastAsia" w:ascii="楷体" w:hAnsi="楷体" w:eastAsia="楷体" w:cs="楷体"/>
                <w:color w:val="auto"/>
                <w:kern w:val="0"/>
                <w:szCs w:val="21"/>
                <w:lang w:bidi="ar"/>
              </w:rPr>
            </w:pPr>
            <w:r>
              <w:rPr>
                <w:rFonts w:hint="eastAsia" w:ascii="楷体" w:hAnsi="楷体" w:eastAsia="楷体" w:cs="楷体"/>
                <w:color w:val="auto"/>
                <w:kern w:val="0"/>
                <w:szCs w:val="21"/>
                <w:lang w:bidi="ar"/>
              </w:rPr>
              <w:t>0.2</w:t>
            </w:r>
          </w:p>
        </w:tc>
      </w:tr>
      <w:tr w14:paraId="7321CA01">
        <w:tblPrEx>
          <w:tblCellMar>
            <w:top w:w="0" w:type="dxa"/>
            <w:left w:w="108" w:type="dxa"/>
            <w:bottom w:w="0" w:type="dxa"/>
            <w:right w:w="108" w:type="dxa"/>
          </w:tblCellMar>
        </w:tblPrEx>
        <w:trPr>
          <w:trHeight w:val="270" w:hRule="atLeast"/>
        </w:trPr>
        <w:tc>
          <w:tcPr>
            <w:tcW w:w="774" w:type="dxa"/>
            <w:vMerge w:val="continue"/>
            <w:tcBorders>
              <w:left w:val="single" w:color="000000" w:sz="4" w:space="0"/>
              <w:right w:val="single" w:color="000000" w:sz="4" w:space="0"/>
            </w:tcBorders>
            <w:shd w:val="clear" w:color="auto" w:fill="auto"/>
            <w:vAlign w:val="center"/>
          </w:tcPr>
          <w:p w14:paraId="26B998BD">
            <w:pPr>
              <w:jc w:val="center"/>
              <w:rPr>
                <w:rFonts w:hint="eastAsia" w:ascii="楷体" w:hAnsi="楷体" w:eastAsia="楷体" w:cs="楷体"/>
                <w:color w:val="000000"/>
                <w:szCs w:val="21"/>
              </w:rPr>
            </w:pPr>
          </w:p>
        </w:tc>
        <w:tc>
          <w:tcPr>
            <w:tcW w:w="1412" w:type="dxa"/>
            <w:vMerge w:val="continue"/>
            <w:tcBorders>
              <w:left w:val="single" w:color="000000" w:sz="4" w:space="0"/>
              <w:right w:val="single" w:color="000000" w:sz="4" w:space="0"/>
            </w:tcBorders>
            <w:shd w:val="clear" w:color="auto" w:fill="auto"/>
            <w:vAlign w:val="center"/>
          </w:tcPr>
          <w:p w14:paraId="39255298">
            <w:pPr>
              <w:jc w:val="center"/>
              <w:rPr>
                <w:rFonts w:hint="eastAsia" w:ascii="楷体" w:hAnsi="楷体" w:eastAsia="楷体" w:cs="楷体"/>
                <w:color w:val="000000"/>
                <w:szCs w:val="21"/>
              </w:rPr>
            </w:pPr>
          </w:p>
        </w:tc>
        <w:tc>
          <w:tcPr>
            <w:tcW w:w="4376"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67DE5314">
            <w:pPr>
              <w:jc w:val="center"/>
              <w:rPr>
                <w:rFonts w:hint="eastAsia" w:ascii="楷体" w:hAnsi="楷体" w:eastAsia="楷体" w:cs="楷体"/>
                <w:color w:val="auto"/>
                <w:szCs w:val="21"/>
              </w:rPr>
            </w:pPr>
          </w:p>
        </w:tc>
        <w:tc>
          <w:tcPr>
            <w:tcW w:w="1430" w:type="dxa"/>
            <w:tcBorders>
              <w:top w:val="single" w:color="auto" w:sz="4" w:space="0"/>
              <w:left w:val="single" w:color="auto" w:sz="4" w:space="0"/>
              <w:bottom w:val="single" w:color="auto" w:sz="4" w:space="0"/>
              <w:right w:val="single" w:color="auto" w:sz="4" w:space="0"/>
            </w:tcBorders>
            <w:shd w:val="clear" w:color="auto" w:fill="auto"/>
            <w:vAlign w:val="center"/>
          </w:tcPr>
          <w:p w14:paraId="57261981">
            <w:pPr>
              <w:widowControl/>
              <w:jc w:val="center"/>
              <w:textAlignment w:val="center"/>
              <w:rPr>
                <w:rStyle w:val="12"/>
                <w:rFonts w:hint="default"/>
                <w:color w:val="auto"/>
                <w:lang w:bidi="ar"/>
              </w:rPr>
            </w:pPr>
            <w:r>
              <w:rPr>
                <w:rStyle w:val="12"/>
                <w:rFonts w:hint="default"/>
                <w:color w:val="auto"/>
                <w:lang w:bidi="ar"/>
              </w:rPr>
              <w:t>全国银奖</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6BAD51A3">
            <w:pPr>
              <w:widowControl/>
              <w:jc w:val="center"/>
              <w:textAlignment w:val="center"/>
              <w:rPr>
                <w:rFonts w:hint="eastAsia" w:ascii="楷体" w:hAnsi="楷体" w:eastAsia="楷体" w:cs="楷体"/>
                <w:color w:val="auto"/>
                <w:kern w:val="0"/>
                <w:szCs w:val="21"/>
                <w:lang w:bidi="ar"/>
              </w:rPr>
            </w:pPr>
            <w:r>
              <w:rPr>
                <w:rFonts w:hint="eastAsia" w:ascii="楷体" w:hAnsi="楷体" w:eastAsia="楷体" w:cs="楷体"/>
                <w:color w:val="auto"/>
                <w:kern w:val="0"/>
                <w:szCs w:val="21"/>
                <w:lang w:bidi="ar"/>
              </w:rPr>
              <w:t>0.15</w:t>
            </w:r>
          </w:p>
        </w:tc>
      </w:tr>
      <w:tr w14:paraId="56A27C54">
        <w:tblPrEx>
          <w:tblCellMar>
            <w:top w:w="0" w:type="dxa"/>
            <w:left w:w="108" w:type="dxa"/>
            <w:bottom w:w="0" w:type="dxa"/>
            <w:right w:w="108" w:type="dxa"/>
          </w:tblCellMar>
        </w:tblPrEx>
        <w:trPr>
          <w:trHeight w:val="270" w:hRule="atLeast"/>
        </w:trPr>
        <w:tc>
          <w:tcPr>
            <w:tcW w:w="774" w:type="dxa"/>
            <w:vMerge w:val="continue"/>
            <w:tcBorders>
              <w:left w:val="single" w:color="000000" w:sz="4" w:space="0"/>
              <w:right w:val="single" w:color="000000" w:sz="4" w:space="0"/>
            </w:tcBorders>
            <w:shd w:val="clear" w:color="auto" w:fill="auto"/>
            <w:vAlign w:val="center"/>
          </w:tcPr>
          <w:p w14:paraId="724F88DD">
            <w:pPr>
              <w:jc w:val="center"/>
              <w:rPr>
                <w:rFonts w:hint="eastAsia" w:ascii="楷体" w:hAnsi="楷体" w:eastAsia="楷体" w:cs="楷体"/>
                <w:color w:val="000000"/>
                <w:szCs w:val="21"/>
              </w:rPr>
            </w:pPr>
          </w:p>
        </w:tc>
        <w:tc>
          <w:tcPr>
            <w:tcW w:w="1412" w:type="dxa"/>
            <w:vMerge w:val="continue"/>
            <w:tcBorders>
              <w:left w:val="single" w:color="000000" w:sz="4" w:space="0"/>
              <w:right w:val="single" w:color="000000" w:sz="4" w:space="0"/>
            </w:tcBorders>
            <w:shd w:val="clear" w:color="auto" w:fill="auto"/>
            <w:vAlign w:val="center"/>
          </w:tcPr>
          <w:p w14:paraId="704273E7">
            <w:pPr>
              <w:jc w:val="center"/>
              <w:rPr>
                <w:rFonts w:hint="eastAsia" w:ascii="楷体" w:hAnsi="楷体" w:eastAsia="楷体" w:cs="楷体"/>
                <w:color w:val="000000"/>
                <w:szCs w:val="21"/>
              </w:rPr>
            </w:pPr>
          </w:p>
        </w:tc>
        <w:tc>
          <w:tcPr>
            <w:tcW w:w="4376"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40655B3B">
            <w:pPr>
              <w:jc w:val="center"/>
              <w:rPr>
                <w:rFonts w:hint="eastAsia" w:ascii="楷体" w:hAnsi="楷体" w:eastAsia="楷体" w:cs="楷体"/>
                <w:color w:val="auto"/>
                <w:szCs w:val="21"/>
              </w:rPr>
            </w:pPr>
          </w:p>
        </w:tc>
        <w:tc>
          <w:tcPr>
            <w:tcW w:w="1430" w:type="dxa"/>
            <w:tcBorders>
              <w:top w:val="single" w:color="auto" w:sz="4" w:space="0"/>
              <w:left w:val="single" w:color="auto" w:sz="4" w:space="0"/>
              <w:bottom w:val="single" w:color="auto" w:sz="4" w:space="0"/>
              <w:right w:val="single" w:color="auto" w:sz="4" w:space="0"/>
            </w:tcBorders>
            <w:shd w:val="clear" w:color="auto" w:fill="auto"/>
            <w:vAlign w:val="center"/>
          </w:tcPr>
          <w:p w14:paraId="0B69B915">
            <w:pPr>
              <w:widowControl/>
              <w:jc w:val="center"/>
              <w:textAlignment w:val="center"/>
              <w:rPr>
                <w:rStyle w:val="12"/>
                <w:rFonts w:hint="default"/>
                <w:color w:val="auto"/>
                <w:lang w:bidi="ar"/>
              </w:rPr>
            </w:pPr>
            <w:r>
              <w:rPr>
                <w:rStyle w:val="12"/>
                <w:rFonts w:hint="default"/>
                <w:color w:val="auto"/>
                <w:lang w:bidi="ar"/>
              </w:rPr>
              <w:t>全国铜奖</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71EE1B84">
            <w:pPr>
              <w:widowControl/>
              <w:jc w:val="center"/>
              <w:textAlignment w:val="center"/>
              <w:rPr>
                <w:rFonts w:hint="eastAsia" w:ascii="楷体" w:hAnsi="楷体" w:eastAsia="楷体" w:cs="楷体"/>
                <w:color w:val="auto"/>
                <w:kern w:val="0"/>
                <w:szCs w:val="21"/>
                <w:lang w:bidi="ar"/>
              </w:rPr>
            </w:pPr>
            <w:r>
              <w:rPr>
                <w:rFonts w:hint="eastAsia" w:ascii="楷体" w:hAnsi="楷体" w:eastAsia="楷体" w:cs="楷体"/>
                <w:color w:val="auto"/>
                <w:kern w:val="0"/>
                <w:szCs w:val="21"/>
                <w:lang w:bidi="ar"/>
              </w:rPr>
              <w:t>0.05</w:t>
            </w:r>
          </w:p>
        </w:tc>
      </w:tr>
      <w:tr w14:paraId="4B163A6B">
        <w:tblPrEx>
          <w:tblCellMar>
            <w:top w:w="0" w:type="dxa"/>
            <w:left w:w="108" w:type="dxa"/>
            <w:bottom w:w="0" w:type="dxa"/>
            <w:right w:w="108" w:type="dxa"/>
          </w:tblCellMar>
        </w:tblPrEx>
        <w:trPr>
          <w:trHeight w:val="270" w:hRule="atLeast"/>
        </w:trPr>
        <w:tc>
          <w:tcPr>
            <w:tcW w:w="774" w:type="dxa"/>
            <w:vMerge w:val="continue"/>
            <w:tcBorders>
              <w:left w:val="single" w:color="000000" w:sz="4" w:space="0"/>
              <w:right w:val="single" w:color="000000" w:sz="4" w:space="0"/>
            </w:tcBorders>
            <w:shd w:val="clear" w:color="auto" w:fill="auto"/>
            <w:vAlign w:val="center"/>
          </w:tcPr>
          <w:p w14:paraId="34EF337B">
            <w:pPr>
              <w:jc w:val="center"/>
              <w:rPr>
                <w:rFonts w:hint="eastAsia" w:ascii="楷体" w:hAnsi="楷体" w:eastAsia="楷体" w:cs="楷体"/>
                <w:color w:val="000000"/>
                <w:szCs w:val="21"/>
              </w:rPr>
            </w:pPr>
          </w:p>
        </w:tc>
        <w:tc>
          <w:tcPr>
            <w:tcW w:w="1412" w:type="dxa"/>
            <w:vMerge w:val="continue"/>
            <w:tcBorders>
              <w:left w:val="single" w:color="000000" w:sz="4" w:space="0"/>
              <w:right w:val="single" w:color="000000" w:sz="4" w:space="0"/>
            </w:tcBorders>
            <w:shd w:val="clear" w:color="auto" w:fill="auto"/>
            <w:vAlign w:val="center"/>
          </w:tcPr>
          <w:p w14:paraId="5796BBE4">
            <w:pPr>
              <w:jc w:val="center"/>
              <w:rPr>
                <w:rFonts w:hint="eastAsia" w:ascii="楷体" w:hAnsi="楷体" w:eastAsia="楷体" w:cs="楷体"/>
                <w:color w:val="000000"/>
                <w:szCs w:val="21"/>
              </w:rPr>
            </w:pPr>
          </w:p>
        </w:tc>
        <w:tc>
          <w:tcPr>
            <w:tcW w:w="4376" w:type="dxa"/>
            <w:vMerge w:val="restart"/>
            <w:tcBorders>
              <w:top w:val="single" w:color="auto" w:sz="4" w:space="0"/>
              <w:left w:val="single" w:color="000000" w:sz="4" w:space="0"/>
              <w:bottom w:val="single" w:color="auto" w:sz="4" w:space="0"/>
              <w:right w:val="single" w:color="auto" w:sz="4" w:space="0"/>
            </w:tcBorders>
            <w:shd w:val="clear" w:color="auto" w:fill="auto"/>
            <w:vAlign w:val="center"/>
          </w:tcPr>
          <w:p w14:paraId="31D22301">
            <w:pPr>
              <w:jc w:val="center"/>
              <w:rPr>
                <w:rFonts w:hint="eastAsia" w:ascii="楷体" w:hAnsi="楷体" w:eastAsia="楷体" w:cs="楷体"/>
                <w:color w:val="000000"/>
                <w:szCs w:val="21"/>
              </w:rPr>
            </w:pPr>
            <w:r>
              <w:rPr>
                <w:rFonts w:hint="eastAsia" w:ascii="楷体" w:hAnsi="楷体" w:eastAsia="楷体" w:cs="楷体"/>
                <w:color w:val="000000"/>
                <w:szCs w:val="21"/>
              </w:rPr>
              <w:t>科技类赛事中的与学科不相关的赛道</w:t>
            </w:r>
          </w:p>
          <w:p w14:paraId="4CB2FB3C">
            <w:pPr>
              <w:jc w:val="center"/>
              <w:rPr>
                <w:rFonts w:hint="eastAsia" w:ascii="楷体" w:hAnsi="楷体" w:eastAsia="楷体" w:cs="楷体"/>
                <w:color w:val="000000"/>
                <w:szCs w:val="21"/>
              </w:rPr>
            </w:pPr>
            <w:r>
              <w:rPr>
                <w:rFonts w:ascii="楷体" w:hAnsi="楷体" w:eastAsia="楷体" w:cs="楷体"/>
                <w:color w:val="000000"/>
                <w:szCs w:val="21"/>
              </w:rPr>
              <w:t>（</w:t>
            </w:r>
            <w:r>
              <w:rPr>
                <w:rFonts w:hint="eastAsia" w:ascii="楷体" w:hAnsi="楷体" w:eastAsia="楷体" w:cs="楷体"/>
                <w:color w:val="000000"/>
                <w:szCs w:val="21"/>
              </w:rPr>
              <w:t>如睿抗、蓝桥杯、节能减排大赛的文艺赛道等</w:t>
            </w:r>
            <w:r>
              <w:rPr>
                <w:rFonts w:ascii="楷体" w:hAnsi="楷体" w:eastAsia="楷体" w:cs="楷体"/>
                <w:color w:val="000000"/>
                <w:szCs w:val="21"/>
              </w:rPr>
              <w:t>）</w:t>
            </w:r>
          </w:p>
        </w:tc>
        <w:tc>
          <w:tcPr>
            <w:tcW w:w="1430" w:type="dxa"/>
            <w:tcBorders>
              <w:top w:val="single" w:color="auto" w:sz="4" w:space="0"/>
              <w:left w:val="single" w:color="auto" w:sz="4" w:space="0"/>
              <w:bottom w:val="single" w:color="auto" w:sz="4" w:space="0"/>
              <w:right w:val="single" w:color="auto" w:sz="4" w:space="0"/>
            </w:tcBorders>
            <w:shd w:val="clear" w:color="auto" w:fill="auto"/>
            <w:vAlign w:val="center"/>
          </w:tcPr>
          <w:p w14:paraId="095D0BBC">
            <w:pPr>
              <w:widowControl/>
              <w:jc w:val="center"/>
              <w:textAlignment w:val="center"/>
              <w:rPr>
                <w:rStyle w:val="12"/>
                <w:rFonts w:hint="default"/>
                <w:lang w:bidi="ar"/>
              </w:rPr>
            </w:pPr>
            <w:r>
              <w:rPr>
                <w:rStyle w:val="12"/>
                <w:rFonts w:hint="default"/>
                <w:lang w:bidi="ar"/>
              </w:rPr>
              <w:t>全国一等奖</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5197E417">
            <w:pPr>
              <w:widowControl/>
              <w:jc w:val="center"/>
              <w:textAlignment w:val="center"/>
              <w:rPr>
                <w:rFonts w:hint="eastAsia" w:ascii="楷体" w:hAnsi="楷体" w:eastAsia="楷体" w:cs="楷体"/>
                <w:color w:val="000000"/>
                <w:kern w:val="0"/>
                <w:szCs w:val="21"/>
                <w:lang w:bidi="ar"/>
              </w:rPr>
            </w:pPr>
            <w:r>
              <w:rPr>
                <w:rFonts w:hint="eastAsia" w:ascii="楷体" w:hAnsi="楷体" w:eastAsia="楷体" w:cs="楷体"/>
                <w:color w:val="000000"/>
                <w:kern w:val="0"/>
                <w:szCs w:val="21"/>
                <w:lang w:bidi="ar"/>
              </w:rPr>
              <w:t>0.05</w:t>
            </w:r>
          </w:p>
        </w:tc>
      </w:tr>
      <w:tr w14:paraId="5380630F">
        <w:tblPrEx>
          <w:tblCellMar>
            <w:top w:w="0" w:type="dxa"/>
            <w:left w:w="108" w:type="dxa"/>
            <w:bottom w:w="0" w:type="dxa"/>
            <w:right w:w="108" w:type="dxa"/>
          </w:tblCellMar>
        </w:tblPrEx>
        <w:trPr>
          <w:trHeight w:val="201" w:hRule="atLeast"/>
        </w:trPr>
        <w:tc>
          <w:tcPr>
            <w:tcW w:w="774" w:type="dxa"/>
            <w:vMerge w:val="continue"/>
            <w:tcBorders>
              <w:left w:val="single" w:color="000000" w:sz="4" w:space="0"/>
              <w:bottom w:val="single" w:color="auto" w:sz="4" w:space="0"/>
              <w:right w:val="single" w:color="000000" w:sz="4" w:space="0"/>
            </w:tcBorders>
            <w:shd w:val="clear" w:color="auto" w:fill="auto"/>
            <w:vAlign w:val="center"/>
          </w:tcPr>
          <w:p w14:paraId="2ECC0293">
            <w:pPr>
              <w:jc w:val="center"/>
              <w:rPr>
                <w:rFonts w:hint="eastAsia" w:ascii="楷体" w:hAnsi="楷体" w:eastAsia="楷体" w:cs="楷体"/>
                <w:color w:val="000000"/>
                <w:szCs w:val="21"/>
              </w:rPr>
            </w:pPr>
          </w:p>
        </w:tc>
        <w:tc>
          <w:tcPr>
            <w:tcW w:w="1412" w:type="dxa"/>
            <w:vMerge w:val="continue"/>
            <w:tcBorders>
              <w:left w:val="single" w:color="000000" w:sz="4" w:space="0"/>
              <w:bottom w:val="single" w:color="auto" w:sz="4" w:space="0"/>
              <w:right w:val="single" w:color="000000" w:sz="4" w:space="0"/>
            </w:tcBorders>
            <w:shd w:val="clear" w:color="auto" w:fill="auto"/>
            <w:vAlign w:val="center"/>
          </w:tcPr>
          <w:p w14:paraId="638B83DD">
            <w:pPr>
              <w:jc w:val="center"/>
              <w:rPr>
                <w:rFonts w:hint="eastAsia" w:ascii="楷体" w:hAnsi="楷体" w:eastAsia="楷体" w:cs="楷体"/>
                <w:color w:val="000000"/>
                <w:szCs w:val="21"/>
              </w:rPr>
            </w:pPr>
          </w:p>
        </w:tc>
        <w:tc>
          <w:tcPr>
            <w:tcW w:w="4376"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7A4E938B">
            <w:pPr>
              <w:jc w:val="center"/>
              <w:rPr>
                <w:rFonts w:hint="eastAsia" w:ascii="楷体" w:hAnsi="楷体" w:eastAsia="楷体" w:cs="楷体"/>
                <w:color w:val="000000"/>
                <w:szCs w:val="21"/>
              </w:rPr>
            </w:pPr>
          </w:p>
        </w:tc>
        <w:tc>
          <w:tcPr>
            <w:tcW w:w="1430" w:type="dxa"/>
            <w:tcBorders>
              <w:top w:val="single" w:color="auto" w:sz="4" w:space="0"/>
              <w:left w:val="single" w:color="auto" w:sz="4" w:space="0"/>
              <w:bottom w:val="single" w:color="auto" w:sz="4" w:space="0"/>
              <w:right w:val="single" w:color="auto" w:sz="4" w:space="0"/>
            </w:tcBorders>
            <w:shd w:val="clear" w:color="auto" w:fill="auto"/>
            <w:vAlign w:val="center"/>
          </w:tcPr>
          <w:p w14:paraId="337F28AB">
            <w:pPr>
              <w:widowControl/>
              <w:jc w:val="center"/>
              <w:textAlignment w:val="center"/>
              <w:rPr>
                <w:rStyle w:val="12"/>
                <w:rFonts w:hint="default"/>
                <w:lang w:bidi="ar"/>
              </w:rPr>
            </w:pPr>
            <w:r>
              <w:rPr>
                <w:rStyle w:val="12"/>
                <w:rFonts w:hint="default"/>
                <w:lang w:bidi="ar"/>
              </w:rPr>
              <w:t>全国二等奖</w:t>
            </w:r>
          </w:p>
        </w:tc>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3047F4A0">
            <w:pPr>
              <w:widowControl/>
              <w:jc w:val="center"/>
              <w:textAlignment w:val="center"/>
              <w:rPr>
                <w:rFonts w:hint="eastAsia" w:ascii="楷体" w:hAnsi="楷体" w:eastAsia="楷体" w:cs="楷体"/>
                <w:color w:val="000000"/>
                <w:kern w:val="0"/>
                <w:szCs w:val="21"/>
                <w:lang w:bidi="ar"/>
              </w:rPr>
            </w:pPr>
            <w:r>
              <w:rPr>
                <w:rFonts w:hint="eastAsia" w:ascii="楷体" w:hAnsi="楷体" w:eastAsia="楷体" w:cs="楷体"/>
                <w:color w:val="000000"/>
                <w:kern w:val="0"/>
                <w:szCs w:val="21"/>
                <w:lang w:bidi="ar"/>
              </w:rPr>
              <w:t>0.03</w:t>
            </w:r>
          </w:p>
        </w:tc>
      </w:tr>
    </w:tbl>
    <w:p w14:paraId="669E833E">
      <w:pPr>
        <w:snapToGrid w:val="0"/>
        <w:spacing w:line="360" w:lineRule="auto"/>
        <w:rPr>
          <w:rFonts w:hint="eastAsia" w:ascii="楷体" w:hAnsi="楷体" w:eastAsia="楷体" w:cs="楷体"/>
          <w:szCs w:val="21"/>
        </w:rPr>
      </w:pPr>
    </w:p>
    <w:p w14:paraId="740961DC">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注意：</w:t>
      </w:r>
    </w:p>
    <w:p w14:paraId="0FD34B17">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w:t>
      </w:r>
      <w:r>
        <w:rPr>
          <w:rFonts w:ascii="楷体" w:hAnsi="楷体" w:eastAsia="楷体" w:cs="楷体"/>
          <w:kern w:val="0"/>
          <w:szCs w:val="21"/>
          <w:lang w:val="en-US"/>
        </w:rPr>
        <w:t xml:space="preserve">* </w:t>
      </w:r>
      <w:r>
        <w:rPr>
          <w:rFonts w:hint="eastAsia" w:ascii="楷体" w:hAnsi="楷体" w:eastAsia="楷体" w:cs="楷体"/>
          <w:kern w:val="0"/>
          <w:szCs w:val="21"/>
          <w:lang w:val="en-US" w:eastAsia="zh-CN"/>
        </w:rPr>
        <w:t>所有</w:t>
      </w:r>
      <w:r>
        <w:rPr>
          <w:rFonts w:ascii="楷体" w:hAnsi="楷体" w:eastAsia="楷体" w:cs="楷体"/>
          <w:kern w:val="0"/>
          <w:szCs w:val="21"/>
          <w:lang w:val="en-US"/>
        </w:rPr>
        <w:t>赛事</w:t>
      </w:r>
      <w:r>
        <w:rPr>
          <w:rFonts w:hint="eastAsia" w:ascii="楷体" w:hAnsi="楷体" w:eastAsia="楷体" w:cs="楷体"/>
          <w:kern w:val="0"/>
          <w:szCs w:val="21"/>
          <w:lang w:val="en-US"/>
        </w:rPr>
        <w:t>均</w:t>
      </w:r>
      <w:r>
        <w:rPr>
          <w:rFonts w:ascii="楷体" w:hAnsi="楷体" w:eastAsia="楷体" w:cs="楷体"/>
          <w:kern w:val="0"/>
          <w:szCs w:val="21"/>
          <w:lang w:val="en-US"/>
        </w:rPr>
        <w:t>以教务处提供的认定清单为准。</w:t>
      </w:r>
    </w:p>
    <w:p w14:paraId="1E9C0123">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w:t>
      </w:r>
      <w:r>
        <w:rPr>
          <w:rFonts w:ascii="楷体" w:hAnsi="楷体" w:eastAsia="楷体" w:cs="楷体"/>
          <w:kern w:val="0"/>
          <w:szCs w:val="21"/>
          <w:lang w:val="en-US"/>
        </w:rPr>
        <w:t>*</w:t>
      </w:r>
      <w:r>
        <w:rPr>
          <w:rFonts w:hint="eastAsia" w:ascii="楷体" w:hAnsi="楷体" w:eastAsia="楷体" w:cs="楷体"/>
          <w:kern w:val="0"/>
          <w:szCs w:val="21"/>
          <w:lang w:val="en-US" w:eastAsia="zh-CN"/>
        </w:rPr>
        <w:t xml:space="preserve"> 5中其他</w:t>
      </w:r>
      <w:r>
        <w:rPr>
          <w:rFonts w:hint="eastAsia" w:ascii="楷体" w:hAnsi="楷体" w:eastAsia="楷体" w:cs="楷体"/>
          <w:kern w:val="0"/>
          <w:szCs w:val="21"/>
          <w:lang w:val="en-US"/>
        </w:rPr>
        <w:t>类赛事</w:t>
      </w:r>
      <w:r>
        <w:rPr>
          <w:rFonts w:ascii="楷体" w:hAnsi="楷体" w:eastAsia="楷体" w:cs="楷体"/>
          <w:kern w:val="0"/>
          <w:szCs w:val="21"/>
          <w:lang w:val="en-US"/>
        </w:rPr>
        <w:t>获奖</w:t>
      </w:r>
      <w:r>
        <w:rPr>
          <w:rFonts w:ascii="楷体" w:hAnsi="楷体" w:eastAsia="楷体" w:cs="楷体"/>
          <w:b/>
          <w:bCs/>
          <w:kern w:val="0"/>
          <w:szCs w:val="21"/>
          <w:lang w:val="en-US"/>
        </w:rPr>
        <w:t>每人只能算一项，不可累加</w:t>
      </w:r>
      <w:r>
        <w:rPr>
          <w:rFonts w:ascii="楷体" w:hAnsi="楷体" w:eastAsia="楷体" w:cs="楷体"/>
          <w:kern w:val="0"/>
          <w:szCs w:val="21"/>
          <w:lang w:val="en-US"/>
        </w:rPr>
        <w:t>。</w:t>
      </w:r>
    </w:p>
    <w:p w14:paraId="70390325">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 国际类</w:t>
      </w:r>
      <w:r>
        <w:rPr>
          <w:rFonts w:hint="eastAsia" w:ascii="楷体" w:hAnsi="楷体" w:eastAsia="楷体" w:cs="楷体"/>
          <w:kern w:val="0"/>
          <w:szCs w:val="21"/>
          <w:lang w:val="en-US" w:eastAsia="zh-CN"/>
        </w:rPr>
        <w:t>赛事，</w:t>
      </w:r>
      <w:r>
        <w:rPr>
          <w:rFonts w:hint="eastAsia" w:ascii="楷体" w:hAnsi="楷体" w:eastAsia="楷体" w:cs="楷体"/>
          <w:kern w:val="0"/>
          <w:szCs w:val="21"/>
          <w:lang w:val="en-US"/>
        </w:rPr>
        <w:t>加分时等同于国家级获奖加分；如有异议，赛事最终认定由学院推免生遴选工作组决议。</w:t>
      </w:r>
    </w:p>
    <w:p w14:paraId="30B6EFA9">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w:t>
      </w:r>
      <w:r>
        <w:rPr>
          <w:rFonts w:ascii="楷体" w:hAnsi="楷体" w:eastAsia="楷体" w:cs="楷体"/>
          <w:kern w:val="0"/>
          <w:szCs w:val="21"/>
          <w:lang w:val="en-US"/>
        </w:rPr>
        <w:t xml:space="preserve"> </w:t>
      </w:r>
      <w:r>
        <w:rPr>
          <w:rFonts w:hint="eastAsia" w:ascii="楷体" w:hAnsi="楷体" w:eastAsia="楷体" w:cs="楷体"/>
          <w:kern w:val="0"/>
          <w:szCs w:val="21"/>
          <w:lang w:val="en-US"/>
        </w:rPr>
        <w:t>所有比赛中可区分排名的，只取前三名加分，第一名按以上分值加分，第二名为第一名的 70%，第三名为第一名的50%；</w:t>
      </w:r>
      <w:r>
        <w:rPr>
          <w:rFonts w:hint="eastAsia" w:ascii="楷体" w:hAnsi="楷体" w:eastAsia="楷体" w:cs="楷体"/>
          <w:b/>
          <w:bCs/>
          <w:kern w:val="0"/>
          <w:szCs w:val="21"/>
          <w:lang w:val="en-US"/>
        </w:rPr>
        <w:t>其中，A+类赛事取前五名加分，第四名为第一名的30%，第五名为第一名的10%。</w:t>
      </w:r>
      <w:r>
        <w:rPr>
          <w:rFonts w:hint="eastAsia" w:ascii="楷体" w:hAnsi="楷体" w:eastAsia="楷体" w:cs="楷体"/>
          <w:kern w:val="0"/>
          <w:szCs w:val="21"/>
          <w:lang w:val="en-US"/>
        </w:rPr>
        <w:t>不可区分排名的，参与者均按第一名加分。“不可区分排名”的意思是同一比赛小组申请人都能出示以自己为第一名的获奖证书。</w:t>
      </w:r>
    </w:p>
    <w:p w14:paraId="079DD61F">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 学生与直系亲属或学历、职称、职务明显高于本人者合作的竞赛奖项仅作为参考，不纳入遴选指标成绩计算体系，同等条件下可优先考虑。</w:t>
      </w:r>
    </w:p>
    <w:p w14:paraId="3E7E263D">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w:t>
      </w:r>
      <w:r>
        <w:rPr>
          <w:rFonts w:ascii="楷体" w:hAnsi="楷体" w:eastAsia="楷体" w:cs="楷体"/>
          <w:kern w:val="0"/>
          <w:szCs w:val="21"/>
          <w:lang w:val="en-US"/>
        </w:rPr>
        <w:t xml:space="preserve"> </w:t>
      </w:r>
      <w:r>
        <w:rPr>
          <w:rFonts w:hint="eastAsia" w:ascii="楷体" w:hAnsi="楷体" w:eastAsia="楷体" w:cs="楷体"/>
          <w:kern w:val="0"/>
          <w:szCs w:val="21"/>
          <w:lang w:val="en-US"/>
        </w:rPr>
        <w:t>有特等奖的比赛</w:t>
      </w:r>
      <w:r>
        <w:rPr>
          <w:rFonts w:hint="eastAsia" w:ascii="楷体" w:hAnsi="楷体" w:eastAsia="楷体" w:cs="楷体"/>
          <w:b/>
          <w:bCs/>
          <w:kern w:val="0"/>
          <w:szCs w:val="21"/>
          <w:lang w:val="en-US"/>
        </w:rPr>
        <w:t>特等奖按照一等奖</w:t>
      </w:r>
      <w:r>
        <w:rPr>
          <w:rFonts w:hint="eastAsia" w:ascii="楷体" w:hAnsi="楷体" w:eastAsia="楷体" w:cs="楷体"/>
          <w:kern w:val="0"/>
          <w:szCs w:val="21"/>
          <w:lang w:val="en-US"/>
        </w:rPr>
        <w:t>加分，其余奖项顺延。</w:t>
      </w:r>
    </w:p>
    <w:p w14:paraId="658E25C2">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w:t>
      </w:r>
      <w:r>
        <w:rPr>
          <w:rFonts w:ascii="楷体" w:hAnsi="楷体" w:eastAsia="楷体" w:cs="楷体"/>
          <w:kern w:val="0"/>
          <w:szCs w:val="21"/>
          <w:lang w:val="en-US"/>
        </w:rPr>
        <w:t xml:space="preserve"> 同一年度同一赛事获奖按最高奖项计算，不累加</w:t>
      </w:r>
      <w:r>
        <w:rPr>
          <w:rFonts w:hint="eastAsia" w:ascii="楷体" w:hAnsi="楷体" w:eastAsia="楷体" w:cs="楷体"/>
          <w:kern w:val="0"/>
          <w:szCs w:val="21"/>
          <w:lang w:val="en-US"/>
        </w:rPr>
        <w:t>。</w:t>
      </w:r>
    </w:p>
    <w:p w14:paraId="4E729332">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 不同年度相同赛事获奖可以累加。</w:t>
      </w:r>
    </w:p>
    <w:p w14:paraId="2A755EFC">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 相同作品参与多个比赛获奖可以累加。</w:t>
      </w:r>
    </w:p>
    <w:p w14:paraId="5368323B">
      <w:pPr>
        <w:pStyle w:val="9"/>
        <w:snapToGrid w:val="0"/>
        <w:spacing w:line="360" w:lineRule="auto"/>
        <w:ind w:left="136" w:right="129"/>
        <w:jc w:val="left"/>
        <w:rPr>
          <w:rFonts w:hint="eastAsia" w:ascii="楷体" w:hAnsi="楷体" w:eastAsia="楷体" w:cs="楷体"/>
          <w:kern w:val="0"/>
          <w:szCs w:val="21"/>
          <w:lang w:val="en-US" w:eastAsia="zh-CN"/>
        </w:rPr>
      </w:pPr>
      <w:r>
        <w:rPr>
          <w:rFonts w:hint="eastAsia" w:ascii="楷体" w:hAnsi="楷体" w:eastAsia="楷体" w:cs="楷体"/>
          <w:kern w:val="0"/>
          <w:szCs w:val="21"/>
          <w:lang w:val="en-US"/>
        </w:rPr>
        <w:t>** 跨校组队参加比赛</w:t>
      </w:r>
      <w:r>
        <w:rPr>
          <w:rFonts w:hint="eastAsia" w:ascii="楷体" w:hAnsi="楷体" w:eastAsia="楷体" w:cs="楷体"/>
          <w:kern w:val="0"/>
          <w:szCs w:val="21"/>
          <w:lang w:val="en-US" w:eastAsia="zh-CN"/>
        </w:rPr>
        <w:t>时，</w:t>
      </w:r>
      <w:r>
        <w:rPr>
          <w:rFonts w:hint="eastAsia" w:ascii="楷体" w:hAnsi="楷体" w:eastAsia="楷体" w:cs="楷体"/>
          <w:kern w:val="0"/>
          <w:szCs w:val="21"/>
          <w:lang w:val="en-US"/>
        </w:rPr>
        <w:t>获奖证书参赛单位必须是中北大学，</w:t>
      </w:r>
      <w:r>
        <w:rPr>
          <w:rFonts w:hint="eastAsia" w:ascii="楷体" w:hAnsi="楷体" w:eastAsia="楷体" w:cs="楷体"/>
          <w:kern w:val="0"/>
          <w:szCs w:val="21"/>
          <w:lang w:val="en-US" w:eastAsia="zh-CN"/>
        </w:rPr>
        <w:t>否则不能加分。</w:t>
      </w:r>
    </w:p>
    <w:p w14:paraId="05B6EB54">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 xml:space="preserve">** </w:t>
      </w:r>
      <w:r>
        <w:rPr>
          <w:rFonts w:hint="eastAsia" w:ascii="楷体" w:hAnsi="楷体" w:eastAsia="楷体" w:cs="楷体"/>
          <w:kern w:val="0"/>
          <w:szCs w:val="21"/>
          <w:lang w:val="en-US"/>
        </w:rPr>
        <w:t>创新能力分最多累加不超过0.4分。</w:t>
      </w:r>
    </w:p>
    <w:p w14:paraId="025ED6F9">
      <w:pPr>
        <w:pStyle w:val="9"/>
        <w:snapToGrid w:val="0"/>
        <w:spacing w:line="360" w:lineRule="auto"/>
        <w:ind w:left="136"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br w:type="page"/>
      </w:r>
    </w:p>
    <w:p w14:paraId="639CA060">
      <w:pPr>
        <w:pStyle w:val="9"/>
        <w:snapToGrid w:val="0"/>
        <w:spacing w:line="360" w:lineRule="auto"/>
        <w:ind w:right="129"/>
        <w:jc w:val="left"/>
        <w:rPr>
          <w:rFonts w:hint="eastAsia" w:ascii="楷体" w:hAnsi="楷体" w:eastAsia="楷体" w:cs="楷体"/>
          <w:b/>
          <w:kern w:val="0"/>
          <w:szCs w:val="21"/>
          <w:lang w:val="en-US"/>
        </w:rPr>
      </w:pPr>
      <w:r>
        <w:rPr>
          <w:rFonts w:hint="eastAsia" w:ascii="楷体" w:hAnsi="楷体" w:eastAsia="楷体" w:cs="楷体"/>
          <w:b/>
          <w:kern w:val="0"/>
          <w:szCs w:val="21"/>
          <w:lang w:val="en-US"/>
        </w:rPr>
        <w:t>附件二：推免生“实践能力分” 详细说明</w:t>
      </w:r>
    </w:p>
    <w:p w14:paraId="6FB5A2E6">
      <w:pPr>
        <w:pStyle w:val="9"/>
        <w:snapToGrid w:val="0"/>
        <w:spacing w:line="360" w:lineRule="auto"/>
        <w:ind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一、 仪器与电子学院 推免研究生 “ 实践能力分 ” 加分补充范围：</w:t>
      </w:r>
    </w:p>
    <w:p w14:paraId="3C7B78BB">
      <w:pPr>
        <w:pStyle w:val="9"/>
        <w:snapToGrid w:val="0"/>
        <w:spacing w:line="360" w:lineRule="auto"/>
        <w:ind w:right="129" w:firstLine="420" w:firstLineChars="200"/>
        <w:jc w:val="left"/>
        <w:rPr>
          <w:rFonts w:hint="eastAsia" w:ascii="楷体" w:hAnsi="楷体" w:eastAsia="楷体" w:cs="楷体"/>
          <w:kern w:val="0"/>
          <w:szCs w:val="21"/>
          <w:lang w:val="en-US"/>
        </w:rPr>
      </w:pPr>
      <w:r>
        <w:rPr>
          <w:rFonts w:hint="eastAsia" w:ascii="楷体" w:hAnsi="楷体" w:eastAsia="楷体" w:cs="楷体"/>
          <w:kern w:val="0"/>
          <w:szCs w:val="21"/>
          <w:lang w:val="en-US"/>
        </w:rPr>
        <w:t>1、优秀个人志愿者事迹或寒暑期为学校带来较大正面影响社会实践在主流媒体报道；</w:t>
      </w:r>
    </w:p>
    <w:p w14:paraId="4BF1F3EC">
      <w:pPr>
        <w:pStyle w:val="9"/>
        <w:snapToGrid w:val="0"/>
        <w:spacing w:line="360" w:lineRule="auto"/>
        <w:ind w:right="129" w:firstLine="420" w:firstLineChars="200"/>
        <w:jc w:val="left"/>
        <w:rPr>
          <w:rFonts w:hint="eastAsia" w:ascii="楷体" w:hAnsi="楷体" w:eastAsia="楷体" w:cs="楷体"/>
          <w:kern w:val="0"/>
          <w:szCs w:val="21"/>
          <w:lang w:val="en-US"/>
        </w:rPr>
      </w:pPr>
      <w:r>
        <w:rPr>
          <w:rFonts w:hint="eastAsia" w:ascii="楷体" w:hAnsi="楷体" w:eastAsia="楷体" w:cs="楷体"/>
          <w:kern w:val="0"/>
          <w:szCs w:val="21"/>
          <w:lang w:val="en-US"/>
        </w:rPr>
        <w:t>2、省级以上赛事志愿者服务工作者证书，且能证明亲临现场完成一定量工作；</w:t>
      </w:r>
    </w:p>
    <w:p w14:paraId="78BBB0EE">
      <w:pPr>
        <w:pStyle w:val="9"/>
        <w:snapToGrid w:val="0"/>
        <w:spacing w:line="360" w:lineRule="auto"/>
        <w:ind w:right="129" w:firstLine="420" w:firstLineChars="200"/>
        <w:jc w:val="left"/>
        <w:rPr>
          <w:rFonts w:hint="eastAsia" w:ascii="楷体" w:hAnsi="楷体" w:eastAsia="楷体" w:cs="楷体"/>
          <w:kern w:val="0"/>
          <w:szCs w:val="21"/>
          <w:lang w:val="en-US"/>
        </w:rPr>
      </w:pPr>
      <w:r>
        <w:rPr>
          <w:rFonts w:hint="eastAsia" w:ascii="楷体" w:hAnsi="楷体" w:eastAsia="楷体" w:cs="楷体"/>
          <w:kern w:val="0"/>
          <w:szCs w:val="21"/>
          <w:lang w:val="en-US"/>
        </w:rPr>
        <w:t>3、志愿者服务方面作出较大贡献或社会实践方面做出突出贡献。</w:t>
      </w:r>
    </w:p>
    <w:p w14:paraId="034FB501">
      <w:pPr>
        <w:pStyle w:val="9"/>
        <w:snapToGrid w:val="0"/>
        <w:spacing w:line="360" w:lineRule="auto"/>
        <w:ind w:right="129" w:firstLine="420" w:firstLineChars="200"/>
        <w:jc w:val="left"/>
        <w:rPr>
          <w:rFonts w:hint="eastAsia" w:ascii="楷体" w:hAnsi="楷体" w:eastAsia="楷体" w:cs="楷体"/>
          <w:kern w:val="0"/>
          <w:szCs w:val="21"/>
          <w:lang w:val="en-US" w:eastAsia="zh-CN"/>
        </w:rPr>
      </w:pPr>
      <w:r>
        <w:rPr>
          <w:rFonts w:hint="eastAsia" w:ascii="楷体" w:hAnsi="楷体" w:eastAsia="楷体" w:cs="楷体"/>
          <w:kern w:val="0"/>
          <w:szCs w:val="21"/>
          <w:lang w:val="en-US" w:eastAsia="zh-CN"/>
        </w:rPr>
        <w:t>4、获得国家级荣誉称号加0.1，省级荣誉加0.05</w:t>
      </w:r>
      <w:r>
        <w:rPr>
          <w:rFonts w:hint="eastAsia" w:ascii="楷体" w:hAnsi="楷体" w:eastAsia="楷体" w:cs="楷体"/>
          <w:kern w:val="0"/>
          <w:szCs w:val="21"/>
          <w:lang w:val="en-US"/>
        </w:rPr>
        <w:t>。</w:t>
      </w:r>
      <w:r>
        <w:rPr>
          <w:rFonts w:hint="eastAsia" w:ascii="楷体" w:hAnsi="楷体" w:eastAsia="楷体" w:cs="楷体"/>
          <w:kern w:val="0"/>
          <w:szCs w:val="21"/>
          <w:lang w:val="en-US" w:eastAsia="zh-CN"/>
        </w:rPr>
        <w:t>（包括但不限于省、国家级</w:t>
      </w:r>
      <w:r>
        <w:rPr>
          <w:rFonts w:hint="eastAsia" w:ascii="楷体" w:hAnsi="楷体" w:eastAsia="楷体" w:cs="楷体"/>
          <w:kern w:val="0"/>
          <w:szCs w:val="21"/>
          <w:lang w:val="en-US"/>
        </w:rPr>
        <w:t>优秀党员、共青团员、三好学生、优秀学生干部、全国最美大学生、全国大学生年度人物、中国大学生自强之星（标兵）</w:t>
      </w:r>
      <w:r>
        <w:rPr>
          <w:rFonts w:hint="eastAsia" w:ascii="楷体" w:hAnsi="楷体" w:eastAsia="楷体" w:cs="楷体"/>
          <w:kern w:val="0"/>
          <w:szCs w:val="21"/>
          <w:lang w:val="en-US" w:eastAsia="zh-CN"/>
        </w:rPr>
        <w:t>等）</w:t>
      </w:r>
    </w:p>
    <w:p w14:paraId="0DD79436">
      <w:pPr>
        <w:pStyle w:val="9"/>
        <w:snapToGrid w:val="0"/>
        <w:spacing w:line="360" w:lineRule="auto"/>
        <w:ind w:right="129" w:firstLine="420" w:firstLineChars="200"/>
        <w:jc w:val="left"/>
        <w:rPr>
          <w:rFonts w:hint="default" w:ascii="楷体" w:hAnsi="楷体" w:eastAsia="楷体" w:cs="楷体"/>
          <w:kern w:val="0"/>
          <w:szCs w:val="21"/>
          <w:lang w:val="en-US" w:eastAsia="zh-CN"/>
        </w:rPr>
      </w:pPr>
      <w:r>
        <w:rPr>
          <w:rFonts w:hint="eastAsia" w:ascii="楷体" w:hAnsi="楷体" w:eastAsia="楷体" w:cs="楷体"/>
          <w:kern w:val="0"/>
          <w:szCs w:val="21"/>
          <w:lang w:val="en-US" w:eastAsia="zh-CN"/>
        </w:rPr>
        <w:t>5、退役大学生士兵加0.1</w:t>
      </w:r>
      <w:r>
        <w:rPr>
          <w:rFonts w:hint="eastAsia" w:ascii="楷体" w:hAnsi="楷体" w:eastAsia="楷体" w:cs="楷体"/>
          <w:kern w:val="0"/>
          <w:szCs w:val="21"/>
          <w:lang w:val="en-US"/>
        </w:rPr>
        <w:t>。</w:t>
      </w:r>
    </w:p>
    <w:p w14:paraId="5ED03F6C">
      <w:pPr>
        <w:pStyle w:val="9"/>
        <w:snapToGrid w:val="0"/>
        <w:spacing w:line="360" w:lineRule="auto"/>
        <w:ind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二、 在主流媒体报道的优秀个人志愿者事迹或寒暑期社会实践为学校带来较大正面影响，且事件报道后一个月内在学院团委（学生科）进行备案，加分细则：</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5"/>
        <w:gridCol w:w="4357"/>
        <w:gridCol w:w="2738"/>
      </w:tblGrid>
      <w:tr w14:paraId="72F7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pct"/>
          </w:tcPr>
          <w:p w14:paraId="428ECAEF">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序号</w:t>
            </w:r>
          </w:p>
        </w:tc>
        <w:tc>
          <w:tcPr>
            <w:tcW w:w="2428" w:type="pct"/>
          </w:tcPr>
          <w:p w14:paraId="7D670F70">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报道平台</w:t>
            </w:r>
          </w:p>
        </w:tc>
        <w:tc>
          <w:tcPr>
            <w:tcW w:w="1526" w:type="pct"/>
          </w:tcPr>
          <w:p w14:paraId="33AD4F27">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分值/个</w:t>
            </w:r>
          </w:p>
        </w:tc>
      </w:tr>
      <w:tr w14:paraId="46F8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pct"/>
          </w:tcPr>
          <w:p w14:paraId="07347B79">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1</w:t>
            </w:r>
          </w:p>
        </w:tc>
        <w:tc>
          <w:tcPr>
            <w:tcW w:w="2428" w:type="pct"/>
          </w:tcPr>
          <w:p w14:paraId="02A0D86B">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国家级主流报纸、杂志、电视通讯报道</w:t>
            </w:r>
          </w:p>
        </w:tc>
        <w:tc>
          <w:tcPr>
            <w:tcW w:w="1526" w:type="pct"/>
          </w:tcPr>
          <w:p w14:paraId="704AB7A1">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 xml:space="preserve">0.05 </w:t>
            </w:r>
          </w:p>
        </w:tc>
      </w:tr>
      <w:tr w14:paraId="707D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pct"/>
          </w:tcPr>
          <w:p w14:paraId="71693C5D">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2</w:t>
            </w:r>
          </w:p>
        </w:tc>
        <w:tc>
          <w:tcPr>
            <w:tcW w:w="2428" w:type="pct"/>
          </w:tcPr>
          <w:p w14:paraId="0E81E9F9">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省级主流报纸、杂志、电视通讯报道</w:t>
            </w:r>
          </w:p>
        </w:tc>
        <w:tc>
          <w:tcPr>
            <w:tcW w:w="1526" w:type="pct"/>
          </w:tcPr>
          <w:p w14:paraId="53AF72BB">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 xml:space="preserve">0.01 </w:t>
            </w:r>
          </w:p>
        </w:tc>
      </w:tr>
      <w:tr w14:paraId="08A0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pct"/>
          </w:tcPr>
          <w:p w14:paraId="1D597B46">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3</w:t>
            </w:r>
          </w:p>
        </w:tc>
        <w:tc>
          <w:tcPr>
            <w:tcW w:w="2428" w:type="pct"/>
          </w:tcPr>
          <w:p w14:paraId="0CDAFD35">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国家级网络媒体报道</w:t>
            </w:r>
          </w:p>
        </w:tc>
        <w:tc>
          <w:tcPr>
            <w:tcW w:w="1526" w:type="pct"/>
          </w:tcPr>
          <w:p w14:paraId="48308663">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 xml:space="preserve">0.01 </w:t>
            </w:r>
          </w:p>
        </w:tc>
      </w:tr>
    </w:tbl>
    <w:p w14:paraId="236E1FAF">
      <w:pPr>
        <w:pStyle w:val="9"/>
        <w:snapToGrid w:val="0"/>
        <w:spacing w:line="360" w:lineRule="auto"/>
        <w:ind w:right="129"/>
        <w:jc w:val="left"/>
        <w:rPr>
          <w:rFonts w:ascii="楷体" w:hAnsi="楷体" w:eastAsia="楷体" w:cs="楷体"/>
          <w:kern w:val="0"/>
          <w:szCs w:val="21"/>
          <w:lang w:val="en-US"/>
        </w:rPr>
      </w:pPr>
      <w:r>
        <w:rPr>
          <w:rFonts w:hint="eastAsia" w:ascii="楷体" w:hAnsi="楷体" w:eastAsia="楷体" w:cs="楷体"/>
          <w:kern w:val="0"/>
          <w:szCs w:val="21"/>
          <w:lang w:val="en-US"/>
        </w:rPr>
        <w:t>** 报道平台均以国家政府网为准；网址：</w:t>
      </w:r>
      <w:r>
        <w:fldChar w:fldCharType="begin"/>
      </w:r>
      <w:r>
        <w:instrText xml:space="preserve"> HYPERLINK "https://www.gov.cn/xinwen/2021-10/20/5643834/files/fb09dac485774902822b6d171497b2b8.pdf" </w:instrText>
      </w:r>
      <w:r>
        <w:fldChar w:fldCharType="separate"/>
      </w:r>
      <w:r>
        <w:rPr>
          <w:rStyle w:val="8"/>
          <w:rFonts w:ascii="楷体" w:hAnsi="楷体" w:eastAsia="楷体" w:cs="楷体"/>
          <w:kern w:val="0"/>
          <w:szCs w:val="21"/>
          <w:lang w:val="en-US"/>
        </w:rPr>
        <w:t>fb09dac485774902822b6d171497b2b8.pdf</w:t>
      </w:r>
      <w:r>
        <w:rPr>
          <w:rStyle w:val="8"/>
          <w:rFonts w:ascii="楷体" w:hAnsi="楷体" w:eastAsia="楷体" w:cs="楷体"/>
          <w:kern w:val="0"/>
          <w:szCs w:val="21"/>
          <w:lang w:val="en-US"/>
        </w:rPr>
        <w:fldChar w:fldCharType="end"/>
      </w:r>
      <w:r>
        <w:rPr>
          <w:rFonts w:hint="eastAsia" w:ascii="楷体" w:hAnsi="楷体" w:eastAsia="楷体" w:cs="楷体"/>
          <w:kern w:val="0"/>
          <w:szCs w:val="21"/>
          <w:lang w:val="en-US"/>
        </w:rPr>
        <w:t>；</w:t>
      </w:r>
    </w:p>
    <w:p w14:paraId="46E4B349">
      <w:pPr>
        <w:pStyle w:val="9"/>
        <w:snapToGrid w:val="0"/>
        <w:spacing w:line="360" w:lineRule="auto"/>
        <w:ind w:right="129"/>
        <w:jc w:val="left"/>
        <w:rPr>
          <w:rFonts w:ascii="楷体" w:hAnsi="楷体" w:eastAsia="楷体" w:cs="楷体"/>
          <w:kern w:val="0"/>
          <w:szCs w:val="21"/>
          <w:lang w:val="en-US"/>
        </w:rPr>
      </w:pPr>
      <w:r>
        <w:rPr>
          <w:rFonts w:hint="eastAsia" w:ascii="楷体" w:hAnsi="楷体" w:eastAsia="楷体" w:cs="楷体"/>
          <w:kern w:val="0"/>
          <w:szCs w:val="21"/>
          <w:lang w:val="en-US"/>
        </w:rPr>
        <w:t>国家级主流报纸、杂志、电视通讯报道参考“中央新闻单位”38家和“行业媒体”89家；</w:t>
      </w:r>
    </w:p>
    <w:p w14:paraId="56A8C85C">
      <w:pPr>
        <w:pStyle w:val="9"/>
        <w:snapToGrid w:val="0"/>
        <w:spacing w:line="360" w:lineRule="auto"/>
        <w:ind w:right="129"/>
        <w:jc w:val="left"/>
        <w:rPr>
          <w:rFonts w:ascii="楷体" w:hAnsi="楷体" w:eastAsia="楷体" w:cs="楷体"/>
          <w:kern w:val="0"/>
          <w:szCs w:val="21"/>
          <w:lang w:val="en-US"/>
        </w:rPr>
      </w:pPr>
      <w:r>
        <w:rPr>
          <w:rFonts w:hint="eastAsia" w:ascii="楷体" w:hAnsi="楷体" w:eastAsia="楷体" w:cs="楷体"/>
          <w:kern w:val="0"/>
          <w:szCs w:val="21"/>
          <w:lang w:val="en-US"/>
        </w:rPr>
        <w:t>省级主流报纸、杂志、电视通讯报道参考“地方新闻单位”1072家</w:t>
      </w:r>
      <w:r>
        <w:rPr>
          <w:rFonts w:hint="eastAsia" w:ascii="楷体" w:hAnsi="楷体" w:eastAsia="楷体" w:cs="楷体"/>
          <w:kern w:val="0"/>
          <w:szCs w:val="21"/>
          <w:lang w:val="en-US" w:eastAsia="zh-CN"/>
        </w:rPr>
        <w:t>，地市级报道不加分</w:t>
      </w:r>
      <w:r>
        <w:rPr>
          <w:rFonts w:hint="eastAsia" w:ascii="楷体" w:hAnsi="楷体" w:eastAsia="楷体" w:cs="楷体"/>
          <w:kern w:val="0"/>
          <w:szCs w:val="21"/>
          <w:lang w:val="en-US"/>
        </w:rPr>
        <w:t>；</w:t>
      </w:r>
    </w:p>
    <w:p w14:paraId="70284CD4">
      <w:pPr>
        <w:pStyle w:val="9"/>
        <w:snapToGrid w:val="0"/>
        <w:spacing w:line="360" w:lineRule="auto"/>
        <w:ind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国家级网络媒体报道参考中央新闻网站，若国家级网络媒体报道来源不属于本网，则</w:t>
      </w:r>
      <w:r>
        <w:rPr>
          <w:rFonts w:hint="eastAsia" w:ascii="楷体" w:hAnsi="楷体" w:eastAsia="楷体" w:cs="楷体"/>
          <w:kern w:val="0"/>
          <w:szCs w:val="21"/>
          <w:lang w:val="en-US" w:eastAsia="zh-CN"/>
        </w:rPr>
        <w:t>必须全文转载</w:t>
      </w:r>
      <w:r>
        <w:rPr>
          <w:rFonts w:hint="eastAsia" w:ascii="楷体" w:hAnsi="楷体" w:eastAsia="楷体" w:cs="楷体"/>
          <w:kern w:val="0"/>
          <w:szCs w:val="21"/>
          <w:lang w:val="en-US"/>
        </w:rPr>
        <w:t>。</w:t>
      </w:r>
    </w:p>
    <w:p w14:paraId="1E4AD027">
      <w:pPr>
        <w:pStyle w:val="9"/>
        <w:snapToGrid w:val="0"/>
        <w:spacing w:line="360" w:lineRule="auto"/>
        <w:ind w:right="129"/>
        <w:jc w:val="left"/>
        <w:rPr>
          <w:rFonts w:ascii="楷体" w:hAnsi="楷体" w:eastAsia="楷体" w:cs="楷体"/>
          <w:kern w:val="0"/>
          <w:szCs w:val="21"/>
          <w:lang w:val="en-US"/>
        </w:rPr>
      </w:pPr>
      <w:r>
        <w:rPr>
          <w:rFonts w:hint="eastAsia" w:ascii="楷体" w:hAnsi="楷体" w:eastAsia="楷体" w:cs="楷体"/>
          <w:kern w:val="0"/>
          <w:szCs w:val="21"/>
          <w:lang w:val="en-US"/>
        </w:rPr>
        <w:t>** 相同事件报道取最高级别媒体报道的分数。</w:t>
      </w:r>
    </w:p>
    <w:p w14:paraId="0A250EA6">
      <w:pPr>
        <w:pStyle w:val="9"/>
        <w:snapToGrid w:val="0"/>
        <w:spacing w:line="360" w:lineRule="auto"/>
        <w:ind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三、 学生参加各级赛事的志愿者服务，且取得证书后一个月内在学院团委（学生科）进行备案，加分细则：</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4"/>
        <w:gridCol w:w="2919"/>
        <w:gridCol w:w="2919"/>
        <w:gridCol w:w="1848"/>
      </w:tblGrid>
      <w:tr w14:paraId="7C0E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pct"/>
          </w:tcPr>
          <w:p w14:paraId="15A66653">
            <w:pPr>
              <w:pStyle w:val="9"/>
              <w:snapToGrid w:val="0"/>
              <w:ind w:right="130"/>
              <w:rPr>
                <w:rFonts w:hint="eastAsia" w:ascii="楷体" w:hAnsi="楷体" w:eastAsia="楷体" w:cs="楷体"/>
                <w:kern w:val="0"/>
                <w:sz w:val="20"/>
                <w:szCs w:val="21"/>
                <w:lang w:val="en-US"/>
              </w:rPr>
            </w:pPr>
            <w:bookmarkStart w:id="0" w:name="_Hlk190888903"/>
            <w:r>
              <w:rPr>
                <w:rFonts w:hint="eastAsia" w:ascii="楷体" w:hAnsi="楷体" w:eastAsia="楷体" w:cs="楷体"/>
                <w:kern w:val="0"/>
                <w:sz w:val="20"/>
                <w:szCs w:val="21"/>
                <w:lang w:val="en-US"/>
              </w:rPr>
              <w:t>序号</w:t>
            </w:r>
          </w:p>
        </w:tc>
        <w:tc>
          <w:tcPr>
            <w:tcW w:w="1627" w:type="pct"/>
          </w:tcPr>
          <w:p w14:paraId="39395260">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类别</w:t>
            </w:r>
          </w:p>
        </w:tc>
        <w:tc>
          <w:tcPr>
            <w:tcW w:w="1627" w:type="pct"/>
          </w:tcPr>
          <w:p w14:paraId="2418279F">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赛事级别</w:t>
            </w:r>
          </w:p>
        </w:tc>
        <w:tc>
          <w:tcPr>
            <w:tcW w:w="1030" w:type="pct"/>
          </w:tcPr>
          <w:p w14:paraId="03B4AC78">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分值/项</w:t>
            </w:r>
          </w:p>
        </w:tc>
      </w:tr>
      <w:tr w14:paraId="3CC7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pct"/>
            <w:vMerge w:val="restart"/>
          </w:tcPr>
          <w:p w14:paraId="6CA01CCA">
            <w:pPr>
              <w:pStyle w:val="9"/>
              <w:snapToGrid w:val="0"/>
              <w:spacing w:before="240"/>
              <w:ind w:right="130"/>
              <w:jc w:val="center"/>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1</w:t>
            </w:r>
          </w:p>
        </w:tc>
        <w:tc>
          <w:tcPr>
            <w:tcW w:w="1627" w:type="pct"/>
            <w:vMerge w:val="restart"/>
          </w:tcPr>
          <w:p w14:paraId="6A418604">
            <w:pPr>
              <w:pStyle w:val="9"/>
              <w:snapToGrid w:val="0"/>
              <w:spacing w:before="240"/>
              <w:ind w:right="130"/>
              <w:jc w:val="center"/>
              <w:rPr>
                <w:rFonts w:hint="eastAsia" w:ascii="楷体" w:hAnsi="楷体" w:eastAsia="楷体" w:cs="楷体"/>
                <w:kern w:val="0"/>
                <w:sz w:val="20"/>
                <w:szCs w:val="21"/>
                <w:lang w:val="en-US" w:eastAsia="zh-CN"/>
              </w:rPr>
            </w:pPr>
            <w:r>
              <w:rPr>
                <w:rFonts w:hint="eastAsia" w:ascii="楷体" w:hAnsi="楷体" w:eastAsia="楷体" w:cs="楷体"/>
                <w:kern w:val="0"/>
                <w:sz w:val="20"/>
                <w:szCs w:val="21"/>
                <w:lang w:val="en-US"/>
              </w:rPr>
              <w:t>文体竞技类</w:t>
            </w:r>
            <w:r>
              <w:rPr>
                <w:rFonts w:hint="eastAsia" w:ascii="楷体" w:hAnsi="楷体" w:eastAsia="楷体" w:cs="楷体"/>
                <w:kern w:val="0"/>
                <w:sz w:val="20"/>
                <w:szCs w:val="21"/>
                <w:lang w:val="en-US" w:eastAsia="zh-CN"/>
              </w:rPr>
              <w:t>赛事服务</w:t>
            </w:r>
          </w:p>
        </w:tc>
        <w:tc>
          <w:tcPr>
            <w:tcW w:w="1627" w:type="pct"/>
          </w:tcPr>
          <w:p w14:paraId="5C9CDA21">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国际志愿者服务</w:t>
            </w:r>
          </w:p>
        </w:tc>
        <w:tc>
          <w:tcPr>
            <w:tcW w:w="1030" w:type="pct"/>
          </w:tcPr>
          <w:p w14:paraId="6E316573">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0.03</w:t>
            </w:r>
          </w:p>
        </w:tc>
      </w:tr>
      <w:tr w14:paraId="23BA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pct"/>
            <w:vMerge w:val="continue"/>
          </w:tcPr>
          <w:p w14:paraId="5B4776D0">
            <w:pPr>
              <w:pStyle w:val="9"/>
              <w:snapToGrid w:val="0"/>
              <w:ind w:right="130"/>
              <w:jc w:val="center"/>
              <w:rPr>
                <w:rFonts w:hint="eastAsia" w:ascii="楷体" w:hAnsi="楷体" w:eastAsia="楷体" w:cs="楷体"/>
                <w:kern w:val="0"/>
                <w:sz w:val="20"/>
                <w:szCs w:val="21"/>
                <w:lang w:val="en-US"/>
              </w:rPr>
            </w:pPr>
          </w:p>
        </w:tc>
        <w:tc>
          <w:tcPr>
            <w:tcW w:w="1627" w:type="pct"/>
            <w:vMerge w:val="continue"/>
          </w:tcPr>
          <w:p w14:paraId="3824AC9F">
            <w:pPr>
              <w:pStyle w:val="9"/>
              <w:snapToGrid w:val="0"/>
              <w:ind w:right="130"/>
              <w:jc w:val="center"/>
              <w:rPr>
                <w:rFonts w:hint="eastAsia" w:ascii="楷体" w:hAnsi="楷体" w:eastAsia="楷体" w:cs="楷体"/>
                <w:kern w:val="0"/>
                <w:sz w:val="20"/>
                <w:szCs w:val="21"/>
                <w:lang w:val="en-US"/>
              </w:rPr>
            </w:pPr>
          </w:p>
        </w:tc>
        <w:tc>
          <w:tcPr>
            <w:tcW w:w="1627" w:type="pct"/>
          </w:tcPr>
          <w:p w14:paraId="5434BF85">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国家级志愿者服务</w:t>
            </w:r>
          </w:p>
        </w:tc>
        <w:tc>
          <w:tcPr>
            <w:tcW w:w="1030" w:type="pct"/>
          </w:tcPr>
          <w:p w14:paraId="13A9AB28">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0.02</w:t>
            </w:r>
          </w:p>
        </w:tc>
      </w:tr>
      <w:tr w14:paraId="40F8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pct"/>
            <w:vMerge w:val="continue"/>
          </w:tcPr>
          <w:p w14:paraId="4A48AC11">
            <w:pPr>
              <w:pStyle w:val="9"/>
              <w:snapToGrid w:val="0"/>
              <w:ind w:right="130"/>
              <w:jc w:val="center"/>
              <w:rPr>
                <w:rFonts w:hint="eastAsia" w:ascii="楷体" w:hAnsi="楷体" w:eastAsia="楷体" w:cs="楷体"/>
                <w:kern w:val="0"/>
                <w:sz w:val="20"/>
                <w:szCs w:val="21"/>
                <w:lang w:val="en-US"/>
              </w:rPr>
            </w:pPr>
          </w:p>
        </w:tc>
        <w:tc>
          <w:tcPr>
            <w:tcW w:w="1627" w:type="pct"/>
            <w:vMerge w:val="continue"/>
          </w:tcPr>
          <w:p w14:paraId="64E04B22">
            <w:pPr>
              <w:pStyle w:val="9"/>
              <w:snapToGrid w:val="0"/>
              <w:ind w:right="130"/>
              <w:jc w:val="center"/>
              <w:rPr>
                <w:rFonts w:hint="eastAsia" w:ascii="楷体" w:hAnsi="楷体" w:eastAsia="楷体" w:cs="楷体"/>
                <w:kern w:val="0"/>
                <w:sz w:val="20"/>
                <w:szCs w:val="21"/>
                <w:lang w:val="en-US"/>
              </w:rPr>
            </w:pPr>
          </w:p>
        </w:tc>
        <w:tc>
          <w:tcPr>
            <w:tcW w:w="1627" w:type="pct"/>
          </w:tcPr>
          <w:p w14:paraId="3543C35E">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省级志愿者服务</w:t>
            </w:r>
          </w:p>
        </w:tc>
        <w:tc>
          <w:tcPr>
            <w:tcW w:w="1030" w:type="pct"/>
          </w:tcPr>
          <w:p w14:paraId="35764140">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0.01</w:t>
            </w:r>
          </w:p>
        </w:tc>
      </w:tr>
      <w:tr w14:paraId="22A5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pct"/>
            <w:vMerge w:val="restart"/>
            <w:vAlign w:val="center"/>
          </w:tcPr>
          <w:p w14:paraId="0C61AE4B">
            <w:pPr>
              <w:pStyle w:val="9"/>
              <w:snapToGrid w:val="0"/>
              <w:ind w:right="130"/>
              <w:jc w:val="center"/>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2</w:t>
            </w:r>
          </w:p>
        </w:tc>
        <w:tc>
          <w:tcPr>
            <w:tcW w:w="1627" w:type="pct"/>
            <w:vMerge w:val="restart"/>
            <w:vAlign w:val="center"/>
          </w:tcPr>
          <w:p w14:paraId="1A682E71">
            <w:pPr>
              <w:pStyle w:val="9"/>
              <w:snapToGrid w:val="0"/>
              <w:ind w:right="130"/>
              <w:jc w:val="center"/>
              <w:rPr>
                <w:rFonts w:hint="eastAsia" w:ascii="楷体" w:hAnsi="楷体" w:eastAsia="楷体" w:cs="楷体"/>
                <w:kern w:val="0"/>
                <w:sz w:val="20"/>
                <w:szCs w:val="21"/>
                <w:lang w:val="en-US" w:eastAsia="zh-CN"/>
              </w:rPr>
            </w:pPr>
            <w:r>
              <w:rPr>
                <w:rFonts w:hint="eastAsia" w:ascii="楷体" w:hAnsi="楷体" w:eastAsia="楷体" w:cs="楷体"/>
                <w:kern w:val="0"/>
                <w:sz w:val="20"/>
                <w:szCs w:val="21"/>
                <w:lang w:val="en-US"/>
              </w:rPr>
              <w:t>学科竞赛类</w:t>
            </w:r>
            <w:r>
              <w:rPr>
                <w:rFonts w:hint="eastAsia" w:ascii="楷体" w:hAnsi="楷体" w:eastAsia="楷体" w:cs="楷体"/>
                <w:kern w:val="0"/>
                <w:sz w:val="20"/>
                <w:szCs w:val="21"/>
                <w:lang w:val="en-US" w:eastAsia="zh-CN"/>
              </w:rPr>
              <w:t>赛事服务</w:t>
            </w:r>
          </w:p>
        </w:tc>
        <w:tc>
          <w:tcPr>
            <w:tcW w:w="1627" w:type="pct"/>
          </w:tcPr>
          <w:p w14:paraId="29CA6B8F">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国家级志愿者服务</w:t>
            </w:r>
          </w:p>
        </w:tc>
        <w:tc>
          <w:tcPr>
            <w:tcW w:w="1030" w:type="pct"/>
          </w:tcPr>
          <w:p w14:paraId="558D23DD">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0.02</w:t>
            </w:r>
          </w:p>
        </w:tc>
      </w:tr>
      <w:tr w14:paraId="5A33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pct"/>
            <w:vMerge w:val="continue"/>
          </w:tcPr>
          <w:p w14:paraId="3891EAA9">
            <w:pPr>
              <w:pStyle w:val="9"/>
              <w:snapToGrid w:val="0"/>
              <w:ind w:right="130"/>
              <w:rPr>
                <w:rFonts w:hint="eastAsia" w:ascii="楷体" w:hAnsi="楷体" w:eastAsia="楷体" w:cs="楷体"/>
                <w:kern w:val="0"/>
                <w:sz w:val="20"/>
                <w:szCs w:val="21"/>
                <w:lang w:val="en-US"/>
              </w:rPr>
            </w:pPr>
          </w:p>
        </w:tc>
        <w:tc>
          <w:tcPr>
            <w:tcW w:w="1627" w:type="pct"/>
            <w:vMerge w:val="continue"/>
          </w:tcPr>
          <w:p w14:paraId="50E42EC9">
            <w:pPr>
              <w:pStyle w:val="9"/>
              <w:snapToGrid w:val="0"/>
              <w:ind w:right="130"/>
              <w:rPr>
                <w:rFonts w:hint="eastAsia" w:ascii="楷体" w:hAnsi="楷体" w:eastAsia="楷体" w:cs="楷体"/>
                <w:kern w:val="0"/>
                <w:sz w:val="20"/>
                <w:szCs w:val="21"/>
                <w:lang w:val="en-US"/>
              </w:rPr>
            </w:pPr>
          </w:p>
        </w:tc>
        <w:tc>
          <w:tcPr>
            <w:tcW w:w="1627" w:type="pct"/>
          </w:tcPr>
          <w:p w14:paraId="5CE3A33E">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省级志愿者服务</w:t>
            </w:r>
          </w:p>
        </w:tc>
        <w:tc>
          <w:tcPr>
            <w:tcW w:w="1030" w:type="pct"/>
          </w:tcPr>
          <w:p w14:paraId="23FA73A4">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0.01</w:t>
            </w:r>
          </w:p>
        </w:tc>
      </w:tr>
      <w:bookmarkEnd w:id="0"/>
    </w:tbl>
    <w:p w14:paraId="695F2E5F">
      <w:pPr>
        <w:pStyle w:val="9"/>
        <w:snapToGrid w:val="0"/>
        <w:spacing w:line="360" w:lineRule="auto"/>
        <w:ind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 文体竞技类包含类似马拉松</w:t>
      </w:r>
      <w:r>
        <w:rPr>
          <w:rFonts w:hint="eastAsia" w:ascii="楷体" w:hAnsi="楷体" w:eastAsia="楷体" w:cs="楷体"/>
          <w:kern w:val="0"/>
          <w:szCs w:val="21"/>
          <w:lang w:val="en-US" w:eastAsia="zh-CN"/>
        </w:rPr>
        <w:t>、奥运会、亚运会、全运会等体育</w:t>
      </w:r>
      <w:r>
        <w:rPr>
          <w:rFonts w:hint="eastAsia" w:ascii="楷体" w:hAnsi="楷体" w:eastAsia="楷体" w:cs="楷体"/>
          <w:kern w:val="0"/>
          <w:szCs w:val="21"/>
          <w:lang w:val="en-US"/>
        </w:rPr>
        <w:t>竞赛；学科竞赛类包含有各级政府团委组织的比赛。</w:t>
      </w:r>
    </w:p>
    <w:p w14:paraId="552C1155">
      <w:pPr>
        <w:pStyle w:val="9"/>
        <w:snapToGrid w:val="0"/>
        <w:spacing w:line="360" w:lineRule="auto"/>
        <w:ind w:right="129"/>
        <w:jc w:val="left"/>
        <w:rPr>
          <w:rFonts w:ascii="楷体" w:hAnsi="楷体" w:eastAsia="楷体" w:cs="楷体"/>
          <w:kern w:val="0"/>
          <w:szCs w:val="21"/>
          <w:lang w:val="en-US"/>
        </w:rPr>
      </w:pPr>
      <w:r>
        <w:rPr>
          <w:rFonts w:hint="eastAsia" w:ascii="楷体" w:hAnsi="楷体" w:eastAsia="楷体" w:cs="楷体"/>
          <w:kern w:val="0"/>
          <w:szCs w:val="21"/>
          <w:lang w:val="en-US"/>
        </w:rPr>
        <w:t>** 国际志愿者服务等级认定最终认定由学院推免生遴选工作组决议。</w:t>
      </w:r>
    </w:p>
    <w:p w14:paraId="68C2398A">
      <w:pPr>
        <w:pStyle w:val="9"/>
        <w:snapToGrid w:val="0"/>
        <w:spacing w:line="360" w:lineRule="auto"/>
        <w:ind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w:t>
      </w:r>
      <w:r>
        <w:rPr>
          <w:rFonts w:ascii="楷体" w:hAnsi="楷体" w:eastAsia="楷体" w:cs="楷体"/>
          <w:kern w:val="0"/>
          <w:szCs w:val="21"/>
          <w:lang w:val="en-US"/>
        </w:rPr>
        <w:t>* 通过网络开展的志愿者服务不在加分范围，确实有巨大影响的，由学生提出申请，</w:t>
      </w:r>
      <w:r>
        <w:rPr>
          <w:rFonts w:hint="eastAsia" w:ascii="楷体" w:hAnsi="楷体" w:eastAsia="楷体" w:cs="楷体"/>
          <w:kern w:val="0"/>
          <w:szCs w:val="21"/>
          <w:lang w:val="en-US"/>
        </w:rPr>
        <w:t>推免生遴选工作组议定。</w:t>
      </w:r>
    </w:p>
    <w:p w14:paraId="398111A1">
      <w:pPr>
        <w:pStyle w:val="9"/>
        <w:snapToGrid w:val="0"/>
        <w:spacing w:line="360" w:lineRule="auto"/>
        <w:ind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四、学生参加各级各类文体美劳赛事，且取得证书后一个月内在学院团委（学生科）进行备案，加分细则：</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2"/>
        <w:gridCol w:w="2251"/>
        <w:gridCol w:w="2316"/>
        <w:gridCol w:w="3171"/>
      </w:tblGrid>
      <w:tr w14:paraId="2AF7E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tcPr>
          <w:p w14:paraId="1965584D">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序号</w:t>
            </w:r>
          </w:p>
        </w:tc>
        <w:tc>
          <w:tcPr>
            <w:tcW w:w="1255" w:type="pct"/>
          </w:tcPr>
          <w:p w14:paraId="5FF94209">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赛事级别</w:t>
            </w:r>
          </w:p>
        </w:tc>
        <w:tc>
          <w:tcPr>
            <w:tcW w:w="1291" w:type="pct"/>
          </w:tcPr>
          <w:p w14:paraId="25F6FA24">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奖项</w:t>
            </w:r>
          </w:p>
        </w:tc>
        <w:tc>
          <w:tcPr>
            <w:tcW w:w="1767" w:type="pct"/>
          </w:tcPr>
          <w:p w14:paraId="786738B8">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分值/项</w:t>
            </w:r>
          </w:p>
        </w:tc>
      </w:tr>
      <w:tr w14:paraId="3840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restart"/>
          </w:tcPr>
          <w:p w14:paraId="03AAC0FD">
            <w:pPr>
              <w:pStyle w:val="9"/>
              <w:snapToGrid w:val="0"/>
              <w:spacing w:before="24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1</w:t>
            </w:r>
          </w:p>
        </w:tc>
        <w:tc>
          <w:tcPr>
            <w:tcW w:w="1255" w:type="pct"/>
            <w:vMerge w:val="restart"/>
          </w:tcPr>
          <w:p w14:paraId="48BA6C72">
            <w:pPr>
              <w:pStyle w:val="9"/>
              <w:snapToGrid w:val="0"/>
              <w:spacing w:before="24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国家级</w:t>
            </w:r>
          </w:p>
        </w:tc>
        <w:tc>
          <w:tcPr>
            <w:tcW w:w="1291" w:type="pct"/>
          </w:tcPr>
          <w:p w14:paraId="4E5BFD41">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一等奖</w:t>
            </w:r>
          </w:p>
        </w:tc>
        <w:tc>
          <w:tcPr>
            <w:tcW w:w="1767" w:type="pct"/>
          </w:tcPr>
          <w:p w14:paraId="32DF36A5">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0.1</w:t>
            </w:r>
          </w:p>
        </w:tc>
      </w:tr>
      <w:tr w14:paraId="70C50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continue"/>
          </w:tcPr>
          <w:p w14:paraId="79D7CA1C">
            <w:pPr>
              <w:pStyle w:val="9"/>
              <w:snapToGrid w:val="0"/>
              <w:ind w:right="130"/>
              <w:rPr>
                <w:rFonts w:hint="eastAsia" w:ascii="楷体" w:hAnsi="楷体" w:eastAsia="楷体" w:cs="楷体"/>
                <w:kern w:val="0"/>
                <w:sz w:val="20"/>
                <w:szCs w:val="21"/>
                <w:lang w:val="en-US"/>
              </w:rPr>
            </w:pPr>
          </w:p>
        </w:tc>
        <w:tc>
          <w:tcPr>
            <w:tcW w:w="1255" w:type="pct"/>
            <w:vMerge w:val="continue"/>
          </w:tcPr>
          <w:p w14:paraId="6671835D">
            <w:pPr>
              <w:pStyle w:val="9"/>
              <w:snapToGrid w:val="0"/>
              <w:ind w:right="130"/>
              <w:rPr>
                <w:rFonts w:hint="eastAsia" w:ascii="楷体" w:hAnsi="楷体" w:eastAsia="楷体" w:cs="楷体"/>
                <w:kern w:val="0"/>
                <w:sz w:val="20"/>
                <w:szCs w:val="21"/>
                <w:lang w:val="en-US"/>
              </w:rPr>
            </w:pPr>
          </w:p>
        </w:tc>
        <w:tc>
          <w:tcPr>
            <w:tcW w:w="1291" w:type="pct"/>
          </w:tcPr>
          <w:p w14:paraId="2BC975E8">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二等奖</w:t>
            </w:r>
          </w:p>
        </w:tc>
        <w:tc>
          <w:tcPr>
            <w:tcW w:w="1767" w:type="pct"/>
          </w:tcPr>
          <w:p w14:paraId="6ABD0711">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0.08</w:t>
            </w:r>
          </w:p>
        </w:tc>
      </w:tr>
      <w:tr w14:paraId="24C4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continue"/>
          </w:tcPr>
          <w:p w14:paraId="4BAA50B1">
            <w:pPr>
              <w:pStyle w:val="9"/>
              <w:snapToGrid w:val="0"/>
              <w:ind w:right="130"/>
              <w:rPr>
                <w:rFonts w:hint="eastAsia" w:ascii="楷体" w:hAnsi="楷体" w:eastAsia="楷体" w:cs="楷体"/>
                <w:kern w:val="0"/>
                <w:sz w:val="20"/>
                <w:szCs w:val="21"/>
                <w:lang w:val="en-US"/>
              </w:rPr>
            </w:pPr>
          </w:p>
        </w:tc>
        <w:tc>
          <w:tcPr>
            <w:tcW w:w="1255" w:type="pct"/>
            <w:vMerge w:val="continue"/>
          </w:tcPr>
          <w:p w14:paraId="5FE677A2">
            <w:pPr>
              <w:pStyle w:val="9"/>
              <w:snapToGrid w:val="0"/>
              <w:ind w:right="130"/>
              <w:rPr>
                <w:rFonts w:hint="eastAsia" w:ascii="楷体" w:hAnsi="楷体" w:eastAsia="楷体" w:cs="楷体"/>
                <w:kern w:val="0"/>
                <w:sz w:val="20"/>
                <w:szCs w:val="21"/>
                <w:lang w:val="en-US"/>
              </w:rPr>
            </w:pPr>
          </w:p>
        </w:tc>
        <w:tc>
          <w:tcPr>
            <w:tcW w:w="1291" w:type="pct"/>
          </w:tcPr>
          <w:p w14:paraId="278859D2">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三等奖</w:t>
            </w:r>
          </w:p>
        </w:tc>
        <w:tc>
          <w:tcPr>
            <w:tcW w:w="1767" w:type="pct"/>
          </w:tcPr>
          <w:p w14:paraId="34EA8A35">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0.06</w:t>
            </w:r>
          </w:p>
        </w:tc>
      </w:tr>
      <w:tr w14:paraId="3DA0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restart"/>
          </w:tcPr>
          <w:p w14:paraId="0E4A5F4B">
            <w:pPr>
              <w:pStyle w:val="9"/>
              <w:snapToGrid w:val="0"/>
              <w:spacing w:before="24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2</w:t>
            </w:r>
          </w:p>
        </w:tc>
        <w:tc>
          <w:tcPr>
            <w:tcW w:w="1255" w:type="pct"/>
            <w:vMerge w:val="restart"/>
          </w:tcPr>
          <w:p w14:paraId="56367AB0">
            <w:pPr>
              <w:pStyle w:val="9"/>
              <w:snapToGrid w:val="0"/>
              <w:spacing w:before="24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省部级</w:t>
            </w:r>
          </w:p>
        </w:tc>
        <w:tc>
          <w:tcPr>
            <w:tcW w:w="1291" w:type="pct"/>
          </w:tcPr>
          <w:p w14:paraId="00216F6B">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一等奖</w:t>
            </w:r>
          </w:p>
        </w:tc>
        <w:tc>
          <w:tcPr>
            <w:tcW w:w="1767" w:type="pct"/>
          </w:tcPr>
          <w:p w14:paraId="030DA5DB">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0.05</w:t>
            </w:r>
          </w:p>
        </w:tc>
      </w:tr>
      <w:tr w14:paraId="5542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continue"/>
          </w:tcPr>
          <w:p w14:paraId="4FDA2913">
            <w:pPr>
              <w:pStyle w:val="9"/>
              <w:snapToGrid w:val="0"/>
              <w:ind w:right="130"/>
              <w:rPr>
                <w:rFonts w:hint="eastAsia" w:ascii="楷体" w:hAnsi="楷体" w:eastAsia="楷体" w:cs="楷体"/>
                <w:kern w:val="0"/>
                <w:sz w:val="20"/>
                <w:szCs w:val="21"/>
                <w:lang w:val="en-US"/>
              </w:rPr>
            </w:pPr>
          </w:p>
        </w:tc>
        <w:tc>
          <w:tcPr>
            <w:tcW w:w="1255" w:type="pct"/>
            <w:vMerge w:val="continue"/>
          </w:tcPr>
          <w:p w14:paraId="7F668C0D">
            <w:pPr>
              <w:pStyle w:val="9"/>
              <w:snapToGrid w:val="0"/>
              <w:ind w:right="130"/>
              <w:rPr>
                <w:rFonts w:hint="eastAsia" w:ascii="楷体" w:hAnsi="楷体" w:eastAsia="楷体" w:cs="楷体"/>
                <w:kern w:val="0"/>
                <w:sz w:val="20"/>
                <w:szCs w:val="21"/>
                <w:lang w:val="en-US"/>
              </w:rPr>
            </w:pPr>
          </w:p>
        </w:tc>
        <w:tc>
          <w:tcPr>
            <w:tcW w:w="1291" w:type="pct"/>
          </w:tcPr>
          <w:p w14:paraId="549404C3">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二等奖</w:t>
            </w:r>
          </w:p>
        </w:tc>
        <w:tc>
          <w:tcPr>
            <w:tcW w:w="1767" w:type="pct"/>
          </w:tcPr>
          <w:p w14:paraId="1C17B9DF">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0.03</w:t>
            </w:r>
          </w:p>
        </w:tc>
      </w:tr>
      <w:tr w14:paraId="0AF2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pct"/>
            <w:vMerge w:val="continue"/>
          </w:tcPr>
          <w:p w14:paraId="197C3CC0">
            <w:pPr>
              <w:pStyle w:val="9"/>
              <w:snapToGrid w:val="0"/>
              <w:ind w:right="130"/>
              <w:rPr>
                <w:rFonts w:hint="eastAsia" w:ascii="楷体" w:hAnsi="楷体" w:eastAsia="楷体" w:cs="楷体"/>
                <w:kern w:val="0"/>
                <w:sz w:val="20"/>
                <w:szCs w:val="21"/>
                <w:lang w:val="en-US"/>
              </w:rPr>
            </w:pPr>
          </w:p>
        </w:tc>
        <w:tc>
          <w:tcPr>
            <w:tcW w:w="1255" w:type="pct"/>
            <w:vMerge w:val="continue"/>
          </w:tcPr>
          <w:p w14:paraId="4E3355C9">
            <w:pPr>
              <w:pStyle w:val="9"/>
              <w:snapToGrid w:val="0"/>
              <w:ind w:right="130"/>
              <w:rPr>
                <w:rFonts w:hint="eastAsia" w:ascii="楷体" w:hAnsi="楷体" w:eastAsia="楷体" w:cs="楷体"/>
                <w:kern w:val="0"/>
                <w:sz w:val="20"/>
                <w:szCs w:val="21"/>
                <w:lang w:val="en-US"/>
              </w:rPr>
            </w:pPr>
          </w:p>
        </w:tc>
        <w:tc>
          <w:tcPr>
            <w:tcW w:w="1291" w:type="pct"/>
          </w:tcPr>
          <w:p w14:paraId="226ED72A">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三等奖</w:t>
            </w:r>
          </w:p>
        </w:tc>
        <w:tc>
          <w:tcPr>
            <w:tcW w:w="1767" w:type="pct"/>
          </w:tcPr>
          <w:p w14:paraId="11412341">
            <w:pPr>
              <w:pStyle w:val="9"/>
              <w:snapToGrid w:val="0"/>
              <w:ind w:right="130"/>
              <w:rPr>
                <w:rFonts w:hint="eastAsia" w:ascii="楷体" w:hAnsi="楷体" w:eastAsia="楷体" w:cs="楷体"/>
                <w:kern w:val="0"/>
                <w:sz w:val="20"/>
                <w:szCs w:val="21"/>
                <w:lang w:val="en-US"/>
              </w:rPr>
            </w:pPr>
            <w:r>
              <w:rPr>
                <w:rFonts w:hint="eastAsia" w:ascii="楷体" w:hAnsi="楷体" w:eastAsia="楷体" w:cs="楷体"/>
                <w:kern w:val="0"/>
                <w:sz w:val="20"/>
                <w:szCs w:val="21"/>
                <w:lang w:val="en-US"/>
              </w:rPr>
              <w:t>0.01</w:t>
            </w:r>
          </w:p>
        </w:tc>
      </w:tr>
    </w:tbl>
    <w:p w14:paraId="022C8A0D">
      <w:pPr>
        <w:pStyle w:val="9"/>
        <w:snapToGrid w:val="0"/>
        <w:spacing w:line="360" w:lineRule="auto"/>
        <w:ind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w:t>
      </w:r>
      <w:r>
        <w:rPr>
          <w:rFonts w:ascii="楷体" w:hAnsi="楷体" w:eastAsia="楷体" w:cs="楷体"/>
          <w:kern w:val="0"/>
          <w:szCs w:val="21"/>
          <w:lang w:val="en-US"/>
        </w:rPr>
        <w:t xml:space="preserve"> </w:t>
      </w:r>
      <w:r>
        <w:rPr>
          <w:rFonts w:hint="eastAsia" w:ascii="楷体" w:hAnsi="楷体" w:eastAsia="楷体" w:cs="楷体"/>
          <w:kern w:val="0"/>
          <w:szCs w:val="21"/>
          <w:lang w:val="en-US"/>
        </w:rPr>
        <w:t>有特等奖的比赛</w:t>
      </w:r>
      <w:r>
        <w:rPr>
          <w:rFonts w:hint="eastAsia" w:ascii="楷体" w:hAnsi="楷体" w:eastAsia="楷体" w:cs="楷体"/>
          <w:b/>
          <w:bCs/>
          <w:kern w:val="0"/>
          <w:szCs w:val="21"/>
          <w:lang w:val="en-US"/>
        </w:rPr>
        <w:t>特等奖按照一等奖</w:t>
      </w:r>
      <w:r>
        <w:rPr>
          <w:rFonts w:hint="eastAsia" w:ascii="楷体" w:hAnsi="楷体" w:eastAsia="楷体" w:cs="楷体"/>
          <w:kern w:val="0"/>
          <w:szCs w:val="21"/>
          <w:lang w:val="en-US"/>
        </w:rPr>
        <w:t>加分，其余奖项顺延。</w:t>
      </w:r>
    </w:p>
    <w:p w14:paraId="175AE53F">
      <w:pPr>
        <w:pStyle w:val="9"/>
        <w:snapToGrid w:val="0"/>
        <w:spacing w:line="360" w:lineRule="auto"/>
        <w:ind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 加分由参赛团队人数平分，赛事最终认定由学院推免生遴选工作组决议，且取得证书后一个月内在学院团委（学生科）进行备案。</w:t>
      </w:r>
    </w:p>
    <w:p w14:paraId="38A69ABC">
      <w:pPr>
        <w:pStyle w:val="9"/>
        <w:snapToGrid w:val="0"/>
        <w:spacing w:line="360" w:lineRule="auto"/>
        <w:ind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 xml:space="preserve">** </w:t>
      </w:r>
      <w:r>
        <w:rPr>
          <w:rFonts w:hint="eastAsia" w:ascii="楷体" w:hAnsi="楷体" w:eastAsia="楷体" w:cs="楷体"/>
          <w:b/>
          <w:bCs/>
          <w:kern w:val="0"/>
          <w:szCs w:val="21"/>
          <w:lang w:val="en-US"/>
        </w:rPr>
        <w:t>跨校组队</w:t>
      </w:r>
      <w:r>
        <w:rPr>
          <w:rFonts w:hint="eastAsia" w:ascii="楷体" w:hAnsi="楷体" w:eastAsia="楷体" w:cs="楷体"/>
          <w:kern w:val="0"/>
          <w:szCs w:val="21"/>
          <w:lang w:val="en-US"/>
        </w:rPr>
        <w:t>参加比</w:t>
      </w:r>
      <w:bookmarkStart w:id="1" w:name="_GoBack"/>
      <w:bookmarkEnd w:id="1"/>
      <w:r>
        <w:rPr>
          <w:rFonts w:hint="eastAsia" w:ascii="楷体" w:hAnsi="楷体" w:eastAsia="楷体" w:cs="楷体"/>
          <w:kern w:val="0"/>
          <w:szCs w:val="21"/>
          <w:lang w:val="en-US"/>
        </w:rPr>
        <w:t>赛</w:t>
      </w:r>
      <w:r>
        <w:rPr>
          <w:rFonts w:hint="eastAsia" w:ascii="楷体" w:hAnsi="楷体" w:eastAsia="楷体" w:cs="楷体"/>
          <w:kern w:val="0"/>
          <w:szCs w:val="21"/>
          <w:lang w:val="en-US" w:eastAsia="zh-CN"/>
        </w:rPr>
        <w:t>，</w:t>
      </w:r>
      <w:r>
        <w:rPr>
          <w:rFonts w:hint="eastAsia" w:ascii="楷体" w:hAnsi="楷体" w:eastAsia="楷体" w:cs="楷体"/>
          <w:kern w:val="0"/>
          <w:szCs w:val="21"/>
          <w:lang w:val="en-US"/>
        </w:rPr>
        <w:t>获奖证书参赛单位必须是</w:t>
      </w:r>
      <w:r>
        <w:rPr>
          <w:rFonts w:hint="eastAsia" w:ascii="楷体" w:hAnsi="楷体" w:eastAsia="楷体" w:cs="楷体"/>
          <w:b/>
          <w:bCs/>
          <w:kern w:val="0"/>
          <w:szCs w:val="21"/>
          <w:lang w:val="en-US"/>
        </w:rPr>
        <w:t>中北大学</w:t>
      </w:r>
      <w:r>
        <w:rPr>
          <w:rFonts w:hint="eastAsia" w:ascii="楷体" w:hAnsi="楷体" w:eastAsia="楷体" w:cs="楷体"/>
          <w:kern w:val="0"/>
          <w:szCs w:val="21"/>
          <w:lang w:val="en-US"/>
        </w:rPr>
        <w:t>。</w:t>
      </w:r>
    </w:p>
    <w:p w14:paraId="7C624017">
      <w:pPr>
        <w:pStyle w:val="9"/>
        <w:snapToGrid w:val="0"/>
        <w:spacing w:line="360" w:lineRule="auto"/>
        <w:ind w:right="129"/>
        <w:jc w:val="left"/>
        <w:rPr>
          <w:rFonts w:hint="eastAsia" w:ascii="楷体" w:hAnsi="楷体" w:eastAsia="楷体" w:cs="楷体"/>
          <w:kern w:val="0"/>
          <w:szCs w:val="21"/>
          <w:lang w:val="en-US"/>
        </w:rPr>
      </w:pPr>
      <w:r>
        <w:rPr>
          <w:rFonts w:hint="eastAsia" w:ascii="楷体" w:hAnsi="楷体" w:eastAsia="楷体" w:cs="楷体"/>
          <w:kern w:val="0"/>
          <w:szCs w:val="21"/>
          <w:lang w:val="en-US"/>
        </w:rPr>
        <w:t>五、学生个人在志愿者服务方面作出较大贡献或社会实践方面做出突出贡献，为学校及学院带来广泛社会好评，扩大我院校影响力可经由院团委（学生科）审核，推免生遴选工作组同意，院党委报批后加 0.05 分。</w:t>
      </w:r>
    </w:p>
    <w:p w14:paraId="4DDB9939">
      <w:pPr>
        <w:pStyle w:val="9"/>
        <w:snapToGrid w:val="0"/>
        <w:spacing w:line="360" w:lineRule="auto"/>
        <w:ind w:right="129"/>
        <w:jc w:val="left"/>
        <w:rPr>
          <w:rFonts w:hint="eastAsia"/>
        </w:rPr>
      </w:pPr>
      <w:r>
        <w:rPr>
          <w:rFonts w:hint="eastAsia" w:ascii="楷体" w:hAnsi="楷体" w:eastAsia="楷体" w:cs="楷体"/>
          <w:kern w:val="0"/>
          <w:szCs w:val="21"/>
          <w:lang w:val="en-US"/>
        </w:rPr>
        <w:t>六、实践能力分最多累加不超过 0.1 分。</w:t>
      </w:r>
    </w:p>
    <w:sectPr>
      <w:footerReference r:id="rId3" w:type="default"/>
      <w:pgSz w:w="11906" w:h="16838"/>
      <w:pgMar w:top="1440" w:right="1576" w:bottom="1440" w:left="1576" w:header="851" w:footer="745"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271585"/>
    </w:sdtPr>
    <w:sdtEndPr>
      <w:rPr>
        <w:sz w:val="24"/>
      </w:rPr>
    </w:sdtEndPr>
    <w:sdtContent>
      <w:p w14:paraId="469FC5C2">
        <w:pPr>
          <w:pStyle w:val="4"/>
          <w:jc w:val="center"/>
          <w:rPr>
            <w:sz w:val="24"/>
          </w:rPr>
        </w:pPr>
        <w:r>
          <w:rPr>
            <w:sz w:val="24"/>
          </w:rPr>
          <w:fldChar w:fldCharType="begin"/>
        </w:r>
        <w:r>
          <w:rPr>
            <w:sz w:val="24"/>
          </w:rPr>
          <w:instrText xml:space="preserve">PAGE   \* MERGEFORMAT</w:instrText>
        </w:r>
        <w:r>
          <w:rPr>
            <w:sz w:val="24"/>
          </w:rPr>
          <w:fldChar w:fldCharType="separate"/>
        </w:r>
        <w:r>
          <w:rPr>
            <w:sz w:val="24"/>
            <w:lang w:val="zh-CN"/>
          </w:rPr>
          <w:t>6</w:t>
        </w:r>
        <w:r>
          <w:rPr>
            <w:sz w:val="24"/>
          </w:rPr>
          <w:fldChar w:fldCharType="end"/>
        </w:r>
      </w:p>
    </w:sdtContent>
  </w:sdt>
  <w:p w14:paraId="569DCCDD">
    <w:pPr>
      <w:pStyle w:val="4"/>
    </w:pPr>
  </w:p>
  <w:p w14:paraId="1A3C4DCF"/>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xNzlhMTIzOWRhMDg0MTlmODJhMzBlNjEyNmRkZjcifQ=="/>
  </w:docVars>
  <w:rsids>
    <w:rsidRoot w:val="69EA277C"/>
    <w:rsid w:val="00053C14"/>
    <w:rsid w:val="00097D4C"/>
    <w:rsid w:val="000A70F8"/>
    <w:rsid w:val="000D7112"/>
    <w:rsid w:val="00144672"/>
    <w:rsid w:val="001738A9"/>
    <w:rsid w:val="00202BC8"/>
    <w:rsid w:val="002253BF"/>
    <w:rsid w:val="002E0E23"/>
    <w:rsid w:val="002E76B3"/>
    <w:rsid w:val="002F13C1"/>
    <w:rsid w:val="002F5E36"/>
    <w:rsid w:val="00332981"/>
    <w:rsid w:val="00336824"/>
    <w:rsid w:val="00367C41"/>
    <w:rsid w:val="00490284"/>
    <w:rsid w:val="0049703A"/>
    <w:rsid w:val="004C0D36"/>
    <w:rsid w:val="00523154"/>
    <w:rsid w:val="00552503"/>
    <w:rsid w:val="005B5E49"/>
    <w:rsid w:val="005F3C90"/>
    <w:rsid w:val="00637B18"/>
    <w:rsid w:val="006D7AD5"/>
    <w:rsid w:val="006E3748"/>
    <w:rsid w:val="006F35DE"/>
    <w:rsid w:val="00725971"/>
    <w:rsid w:val="007272A4"/>
    <w:rsid w:val="00733710"/>
    <w:rsid w:val="007A5F29"/>
    <w:rsid w:val="007B1D58"/>
    <w:rsid w:val="007D046A"/>
    <w:rsid w:val="007F2923"/>
    <w:rsid w:val="00800AAC"/>
    <w:rsid w:val="008611C0"/>
    <w:rsid w:val="008A0EE8"/>
    <w:rsid w:val="008E526F"/>
    <w:rsid w:val="00913692"/>
    <w:rsid w:val="00942714"/>
    <w:rsid w:val="009D09B6"/>
    <w:rsid w:val="009E3884"/>
    <w:rsid w:val="00A0671E"/>
    <w:rsid w:val="00A2463C"/>
    <w:rsid w:val="00AA6707"/>
    <w:rsid w:val="00AC6B9B"/>
    <w:rsid w:val="00AD0C4D"/>
    <w:rsid w:val="00AF3C6D"/>
    <w:rsid w:val="00B07D64"/>
    <w:rsid w:val="00B30C22"/>
    <w:rsid w:val="00B77F4F"/>
    <w:rsid w:val="00B85845"/>
    <w:rsid w:val="00BA0789"/>
    <w:rsid w:val="00BC1056"/>
    <w:rsid w:val="00BF2F5D"/>
    <w:rsid w:val="00C00F1C"/>
    <w:rsid w:val="00C22EE0"/>
    <w:rsid w:val="00C340D1"/>
    <w:rsid w:val="00C36B98"/>
    <w:rsid w:val="00C427FB"/>
    <w:rsid w:val="00C85616"/>
    <w:rsid w:val="00CC4AC1"/>
    <w:rsid w:val="00CD7FF7"/>
    <w:rsid w:val="00D40681"/>
    <w:rsid w:val="00D56192"/>
    <w:rsid w:val="00DA45CE"/>
    <w:rsid w:val="00DA5433"/>
    <w:rsid w:val="00DB0F9D"/>
    <w:rsid w:val="00DC6E27"/>
    <w:rsid w:val="00DD646A"/>
    <w:rsid w:val="00E45B99"/>
    <w:rsid w:val="00ED3283"/>
    <w:rsid w:val="00EF2C85"/>
    <w:rsid w:val="00EF3BCF"/>
    <w:rsid w:val="00F24547"/>
    <w:rsid w:val="00F31193"/>
    <w:rsid w:val="00F4237A"/>
    <w:rsid w:val="00F55488"/>
    <w:rsid w:val="00F606EC"/>
    <w:rsid w:val="00F6486B"/>
    <w:rsid w:val="00F65CF8"/>
    <w:rsid w:val="00F840A2"/>
    <w:rsid w:val="00FA27BA"/>
    <w:rsid w:val="00FF5A1D"/>
    <w:rsid w:val="0757641B"/>
    <w:rsid w:val="0ABF65E6"/>
    <w:rsid w:val="2A363DAB"/>
    <w:rsid w:val="3CCA2A44"/>
    <w:rsid w:val="443539B4"/>
    <w:rsid w:val="471715A1"/>
    <w:rsid w:val="47EB5023"/>
    <w:rsid w:val="56E51652"/>
    <w:rsid w:val="60B151FE"/>
    <w:rsid w:val="6396147A"/>
    <w:rsid w:val="69EA277C"/>
    <w:rsid w:val="738C4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link w:val="14"/>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autoRedefine/>
    <w:qFormat/>
    <w:uiPriority w:val="99"/>
    <w:pPr>
      <w:tabs>
        <w:tab w:val="center" w:pos="4153"/>
        <w:tab w:val="right" w:pos="8306"/>
      </w:tabs>
      <w:snapToGrid w:val="0"/>
      <w:jc w:val="left"/>
    </w:pPr>
    <w:rPr>
      <w:sz w:val="18"/>
      <w:szCs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563C1" w:themeColor="hyperlink"/>
      <w:u w:val="single"/>
      <w14:textFill>
        <w14:solidFill>
          <w14:schemeClr w14:val="hlink"/>
        </w14:solidFill>
      </w14:textFill>
    </w:rPr>
  </w:style>
  <w:style w:type="paragraph" w:customStyle="1" w:styleId="9">
    <w:name w:val="Table Paragraph"/>
    <w:basedOn w:val="1"/>
    <w:qFormat/>
    <w:uiPriority w:val="1"/>
    <w:pPr>
      <w:jc w:val="center"/>
    </w:pPr>
    <w:rPr>
      <w:rFonts w:ascii="仿宋" w:hAnsi="仿宋" w:eastAsia="仿宋" w:cs="仿宋"/>
      <w:lang w:val="zh-CN" w:bidi="zh-CN"/>
    </w:rPr>
  </w:style>
  <w:style w:type="character" w:customStyle="1" w:styleId="10">
    <w:name w:val="font31"/>
    <w:basedOn w:val="7"/>
    <w:autoRedefine/>
    <w:qFormat/>
    <w:uiPriority w:val="0"/>
    <w:rPr>
      <w:rFonts w:ascii="楷体" w:hAnsi="楷体" w:eastAsia="楷体" w:cs="楷体"/>
      <w:color w:val="000000"/>
      <w:sz w:val="22"/>
      <w:szCs w:val="22"/>
      <w:u w:val="none"/>
    </w:rPr>
  </w:style>
  <w:style w:type="character" w:customStyle="1" w:styleId="11">
    <w:name w:val="font21"/>
    <w:basedOn w:val="7"/>
    <w:qFormat/>
    <w:uiPriority w:val="0"/>
    <w:rPr>
      <w:rFonts w:hint="default" w:ascii="Times New Roman" w:hAnsi="Times New Roman" w:cs="Times New Roman"/>
      <w:color w:val="000000"/>
      <w:sz w:val="22"/>
      <w:szCs w:val="22"/>
      <w:u w:val="none"/>
    </w:rPr>
  </w:style>
  <w:style w:type="character" w:customStyle="1" w:styleId="12">
    <w:name w:val="font41"/>
    <w:basedOn w:val="7"/>
    <w:qFormat/>
    <w:uiPriority w:val="0"/>
    <w:rPr>
      <w:rFonts w:hint="eastAsia" w:ascii="楷体" w:hAnsi="楷体" w:eastAsia="楷体" w:cs="楷体"/>
      <w:color w:val="000000"/>
      <w:sz w:val="21"/>
      <w:szCs w:val="21"/>
      <w:u w:val="none"/>
    </w:rPr>
  </w:style>
  <w:style w:type="character" w:customStyle="1" w:styleId="13">
    <w:name w:val="font11"/>
    <w:basedOn w:val="7"/>
    <w:autoRedefine/>
    <w:qFormat/>
    <w:uiPriority w:val="0"/>
    <w:rPr>
      <w:rFonts w:hint="eastAsia" w:ascii="楷体" w:hAnsi="楷体" w:eastAsia="楷体" w:cs="楷体"/>
      <w:color w:val="FF0000"/>
      <w:sz w:val="21"/>
      <w:szCs w:val="21"/>
      <w:u w:val="none"/>
    </w:rPr>
  </w:style>
  <w:style w:type="character" w:customStyle="1" w:styleId="14">
    <w:name w:val="标题 1 字符"/>
    <w:basedOn w:val="7"/>
    <w:link w:val="2"/>
    <w:autoRedefine/>
    <w:qFormat/>
    <w:uiPriority w:val="9"/>
    <w:rPr>
      <w:rFonts w:ascii="宋体" w:hAnsi="宋体" w:cs="宋体"/>
      <w:b/>
      <w:bCs/>
      <w:kern w:val="36"/>
      <w:sz w:val="48"/>
      <w:szCs w:val="48"/>
    </w:rPr>
  </w:style>
  <w:style w:type="character" w:customStyle="1" w:styleId="15">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8AC72-74D3-4503-87FB-CAD16864AAF3}">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2410</Words>
  <Characters>2470</Characters>
  <Lines>37</Lines>
  <Paragraphs>10</Paragraphs>
  <TotalTime>14</TotalTime>
  <ScaleCrop>false</ScaleCrop>
  <LinksUpToDate>false</LinksUpToDate>
  <CharactersWithSpaces>2496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2025-02-17T13:46:00Z</dcterms:created>
  <dc:creator>JoannaW</dc:creator>
  <cp:lastModifiedBy>晓晓</cp:lastModifiedBy>
  <dcterms:modified xsi:type="dcterms:W3CDTF">2025-03-11T09:20:53Z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1B92C90D8831471D980F89BA910074FF_13</vt:lpwstr>
  </property>
  <property fmtid="{D5CDD505-2E9C-101B-9397-08002B2CF9AE}" pid="4" name="KSOTemplateDocerSaveRecord">
    <vt:lpwstr>eyJoZGlkIjoiNGY0YTBlMGE3NmRjZGY2MWI3MWExYTVkYmQ5ODVjMWMiLCJ1c2VySWQiOiI1NjkwNDAwNzUifQ==</vt:lpwstr>
  </property>
</Properties>
</file>