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0745B">
      <w:pPr>
        <w:spacing w:after="156" w:afterLines="50"/>
        <w:jc w:val="center"/>
        <w:rPr>
          <w:rFonts w:hint="eastAsia" w:ascii="黑体" w:hAnsi="黑体" w:eastAsia="黑体" w:cs="黑体"/>
          <w:b w:val="0"/>
          <w:bCs/>
          <w:color w:val="FF0000"/>
          <w:sz w:val="72"/>
          <w:szCs w:val="7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FF0000"/>
          <w:sz w:val="72"/>
          <w:szCs w:val="72"/>
          <w:highlight w:val="none"/>
        </w:rPr>
        <w:t>中 北 大 学</w:t>
      </w:r>
    </w:p>
    <w:p w14:paraId="6D9B4246">
      <w:pPr>
        <w:jc w:val="center"/>
        <w:rPr>
          <w:rFonts w:ascii="宋体" w:hAnsi="宋体"/>
          <w:b/>
          <w:szCs w:val="21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FF0000"/>
          <w:sz w:val="66"/>
          <w:szCs w:val="66"/>
          <w:highlight w:val="none"/>
          <w:lang w:val="en-US" w:eastAsia="zh-CN"/>
        </w:rPr>
        <w:t>人文社会科学</w:t>
      </w:r>
      <w:r>
        <w:rPr>
          <w:rFonts w:hint="eastAsia" w:ascii="黑体" w:hAnsi="黑体" w:eastAsia="黑体" w:cs="黑体"/>
          <w:b w:val="0"/>
          <w:bCs/>
          <w:color w:val="FF0000"/>
          <w:sz w:val="66"/>
          <w:szCs w:val="66"/>
          <w:highlight w:val="none"/>
        </w:rPr>
        <w:t>学院文件</w:t>
      </w:r>
    </w:p>
    <w:p w14:paraId="0B28842F">
      <w:pPr>
        <w:spacing w:before="156" w:beforeLines="50"/>
        <w:jc w:val="center"/>
        <w:rPr>
          <w:rFonts w:hint="eastAsia" w:ascii="宋体" w:hAnsi="宋体" w:eastAsia="宋体" w:cs="宋体"/>
          <w:b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 w:val="0"/>
          <w:bCs/>
          <w:sz w:val="36"/>
          <w:szCs w:val="36"/>
          <w:highlight w:val="none"/>
        </w:rPr>
        <w:t>院</w:t>
      </w:r>
      <w:r>
        <w:rPr>
          <w:rFonts w:hint="eastAsia" w:ascii="宋体" w:hAnsi="宋体" w:eastAsia="宋体" w:cs="宋体"/>
          <w:b w:val="0"/>
          <w:bCs/>
          <w:sz w:val="36"/>
          <w:szCs w:val="36"/>
          <w:highlight w:val="none"/>
          <w:lang w:val="en-US" w:eastAsia="zh-CN"/>
        </w:rPr>
        <w:t>教</w:t>
      </w:r>
      <w:r>
        <w:rPr>
          <w:rFonts w:hint="eastAsia" w:ascii="宋体" w:hAnsi="宋体" w:eastAsia="宋体" w:cs="宋体"/>
          <w:b w:val="0"/>
          <w:bCs/>
          <w:sz w:val="36"/>
          <w:szCs w:val="36"/>
          <w:highlight w:val="none"/>
        </w:rPr>
        <w:t>字〔</w:t>
      </w:r>
      <w:r>
        <w:rPr>
          <w:rFonts w:hint="eastAsia" w:ascii="宋体" w:hAnsi="宋体" w:cs="宋体"/>
          <w:b w:val="0"/>
          <w:bCs/>
          <w:sz w:val="36"/>
          <w:szCs w:val="36"/>
          <w:highlight w:val="none"/>
          <w:lang w:val="en-US" w:eastAsia="zh-CN"/>
        </w:rPr>
        <w:t>2026</w:t>
      </w:r>
      <w:r>
        <w:rPr>
          <w:rFonts w:hint="eastAsia" w:ascii="宋体" w:hAnsi="宋体" w:eastAsia="宋体" w:cs="宋体"/>
          <w:b w:val="0"/>
          <w:bCs/>
          <w:sz w:val="36"/>
          <w:szCs w:val="36"/>
          <w:highlight w:val="none"/>
        </w:rPr>
        <w:t>〕第</w:t>
      </w:r>
      <w:r>
        <w:rPr>
          <w:rFonts w:hint="eastAsia" w:ascii="宋体" w:hAnsi="宋体" w:cs="宋体"/>
          <w:b w:val="0"/>
          <w:bCs/>
          <w:sz w:val="36"/>
          <w:szCs w:val="36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/>
          <w:sz w:val="36"/>
          <w:szCs w:val="36"/>
          <w:highlight w:val="none"/>
        </w:rPr>
        <w:t>号</w:t>
      </w:r>
    </w:p>
    <w:p w14:paraId="65585B86">
      <w:pPr>
        <w:jc w:val="center"/>
        <w:rPr>
          <w:highlight w:val="none"/>
        </w:rPr>
      </w:pPr>
      <w:r>
        <w:rPr>
          <w:rFonts w:hint="eastAsia" w:ascii="黑体" w:eastAsia="黑体"/>
          <w:sz w:val="52"/>
          <w:szCs w:val="52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67310</wp:posOffset>
                </wp:positionV>
                <wp:extent cx="5590540" cy="13335"/>
                <wp:effectExtent l="0" t="12700" r="635" b="2159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90540" cy="13335"/>
                        </a:xfrm>
                        <a:prstGeom prst="line">
                          <a:avLst/>
                        </a:prstGeom>
                        <a:noFill/>
                        <a:ln w="25400" cmpd="sng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6.75pt;margin-top:5.3pt;height:1.05pt;width:440.2pt;z-index:251659264;mso-width-relative:page;mso-height-relative:page;" filled="f" stroked="t" coordsize="21600,21600" o:gfxdata="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gQqVDWAAAACQEAAA8AAAAAAAAAAQAgAAAAIgAAAGRycy9kb3ducmV2Lnht&#10;bFBLAQIUABQAAAAIAIdO4kDWBwOk+wEAANIDAAAOAAAAAAAAAAEAIAAAACUBAABkcnMvZTJvRG9j&#10;LnhtbFBLBQYAAAAABgAGAFkBAACSBQAAAAA=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8"/>
          <w:szCs w:val="18"/>
          <w:highlight w:val="none"/>
        </w:rPr>
        <w:t>    </w:t>
      </w:r>
    </w:p>
    <w:p w14:paraId="3DF17745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jc w:val="center"/>
        <w:textAlignment w:val="auto"/>
        <w:rPr>
          <w:sz w:val="18"/>
          <w:szCs w:val="18"/>
          <w:highlight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人文社会科学学院普通本科学生转专业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32"/>
          <w:szCs w:val="32"/>
          <w:highlight w:val="none"/>
          <w:lang w:eastAsia="zh-CN"/>
        </w:rPr>
        <w:t>实施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方案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修订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sz w:val="32"/>
          <w:szCs w:val="32"/>
          <w:highlight w:val="none"/>
          <w:lang w:eastAsia="zh-CN"/>
        </w:rPr>
        <w:t>）</w:t>
      </w:r>
    </w:p>
    <w:p w14:paraId="2BC3C069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6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sz w:val="18"/>
          <w:szCs w:val="18"/>
          <w:highlight w:val="none"/>
        </w:rPr>
        <w:t> 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为规范学院普通本科学生转专业工作，保障转专业工作公开、公平、公正开展，根据《中北大学普通本科学生转专业管理办法（修订）》（校教〔2025〕8号）文件精神，结合学院本科专业的办学实际、教学资源及人才培养要求，特制定本实施细则。本细则适用于学院接收/转出在校普通全日制本科学生转专业的相关工作。</w:t>
      </w:r>
    </w:p>
    <w:p w14:paraId="4F0EDE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leftChars="0"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一、工作总体要求</w:t>
      </w:r>
    </w:p>
    <w:p w14:paraId="74F6F2EA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学院转专业工作严格遵循公开、公平、公正原则，按照学生自愿、学生与学院双向选择、学院择优录取的程序执行，全程接受学院纪检委员及师生监督。</w:t>
      </w:r>
    </w:p>
    <w:p w14:paraId="487DDB96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学生在校期间只能转一次专业，转专业后学费按当年我院转入专业的收费标准收取，毕业时按转入专业培养方案审核毕业资格、发放学历学位证书。</w:t>
      </w:r>
    </w:p>
    <w:p w14:paraId="7202764E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转专业工作以学院自主组织实施为主，接受学校教务部的宏观管理和业务指导，制定的转专业相关细则、考核结果均按要求报教务部复核、审批及公示。</w:t>
      </w:r>
    </w:p>
    <w:p w14:paraId="43F7774E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加强对全院学生的专业认知教育和生涯规划指导，通过专业宣讲、学业答疑、导师指导等方式，引导学生理性认识专业特色、培养目标及就业方向，避免盲目转专业。</w:t>
      </w:r>
    </w:p>
    <w:p w14:paraId="3E418365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2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二、组织架构与工作职责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成立人文社会科学学院转专业工作小组（以下简称“工作小组”），全程负责转专业的方案制定、资格审核、考核组织、择优录取等工作。</w:t>
      </w:r>
    </w:p>
    <w:p w14:paraId="13966D5F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长：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孙俊伟  芮燕萍</w:t>
      </w:r>
    </w:p>
    <w:p w14:paraId="3C9BC3CF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副组长：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杜  鹃   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王晓东</w:t>
      </w:r>
    </w:p>
    <w:p w14:paraId="6F1DEE68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成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员：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廖高会   柴瑞琴   石慧敏   蒋凯伟   李  娜  </w:t>
      </w:r>
    </w:p>
    <w:p w14:paraId="4FAE012E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1478" w:firstLineChars="616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黄  晴   高晋芳   田雨鑫</w:t>
      </w:r>
    </w:p>
    <w:p w14:paraId="6429C1F5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教学科为工作小组下设办事机构，具体负责转专业工作的日常联络、材料收集、流程对接、信息公示等事务。</w:t>
      </w:r>
    </w:p>
    <w:p w14:paraId="3863C878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三、转专业申请基本要求</w:t>
      </w:r>
    </w:p>
    <w:p w14:paraId="7318D16F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一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本院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学生转出专业条件</w:t>
      </w:r>
    </w:p>
    <w:p w14:paraId="44015887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</w:t>
      </w:r>
      <w:r>
        <w:rPr>
          <w:rFonts w:hint="eastAsia" w:ascii="仿宋" w:hAnsi="仿宋" w:eastAsia="仿宋" w:cs="仿宋"/>
          <w:sz w:val="24"/>
          <w:szCs w:val="24"/>
        </w:rPr>
        <w:t>院全日制本科学生申请转出专业，需同时满足《中北大学普通本科学生转专业管理办法（修订）》第八条、第九条的全部规定，工作小组对学生转出资格进行初审，初审通过后按学校要求报教务部复核，无特殊情况不得无故拒绝符合条件的学生转出。</w:t>
      </w:r>
    </w:p>
    <w:p w14:paraId="141D26A7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院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外学生转入专业条件</w:t>
      </w:r>
    </w:p>
    <w:p w14:paraId="14D858B0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申请转入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我院现有</w:t>
      </w:r>
      <w:r>
        <w:rPr>
          <w:rFonts w:hint="eastAsia" w:ascii="仿宋" w:hAnsi="仿宋" w:eastAsia="仿宋" w:cs="仿宋"/>
          <w:sz w:val="24"/>
          <w:szCs w:val="24"/>
        </w:rPr>
        <w:t>专业的校内学生，除符合《中北大学普通本科学生转专业管理办法（修订）》第八条、第九条的通用规定外，还需满足以下专项要求：</w:t>
      </w:r>
    </w:p>
    <w:p w14:paraId="471F1AA6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专业适配要求</w:t>
      </w:r>
    </w:p>
    <w:p w14:paraId="2697B79C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申请转入英语专业：</w:t>
      </w:r>
      <w:r>
        <w:rPr>
          <w:rFonts w:hint="eastAsia" w:ascii="仿宋" w:hAnsi="仿宋" w:eastAsia="仿宋" w:cs="仿宋"/>
          <w:sz w:val="24"/>
          <w:szCs w:val="24"/>
        </w:rPr>
        <w:t>具备一定英语听说交流能力，能够适应英文教学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  <w:r>
        <w:rPr>
          <w:rFonts w:hint="eastAsia" w:ascii="仿宋" w:hAnsi="仿宋" w:eastAsia="仿宋" w:cs="仿宋"/>
          <w:sz w:val="24"/>
          <w:szCs w:val="24"/>
        </w:rPr>
        <w:t>大学英语每学期期末成绩不得低于70 分；大学英语四级（CET-4）成绩达到425分及以上者优先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74CA3DFF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申请转入广播电视学专业：</w:t>
      </w:r>
      <w:r>
        <w:rPr>
          <w:rFonts w:hint="eastAsia" w:ascii="仿宋" w:hAnsi="仿宋" w:eastAsia="仿宋" w:cs="仿宋"/>
          <w:sz w:val="24"/>
          <w:szCs w:val="24"/>
        </w:rPr>
        <w:t>具备良好的文字表达能力、逻辑思维能力和沟通能力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</w:rPr>
        <w:t>具备一定的创新思维，对社会热点、文化现象有敏锐的洞察力和独立的思考分析能力。</w:t>
      </w:r>
    </w:p>
    <w:p w14:paraId="33F586D0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身体与品行要求</w:t>
      </w:r>
    </w:p>
    <w:p w14:paraId="22BF684F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身心健康，无听力障碍、严重视力障碍（矫正视力后仍无法满足日常教学与交流需求），无严重口吃、发音障碍等影响语言教学与交流的疾病；在校期间无任何纪律处分，政治思想表现良好，学习态度端正。</w:t>
      </w:r>
    </w:p>
    <w:p w14:paraId="4196D57E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特殊情形放宽条件</w:t>
      </w:r>
    </w:p>
    <w:p w14:paraId="0F14E352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退伍复学、因学业困难/身体原因不适合原专业就读的学生，经提供有效证明材料并经工作小组审核确认后，可放宽学业排名要求，但需通过我院组织的专业适应性考核。</w:t>
      </w:r>
    </w:p>
    <w:p w14:paraId="3A12CE0C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eastAsia="zh-CN"/>
        </w:rPr>
        <w:t>）不得转入的情形</w:t>
      </w:r>
    </w:p>
    <w:p w14:paraId="345C08F0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除学校规定的不得转专业情形外，有下列情况之一的，不予接收转专业申请：</w:t>
      </w:r>
    </w:p>
    <w:p w14:paraId="13984FB0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申请材料弄虚作假、隐瞒学籍/处分/成绩情况的；</w:t>
      </w:r>
    </w:p>
    <w:p w14:paraId="47253CE2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经考核，认定其专业基础、学习能力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身心状态</w:t>
      </w:r>
      <w:r>
        <w:rPr>
          <w:rFonts w:hint="eastAsia" w:ascii="仿宋" w:hAnsi="仿宋" w:eastAsia="仿宋" w:cs="仿宋"/>
          <w:sz w:val="24"/>
          <w:szCs w:val="24"/>
        </w:rPr>
        <w:t>无法适应转入专业培养要求的。</w:t>
      </w:r>
    </w:p>
    <w:p w14:paraId="6F743487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四、工作实施阶段</w:t>
      </w:r>
    </w:p>
    <w:p w14:paraId="32E4B99B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我院转专业工作根据学校教务部年度部署开展，整体分为四大核心阶段，具体时间及操作要求以学院专项通知为准：</w:t>
      </w:r>
    </w:p>
    <w:p w14:paraId="2D08E914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1.筹备公示阶段：制定本院各专业转专业接收名额，明确考核方式和内容，报校教务部备案后向全校公示；</w:t>
      </w:r>
    </w:p>
    <w:p w14:paraId="24321833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2.申请审核阶段：受理学生转专业申请，对申请材料完整性、学生资格合规性进行初审，反馈初审结果；</w:t>
      </w:r>
    </w:p>
    <w:p w14:paraId="63D2AFC7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考核录取阶段：转专业工作小组组织专家（五人以上）针对学生的理论成绩、对学院相关专业的认知、已修课程的课程目标及知识掌握程度（学习成绩、专业排名、学分绩点、实际测评等）、综合素质等方面进行全面考核，综合评定，根据接收计划，择优录取；学生工作办公室负责对转专业学生的综合素质（思想道德、心理健康、个人能力、学生工作、兴趣特长等）进行考查。结合接收名额综合评定、择优确定拟录取名单；</w:t>
      </w:r>
    </w:p>
    <w:p w14:paraId="5D31B444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4.公示衔接阶段：拟录取名单在学院官网公示，公示无异议后报校教务部复核、审批，完成录取学生的学籍异动及学业衔接工作。</w:t>
      </w:r>
    </w:p>
    <w:p w14:paraId="138785C1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五、考核与录取原则</w:t>
      </w:r>
    </w:p>
    <w:p w14:paraId="23CE3AB8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考核采取专业能力考核+综合素质考查相结合的方式，由工作小组统一组织实施，具体考核形式、内容及要求另行通知；</w:t>
      </w:r>
    </w:p>
    <w:p w14:paraId="31134900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录取坚持择优录取、总量控制原则，工作小组根据考核结果，结合各专业备案接收名额，综合确定拟录取名单；</w:t>
      </w:r>
    </w:p>
    <w:p w14:paraId="2B82CAF2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综合素质考查不合格的学生，不予录取。</w:t>
      </w:r>
    </w:p>
    <w:p w14:paraId="7C482C7D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六、公示与异议处理</w:t>
      </w:r>
    </w:p>
    <w:p w14:paraId="7EF47ABA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转专业工作各关键环节结果（接收名额、初审结果、拟录取名单等），均按要求在学院官网进行公示，公示期符合学校相关规定；</w:t>
      </w:r>
    </w:p>
    <w:p w14:paraId="07FB1B70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公示期间，师生可对相关结果提出异议，需以书面形式向工作小组提交异议申请及佐证材料，工作小组按规定核查并反馈处理结果。</w:t>
      </w:r>
    </w:p>
    <w:p w14:paraId="3D2BF0F5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七、公示与异议处理</w:t>
      </w:r>
    </w:p>
    <w:p w14:paraId="694456D5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1.转专业工作各关键环节结果（接收名额、初审结果、拟录取名单等），均按要求在学院官网进行公示，公示期符合学校相关规定；</w:t>
      </w:r>
    </w:p>
    <w:p w14:paraId="5A8102EF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2.公示期间，师生可对相关结果提出异议，需以书面形式向工作小组提交异议申请及佐证材料，工作小组按规定核查并反馈处理结果。</w:t>
      </w:r>
    </w:p>
    <w:p w14:paraId="6D22C235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八、监督与违规处理</w:t>
      </w:r>
    </w:p>
    <w:p w14:paraId="266DA570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1.学院纪检委员对转专业工作全流程进行监督，确保各环节操作规范、公开透明；</w:t>
      </w:r>
    </w:p>
    <w:p w14:paraId="0A0FB18B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2.学生在申请、考核过程中存在弄虚作假、徇私舞弊等违规行为的，一经查实，取消其本次转专业申请或录取资格；</w:t>
      </w:r>
    </w:p>
    <w:p w14:paraId="703EF6D6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3.参与转专业工作的相关人员存在违规操作的，一经查实，按学校及学院相关规定处理。</w:t>
      </w:r>
    </w:p>
    <w:p w14:paraId="00F4421A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sz w:val="24"/>
          <w:szCs w:val="24"/>
          <w:highlight w:val="none"/>
          <w:lang w:val="en-US" w:eastAsia="zh-CN"/>
        </w:rPr>
        <w:t>九、附则</w:t>
      </w:r>
    </w:p>
    <w:p w14:paraId="4DAEFC7A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本方案为人文社会科学学院转专业工作宏观执行依据，具体实操要求由学院根据学校年度转专业工作部署，以专项通知形式另行下发；</w:t>
      </w:r>
    </w:p>
    <w:p w14:paraId="2A43DFE7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本方案未尽事宜，按照《中北大学普通本科学生转专业管理办法（修订）》（校教〔2025〕8 号）文件规定执行；</w:t>
      </w:r>
    </w:p>
    <w:p w14:paraId="6B6B3897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本方案由人文社会科学学院转专业工作小组负责解释；</w:t>
      </w:r>
    </w:p>
    <w:p w14:paraId="497617D6">
      <w:pPr>
        <w:keepNext w:val="0"/>
        <w:keepLines w:val="0"/>
        <w:pageBreakBefore w:val="0"/>
        <w:widowControl w:val="0"/>
        <w:tabs>
          <w:tab w:val="left" w:pos="441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本方案自发布之日起施行。</w:t>
      </w:r>
    </w:p>
    <w:p w14:paraId="551D7551">
      <w:pPr>
        <w:spacing w:line="360" w:lineRule="auto"/>
        <w:ind w:firstLine="360" w:firstLineChars="200"/>
        <w:rPr>
          <w:sz w:val="18"/>
          <w:highlight w:val="none"/>
        </w:rPr>
      </w:pPr>
    </w:p>
    <w:p w14:paraId="0214CC11"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left"/>
        <w:rPr>
          <w:sz w:val="18"/>
          <w:highlight w:val="none"/>
        </w:rPr>
      </w:pPr>
      <w:r>
        <w:rPr>
          <w:sz w:val="1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386715</wp:posOffset>
                </wp:positionV>
                <wp:extent cx="5419725" cy="635"/>
                <wp:effectExtent l="0" t="4445" r="0" b="8890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972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2.55pt;margin-top:30.45pt;height:0.05pt;width:426.75pt;z-index:251660288;mso-width-relative:page;mso-height-relative:page;" filled="f" stroked="t" coordsize="21600,21600" o:gfxdata="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qBXpXUAAAA&#10;BwEAAA8AAAAAAAAAAQAgAAAAIgAAAGRycy9kb3ducmV2LnhtbFBLAQIUABQAAAAIAIdO4kCaeCOz&#10;6AEAAN0DAAAOAAAAAAAAAAEAIAAAACM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7CCC843">
      <w:pPr>
        <w:bidi w:val="0"/>
        <w:jc w:val="left"/>
        <w:rPr>
          <w:rFonts w:hint="default" w:ascii="仿宋" w:hAnsi="仿宋" w:eastAsia="仿宋" w:cs="仿宋"/>
          <w:kern w:val="2"/>
          <w:sz w:val="24"/>
          <w:szCs w:val="28"/>
          <w:highlight w:val="none"/>
          <w:lang w:val="en-US" w:eastAsia="zh-CN" w:bidi="ar-SA"/>
        </w:rPr>
      </w:pPr>
      <w:r>
        <w:rPr>
          <w:sz w:val="20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333375</wp:posOffset>
                </wp:positionV>
                <wp:extent cx="5447665" cy="19050"/>
                <wp:effectExtent l="0" t="4445" r="635" b="5080"/>
                <wp:wrapNone/>
                <wp:docPr id="2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47665" cy="190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flip:y;margin-left:1.05pt;margin-top:26.25pt;height:1.5pt;width:428.95pt;z-index:251661312;mso-width-relative:page;mso-height-relative:page;" filled="f" stroked="t" coordsize="21600,21600" o:gfxdata="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021/q1QAAAAcBAAAPAAAAAAAAAAEAIAAAACIAAABkcnMvZG93bnJldi54bWxQSwECFAAU&#10;AAAACACHTuJATEULPPQBAADpAwAADgAAAAAAAAABACAAAAAk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kern w:val="2"/>
          <w:sz w:val="28"/>
          <w:szCs w:val="32"/>
          <w:highlight w:val="none"/>
          <w:lang w:val="en-US" w:eastAsia="zh-CN" w:bidi="ar-SA"/>
        </w:rPr>
        <w:t xml:space="preserve">中北大学人文社会科学学院 </w:t>
      </w:r>
      <w:r>
        <w:rPr>
          <w:rFonts w:hint="eastAsia" w:ascii="仿宋" w:hAnsi="仿宋" w:eastAsia="仿宋" w:cs="仿宋"/>
          <w:kern w:val="2"/>
          <w:sz w:val="24"/>
          <w:szCs w:val="28"/>
          <w:highlight w:val="none"/>
          <w:lang w:val="en-US" w:eastAsia="zh-CN" w:bidi="ar-SA"/>
        </w:rPr>
        <w:t xml:space="preserve">                     2026年3月30日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2ZDQ5NmUwMzBhOGQ5YzM5ZjYzN2U2NzkwMTUwZWMifQ=="/>
  </w:docVars>
  <w:rsids>
    <w:rsidRoot w:val="00000000"/>
    <w:rsid w:val="0CB3547B"/>
    <w:rsid w:val="1CE75EF8"/>
    <w:rsid w:val="1D2E0794"/>
    <w:rsid w:val="1EA745F2"/>
    <w:rsid w:val="1FB420F8"/>
    <w:rsid w:val="2AE66C03"/>
    <w:rsid w:val="2BBA169D"/>
    <w:rsid w:val="31B91EE7"/>
    <w:rsid w:val="33406722"/>
    <w:rsid w:val="34297A1C"/>
    <w:rsid w:val="39E41254"/>
    <w:rsid w:val="3DD81385"/>
    <w:rsid w:val="425D0387"/>
    <w:rsid w:val="43222DDF"/>
    <w:rsid w:val="553B5560"/>
    <w:rsid w:val="56630BCA"/>
    <w:rsid w:val="624835A9"/>
    <w:rsid w:val="6E2843E6"/>
    <w:rsid w:val="6E3E520C"/>
    <w:rsid w:val="6EBE104A"/>
    <w:rsid w:val="71C04E68"/>
    <w:rsid w:val="73194B87"/>
    <w:rsid w:val="75F73F89"/>
    <w:rsid w:val="7FA657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2365</Words>
  <Characters>2399</Characters>
  <Lines>0</Lines>
  <Paragraphs>0</Paragraphs>
  <TotalTime>37</TotalTime>
  <ScaleCrop>false</ScaleCrop>
  <LinksUpToDate>false</LinksUpToDate>
  <CharactersWithSpaces>2469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2023-04-17T07:34:00Z</dcterms:created>
  <dc:creator>dell</dc:creator>
  <cp:lastModifiedBy>蒋凯伟</cp:lastModifiedBy>
  <cp:lastPrinted>2026-03-30T04:03:00Z</cp:lastPrinted>
  <dcterms:modified xsi:type="dcterms:W3CDTF">2026-04-03T09:21:55Z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DF40F1F7D6F04879880D73DD8A023EFD_13</vt:lpwstr>
  </property>
  <property fmtid="{D5CDD505-2E9C-101B-9397-08002B2CF9AE}" pid="4" name="KSOTemplateDocerSaveRecord">
    <vt:lpwstr>eyJoZGlkIjoiNDFlOGRjNjE1MjBiNzhmOTk2NTlhOWI4MjA2NzI2YmIiLCJ1c2VySWQiOiIxNzg3MjI5MDA4In0=</vt:lpwstr>
  </property>
</Properties>
</file>