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4" w:lineRule="exact"/>
        <w:ind w:firstLine="0" w:firstLineChars="0"/>
        <w:jc w:val="center"/>
        <w:rPr>
          <w:rFonts w:ascii="方正小标宋简体" w:hAnsi="宋体" w:eastAsia="方正小标宋简体" w:cs="Times New Roman"/>
          <w:sz w:val="44"/>
          <w:szCs w:val="44"/>
        </w:rPr>
      </w:pPr>
      <w:bookmarkStart w:id="0" w:name="OLE_LINK1"/>
      <w:r>
        <w:rPr>
          <w:rFonts w:hint="eastAsia" w:ascii="方正小标宋简体" w:hAnsi="宋体" w:eastAsia="方正小标宋简体" w:cs="Times New Roman"/>
          <w:sz w:val="44"/>
          <w:szCs w:val="44"/>
        </w:rPr>
        <w:t>公共管理学</w:t>
      </w:r>
      <w:bookmarkStart w:id="1" w:name="_GoBack"/>
      <w:bookmarkEnd w:id="1"/>
      <w:r>
        <w:rPr>
          <w:rFonts w:hint="eastAsia" w:ascii="方正小标宋简体" w:hAnsi="宋体" w:eastAsia="方正小标宋简体" w:cs="Times New Roman"/>
          <w:sz w:val="44"/>
          <w:szCs w:val="44"/>
        </w:rPr>
        <w:t>院</w:t>
      </w:r>
    </w:p>
    <w:p>
      <w:pPr>
        <w:spacing w:line="584" w:lineRule="exact"/>
        <w:ind w:firstLine="0" w:firstLineChars="0"/>
        <w:jc w:val="center"/>
        <w:rPr>
          <w:rFonts w:ascii="方正小标宋简体" w:hAnsi="宋体" w:eastAsia="方正小标宋简体" w:cs="Times New Roman"/>
          <w:sz w:val="44"/>
          <w:szCs w:val="44"/>
        </w:rPr>
      </w:pPr>
      <w:r>
        <w:rPr>
          <w:rFonts w:ascii="方正小标宋简体" w:hAnsi="宋体" w:eastAsia="方正小标宋简体" w:cs="Times New Roman"/>
          <w:sz w:val="44"/>
          <w:szCs w:val="44"/>
        </w:rPr>
        <w:t>202</w:t>
      </w:r>
      <w:r>
        <w:rPr>
          <w:rFonts w:hint="eastAsia" w:ascii="方正小标宋简体" w:hAnsi="宋体" w:eastAsia="方正小标宋简体" w:cs="Times New Roman"/>
          <w:sz w:val="44"/>
          <w:szCs w:val="44"/>
        </w:rPr>
        <w:t>5</w:t>
      </w:r>
      <w:r>
        <w:rPr>
          <w:rFonts w:ascii="方正小标宋简体" w:hAnsi="宋体" w:eastAsia="方正小标宋简体" w:cs="Times New Roman"/>
          <w:sz w:val="44"/>
          <w:szCs w:val="44"/>
        </w:rPr>
        <w:t>年</w:t>
      </w:r>
      <w:r>
        <w:rPr>
          <w:rFonts w:hint="eastAsia" w:ascii="方正小标宋简体" w:hAnsi="宋体" w:eastAsia="方正小标宋简体" w:cs="Times New Roman"/>
          <w:sz w:val="44"/>
          <w:szCs w:val="44"/>
        </w:rPr>
        <w:t>优秀本科应届毕业生免试推荐</w:t>
      </w:r>
    </w:p>
    <w:p>
      <w:pPr>
        <w:spacing w:line="584" w:lineRule="exact"/>
        <w:ind w:firstLine="0" w:firstLineChars="0"/>
        <w:jc w:val="center"/>
        <w:rPr>
          <w:rFonts w:ascii="方正小标宋简体" w:hAnsi="宋体" w:eastAsia="方正小标宋简体" w:cs="Times New Roman"/>
          <w:sz w:val="44"/>
          <w:szCs w:val="44"/>
        </w:rPr>
      </w:pPr>
      <w:r>
        <w:rPr>
          <w:rFonts w:hint="eastAsia" w:ascii="方正小标宋简体" w:hAnsi="宋体" w:eastAsia="方正小标宋简体" w:cs="Times New Roman"/>
          <w:sz w:val="44"/>
          <w:szCs w:val="44"/>
        </w:rPr>
        <w:t>研究生</w:t>
      </w:r>
      <w:r>
        <w:rPr>
          <w:rFonts w:ascii="方正小标宋简体" w:hAnsi="宋体" w:eastAsia="方正小标宋简体" w:cs="Times New Roman"/>
          <w:sz w:val="44"/>
          <w:szCs w:val="44"/>
        </w:rPr>
        <w:t>实施方案</w:t>
      </w:r>
    </w:p>
    <w:bookmarkEnd w:id="0"/>
    <w:p>
      <w:pPr>
        <w:spacing w:line="580" w:lineRule="exact"/>
        <w:ind w:firstLine="640"/>
        <w:jc w:val="center"/>
        <w:rPr>
          <w:sz w:val="32"/>
          <w:szCs w:val="32"/>
        </w:rPr>
      </w:pPr>
    </w:p>
    <w:p>
      <w:pPr>
        <w:spacing w:line="560" w:lineRule="exact"/>
        <w:ind w:firstLine="640"/>
        <w:rPr>
          <w:rFonts w:hAnsi="宋体" w:cs="Times New Roman"/>
          <w:sz w:val="32"/>
          <w:szCs w:val="32"/>
        </w:rPr>
      </w:pPr>
      <w:r>
        <w:rPr>
          <w:rFonts w:hint="eastAsia" w:hAnsi="宋体" w:cs="Times New Roman"/>
          <w:sz w:val="32"/>
          <w:szCs w:val="32"/>
        </w:rPr>
        <w:t>根据《山东财经大学优秀应届本科毕业生免试攻读研究生推荐办法》（政教〔2021〕2号）《山东财经大学2025年优秀本科应届毕业生免试推荐研究生管理实施办法》等文件的相关规定，为确保2025年优秀本科应届毕业生免试推荐研究生工作公平、公开、公正有序进行，结合我院实际，制订如下实施方案。</w:t>
      </w:r>
    </w:p>
    <w:p>
      <w:pPr>
        <w:spacing w:line="560" w:lineRule="exact"/>
        <w:ind w:firstLine="640"/>
        <w:outlineLvl w:val="0"/>
        <w:rPr>
          <w:rFonts w:ascii="黑体" w:hAnsi="黑体" w:eastAsia="黑体" w:cs="Times New Roman"/>
          <w:sz w:val="32"/>
          <w:szCs w:val="32"/>
        </w:rPr>
      </w:pPr>
      <w:r>
        <w:rPr>
          <w:rFonts w:hint="eastAsia" w:ascii="黑体" w:hAnsi="黑体" w:eastAsia="黑体" w:cs="Times New Roman"/>
          <w:sz w:val="32"/>
          <w:szCs w:val="32"/>
        </w:rPr>
        <w:t>一、组织领导</w:t>
      </w:r>
    </w:p>
    <w:p>
      <w:pPr>
        <w:spacing w:line="560" w:lineRule="exact"/>
        <w:ind w:firstLine="640"/>
        <w:rPr>
          <w:rFonts w:hAnsi="Times New Roman" w:cs="Times New Roman"/>
          <w:sz w:val="32"/>
          <w:szCs w:val="32"/>
        </w:rPr>
      </w:pPr>
      <w:r>
        <w:rPr>
          <w:rFonts w:hint="eastAsia" w:hAnsi="Times New Roman" w:cs="Times New Roman"/>
          <w:sz w:val="32"/>
          <w:szCs w:val="32"/>
        </w:rPr>
        <w:t>学院成立</w:t>
      </w:r>
      <w:r>
        <w:rPr>
          <w:rFonts w:hAnsi="Times New Roman" w:cs="Times New Roman"/>
          <w:sz w:val="32"/>
          <w:szCs w:val="32"/>
        </w:rPr>
        <w:t>20</w:t>
      </w:r>
      <w:r>
        <w:rPr>
          <w:rFonts w:hint="eastAsia" w:hAnsi="Times New Roman" w:cs="Times New Roman"/>
          <w:sz w:val="32"/>
          <w:szCs w:val="32"/>
        </w:rPr>
        <w:t>25</w:t>
      </w:r>
      <w:r>
        <w:rPr>
          <w:rFonts w:hAnsi="Times New Roman" w:cs="Times New Roman"/>
          <w:sz w:val="32"/>
          <w:szCs w:val="32"/>
        </w:rPr>
        <w:t>年推</w:t>
      </w:r>
      <w:r>
        <w:rPr>
          <w:rFonts w:hint="eastAsia" w:hAnsi="Times New Roman" w:cs="Times New Roman"/>
          <w:sz w:val="32"/>
          <w:szCs w:val="32"/>
        </w:rPr>
        <w:t>免生遴选工作小组，负责学院</w:t>
      </w:r>
      <w:r>
        <w:rPr>
          <w:rFonts w:hAnsi="Times New Roman" w:cs="Times New Roman"/>
          <w:sz w:val="32"/>
          <w:szCs w:val="32"/>
        </w:rPr>
        <w:t>推</w:t>
      </w:r>
      <w:r>
        <w:rPr>
          <w:rFonts w:hint="eastAsia" w:hAnsi="Times New Roman" w:cs="Times New Roman"/>
          <w:sz w:val="32"/>
          <w:szCs w:val="32"/>
        </w:rPr>
        <w:t>免生遴选工作。</w:t>
      </w:r>
    </w:p>
    <w:p>
      <w:pPr>
        <w:spacing w:line="560" w:lineRule="exact"/>
        <w:ind w:firstLine="640"/>
        <w:rPr>
          <w:rFonts w:hAnsi="Times New Roman" w:cs="Times New Roman"/>
          <w:sz w:val="32"/>
          <w:szCs w:val="32"/>
        </w:rPr>
      </w:pPr>
      <w:r>
        <w:rPr>
          <w:rFonts w:hint="eastAsia" w:hAnsi="Times New Roman" w:cs="Times New Roman"/>
          <w:sz w:val="32"/>
          <w:szCs w:val="32"/>
        </w:rPr>
        <w:t>组长：张红旗、贾海彦</w:t>
      </w:r>
    </w:p>
    <w:p>
      <w:pPr>
        <w:spacing w:line="560" w:lineRule="exact"/>
        <w:ind w:firstLine="640"/>
        <w:rPr>
          <w:rFonts w:hAnsi="Times New Roman" w:cs="Times New Roman"/>
          <w:sz w:val="32"/>
          <w:szCs w:val="32"/>
        </w:rPr>
      </w:pPr>
      <w:r>
        <w:rPr>
          <w:rFonts w:hint="eastAsia" w:hAnsi="Times New Roman" w:cs="Times New Roman"/>
          <w:sz w:val="32"/>
          <w:szCs w:val="32"/>
        </w:rPr>
        <w:t>副组长：许薇、罗微、曲衍波、姜琪</w:t>
      </w:r>
    </w:p>
    <w:p>
      <w:pPr>
        <w:spacing w:line="560" w:lineRule="exact"/>
        <w:ind w:firstLine="640"/>
        <w:rPr>
          <w:rFonts w:hAnsi="Times New Roman" w:cs="Times New Roman"/>
          <w:sz w:val="32"/>
          <w:szCs w:val="32"/>
        </w:rPr>
      </w:pPr>
      <w:r>
        <w:rPr>
          <w:rFonts w:hint="eastAsia" w:hAnsi="Times New Roman" w:cs="Times New Roman"/>
          <w:sz w:val="32"/>
          <w:szCs w:val="32"/>
        </w:rPr>
        <w:t>成员：（以姓氏笔划为序）邹涛、张辉、徐宏、郭靖、韩琭</w:t>
      </w:r>
    </w:p>
    <w:p>
      <w:pPr>
        <w:spacing w:line="560" w:lineRule="exact"/>
        <w:ind w:firstLine="640"/>
        <w:rPr>
          <w:rFonts w:hAnsi="Times New Roman" w:cs="Times New Roman"/>
          <w:sz w:val="32"/>
          <w:szCs w:val="32"/>
        </w:rPr>
      </w:pPr>
      <w:r>
        <w:rPr>
          <w:rFonts w:hAnsi="Times New Roman" w:cs="Times New Roman"/>
          <w:sz w:val="32"/>
          <w:szCs w:val="32"/>
        </w:rPr>
        <w:t>学院推</w:t>
      </w:r>
      <w:r>
        <w:rPr>
          <w:rFonts w:hint="eastAsia" w:hAnsi="Times New Roman" w:cs="Times New Roman"/>
          <w:sz w:val="32"/>
          <w:szCs w:val="32"/>
        </w:rPr>
        <w:t>免生遴选工作小组在学校推免生遴选工作领导小组统一领导下开展工作。</w:t>
      </w:r>
    </w:p>
    <w:p>
      <w:pPr>
        <w:spacing w:line="560" w:lineRule="exact"/>
        <w:ind w:firstLine="640"/>
        <w:outlineLvl w:val="0"/>
        <w:rPr>
          <w:rFonts w:ascii="黑体" w:hAnsi="黑体" w:eastAsia="黑体" w:cs="Times New Roman"/>
          <w:sz w:val="32"/>
          <w:szCs w:val="32"/>
        </w:rPr>
      </w:pPr>
      <w:r>
        <w:rPr>
          <w:rFonts w:hint="eastAsia" w:ascii="黑体" w:hAnsi="黑体" w:eastAsia="黑体" w:cs="Times New Roman"/>
          <w:sz w:val="32"/>
          <w:szCs w:val="32"/>
        </w:rPr>
        <w:t>二、推免生计划分配方案</w:t>
      </w:r>
    </w:p>
    <w:p>
      <w:pPr>
        <w:spacing w:line="560" w:lineRule="exact"/>
        <w:ind w:firstLine="640"/>
        <w:rPr>
          <w:rFonts w:hint="eastAsia" w:hAnsi="Times New Roman" w:cs="Times New Roman"/>
          <w:sz w:val="32"/>
          <w:szCs w:val="32"/>
        </w:rPr>
      </w:pPr>
      <w:r>
        <w:rPr>
          <w:rFonts w:hint="eastAsia" w:hAnsi="Times New Roman" w:cs="Times New Roman"/>
          <w:sz w:val="32"/>
          <w:szCs w:val="32"/>
        </w:rPr>
        <w:t>学校下达我院推免生名额为12人，学院推免生遴选工作小组以各专业应届本科毕业生状况为依据，综合考虑学生成绩、专业建设等因素，确定各专业推免生名额如表1所示：</w:t>
      </w:r>
    </w:p>
    <w:p>
      <w:pPr>
        <w:spacing w:line="560" w:lineRule="exact"/>
        <w:ind w:firstLine="0" w:firstLineChars="0"/>
        <w:jc w:val="center"/>
        <w:rPr>
          <w:b/>
          <w:sz w:val="32"/>
          <w:szCs w:val="32"/>
        </w:rPr>
      </w:pPr>
    </w:p>
    <w:p>
      <w:pPr>
        <w:spacing w:line="560" w:lineRule="exact"/>
        <w:ind w:firstLine="0" w:firstLineChars="0"/>
        <w:jc w:val="center"/>
        <w:rPr>
          <w:b/>
          <w:sz w:val="32"/>
          <w:szCs w:val="32"/>
        </w:rPr>
      </w:pPr>
      <w:r>
        <w:rPr>
          <w:rFonts w:hint="eastAsia"/>
          <w:b/>
          <w:sz w:val="32"/>
          <w:szCs w:val="32"/>
        </w:rPr>
        <w:t>表1：</w:t>
      </w:r>
      <w:r>
        <w:rPr>
          <w:b/>
          <w:sz w:val="32"/>
          <w:szCs w:val="32"/>
        </w:rPr>
        <w:t>各专业</w:t>
      </w:r>
      <w:r>
        <w:rPr>
          <w:rFonts w:hint="eastAsia"/>
          <w:b/>
          <w:sz w:val="32"/>
          <w:szCs w:val="32"/>
        </w:rPr>
        <w:t>推免</w:t>
      </w:r>
      <w:r>
        <w:rPr>
          <w:b/>
          <w:sz w:val="32"/>
          <w:szCs w:val="32"/>
        </w:rPr>
        <w:t>生名额</w:t>
      </w:r>
    </w:p>
    <w:tbl>
      <w:tblPr>
        <w:tblStyle w:val="14"/>
        <w:tblW w:w="7170" w:type="dxa"/>
        <w:jc w:val="center"/>
        <w:tblLayout w:type="fixed"/>
        <w:tblCellMar>
          <w:top w:w="15" w:type="dxa"/>
          <w:left w:w="15" w:type="dxa"/>
          <w:bottom w:w="15" w:type="dxa"/>
          <w:right w:w="15" w:type="dxa"/>
        </w:tblCellMar>
      </w:tblPr>
      <w:tblGrid>
        <w:gridCol w:w="4413"/>
        <w:gridCol w:w="2757"/>
      </w:tblGrid>
      <w:tr>
        <w:tblPrEx>
          <w:tblCellMar>
            <w:top w:w="15" w:type="dxa"/>
            <w:left w:w="15" w:type="dxa"/>
            <w:bottom w:w="15" w:type="dxa"/>
            <w:right w:w="15" w:type="dxa"/>
          </w:tblCellMar>
        </w:tblPrEx>
        <w:trPr>
          <w:trHeight w:val="450" w:hRule="atLeast"/>
          <w:jc w:val="center"/>
        </w:trPr>
        <w:tc>
          <w:tcPr>
            <w:tcW w:w="4413" w:type="dxa"/>
            <w:tcBorders>
              <w:top w:val="single" w:color="000000" w:sz="4" w:space="0"/>
              <w:left w:val="single" w:color="000000" w:sz="4" w:space="0"/>
              <w:bottom w:val="single" w:color="000000" w:sz="4" w:space="0"/>
              <w:right w:val="single" w:color="000000" w:sz="4" w:space="0"/>
            </w:tcBorders>
            <w:vAlign w:val="center"/>
          </w:tcPr>
          <w:p>
            <w:pPr>
              <w:spacing w:line="560" w:lineRule="exact"/>
              <w:ind w:firstLine="0" w:firstLineChars="0"/>
              <w:jc w:val="center"/>
              <w:rPr>
                <w:b/>
                <w:highlight w:val="none"/>
              </w:rPr>
            </w:pPr>
            <w:r>
              <w:rPr>
                <w:rFonts w:hint="eastAsia"/>
                <w:b/>
                <w:highlight w:val="none"/>
              </w:rPr>
              <w:t>专业名称</w:t>
            </w:r>
          </w:p>
        </w:tc>
        <w:tc>
          <w:tcPr>
            <w:tcW w:w="2757" w:type="dxa"/>
            <w:tcBorders>
              <w:top w:val="single" w:color="000000" w:sz="4" w:space="0"/>
              <w:left w:val="single" w:color="000000" w:sz="4" w:space="0"/>
              <w:bottom w:val="single" w:color="000000" w:sz="4" w:space="0"/>
              <w:right w:val="single" w:color="auto" w:sz="4" w:space="0"/>
            </w:tcBorders>
            <w:vAlign w:val="center"/>
          </w:tcPr>
          <w:p>
            <w:pPr>
              <w:spacing w:line="560" w:lineRule="exact"/>
              <w:ind w:firstLine="0" w:firstLineChars="0"/>
              <w:jc w:val="center"/>
              <w:rPr>
                <w:b/>
                <w:highlight w:val="none"/>
              </w:rPr>
            </w:pPr>
            <w:r>
              <w:rPr>
                <w:rFonts w:hint="eastAsia"/>
                <w:b/>
                <w:highlight w:val="none"/>
              </w:rPr>
              <w:t>名额</w:t>
            </w:r>
          </w:p>
        </w:tc>
      </w:tr>
      <w:tr>
        <w:tblPrEx>
          <w:tblCellMar>
            <w:top w:w="15" w:type="dxa"/>
            <w:left w:w="15" w:type="dxa"/>
            <w:bottom w:w="15" w:type="dxa"/>
            <w:right w:w="15" w:type="dxa"/>
          </w:tblCellMar>
        </w:tblPrEx>
        <w:trPr>
          <w:trHeight w:val="450" w:hRule="atLeast"/>
          <w:jc w:val="center"/>
        </w:trPr>
        <w:tc>
          <w:tcPr>
            <w:tcW w:w="4413" w:type="dxa"/>
            <w:tcBorders>
              <w:top w:val="single" w:color="000000" w:sz="4" w:space="0"/>
              <w:left w:val="single" w:color="000000" w:sz="4" w:space="0"/>
              <w:bottom w:val="single" w:color="000000" w:sz="4" w:space="0"/>
              <w:right w:val="single" w:color="000000" w:sz="4" w:space="0"/>
            </w:tcBorders>
            <w:vAlign w:val="center"/>
          </w:tcPr>
          <w:p>
            <w:pPr>
              <w:spacing w:line="560" w:lineRule="exact"/>
              <w:ind w:firstLine="0" w:firstLineChars="0"/>
              <w:jc w:val="center"/>
              <w:rPr>
                <w:highlight w:val="none"/>
              </w:rPr>
            </w:pPr>
            <w:r>
              <w:rPr>
                <w:highlight w:val="none"/>
              </w:rPr>
              <w:t>行政管理</w:t>
            </w:r>
            <w:r>
              <w:rPr>
                <w:rFonts w:hint="eastAsia"/>
                <w:highlight w:val="none"/>
              </w:rPr>
              <w:t>（含创新实验班）</w:t>
            </w:r>
          </w:p>
        </w:tc>
        <w:tc>
          <w:tcPr>
            <w:tcW w:w="2757" w:type="dxa"/>
            <w:tcBorders>
              <w:top w:val="single" w:color="000000" w:sz="4" w:space="0"/>
              <w:left w:val="single" w:color="000000" w:sz="4" w:space="0"/>
              <w:bottom w:val="single" w:color="000000" w:sz="4" w:space="0"/>
              <w:right w:val="single" w:color="auto" w:sz="4" w:space="0"/>
            </w:tcBorders>
            <w:vAlign w:val="center"/>
          </w:tcPr>
          <w:p>
            <w:pPr>
              <w:spacing w:line="560" w:lineRule="exact"/>
              <w:ind w:firstLine="0" w:firstLineChars="0"/>
              <w:jc w:val="center"/>
              <w:rPr>
                <w:rFonts w:hint="eastAsia" w:eastAsia="仿宋_GB2312"/>
                <w:highlight w:val="none"/>
                <w:lang w:val="en-US" w:eastAsia="zh-CN"/>
              </w:rPr>
            </w:pPr>
            <w:r>
              <w:rPr>
                <w:rFonts w:hint="eastAsia"/>
                <w:highlight w:val="none"/>
                <w:lang w:val="en-US" w:eastAsia="zh-CN"/>
              </w:rPr>
              <w:t>6</w:t>
            </w:r>
          </w:p>
        </w:tc>
      </w:tr>
      <w:tr>
        <w:tblPrEx>
          <w:tblCellMar>
            <w:top w:w="15" w:type="dxa"/>
            <w:left w:w="15" w:type="dxa"/>
            <w:bottom w:w="15" w:type="dxa"/>
            <w:right w:w="15" w:type="dxa"/>
          </w:tblCellMar>
        </w:tblPrEx>
        <w:trPr>
          <w:trHeight w:val="450" w:hRule="atLeast"/>
          <w:jc w:val="center"/>
        </w:trPr>
        <w:tc>
          <w:tcPr>
            <w:tcW w:w="4413" w:type="dxa"/>
            <w:tcBorders>
              <w:top w:val="single" w:color="000000" w:sz="4" w:space="0"/>
              <w:left w:val="single" w:color="000000" w:sz="4" w:space="0"/>
              <w:bottom w:val="single" w:color="000000" w:sz="4" w:space="0"/>
              <w:right w:val="single" w:color="000000" w:sz="4" w:space="0"/>
            </w:tcBorders>
            <w:vAlign w:val="center"/>
          </w:tcPr>
          <w:p>
            <w:pPr>
              <w:spacing w:line="560" w:lineRule="exact"/>
              <w:ind w:firstLine="0" w:firstLineChars="0"/>
              <w:jc w:val="center"/>
              <w:rPr>
                <w:highlight w:val="none"/>
              </w:rPr>
            </w:pPr>
            <w:r>
              <w:rPr>
                <w:highlight w:val="none"/>
              </w:rPr>
              <w:t>劳动与社会保障</w:t>
            </w:r>
          </w:p>
        </w:tc>
        <w:tc>
          <w:tcPr>
            <w:tcW w:w="2757" w:type="dxa"/>
            <w:tcBorders>
              <w:top w:val="single" w:color="000000" w:sz="4" w:space="0"/>
              <w:left w:val="single" w:color="000000" w:sz="4" w:space="0"/>
              <w:bottom w:val="single" w:color="000000" w:sz="4" w:space="0"/>
              <w:right w:val="single" w:color="auto" w:sz="4" w:space="0"/>
            </w:tcBorders>
            <w:vAlign w:val="center"/>
          </w:tcPr>
          <w:p>
            <w:pPr>
              <w:spacing w:line="560" w:lineRule="exact"/>
              <w:ind w:firstLine="0" w:firstLineChars="0"/>
              <w:jc w:val="center"/>
              <w:rPr>
                <w:rFonts w:hint="eastAsia" w:eastAsia="仿宋_GB2312"/>
                <w:highlight w:val="none"/>
                <w:lang w:val="en-US" w:eastAsia="zh-CN"/>
              </w:rPr>
            </w:pPr>
            <w:r>
              <w:rPr>
                <w:rFonts w:hint="eastAsia"/>
                <w:highlight w:val="none"/>
                <w:lang w:val="en-US" w:eastAsia="zh-CN"/>
              </w:rPr>
              <w:t>5</w:t>
            </w:r>
          </w:p>
        </w:tc>
      </w:tr>
      <w:tr>
        <w:tblPrEx>
          <w:tblCellMar>
            <w:top w:w="15" w:type="dxa"/>
            <w:left w:w="15" w:type="dxa"/>
            <w:bottom w:w="15" w:type="dxa"/>
            <w:right w:w="15" w:type="dxa"/>
          </w:tblCellMar>
        </w:tblPrEx>
        <w:trPr>
          <w:trHeight w:val="450" w:hRule="atLeast"/>
          <w:jc w:val="center"/>
        </w:trPr>
        <w:tc>
          <w:tcPr>
            <w:tcW w:w="4413" w:type="dxa"/>
            <w:tcBorders>
              <w:top w:val="single" w:color="000000" w:sz="4" w:space="0"/>
              <w:left w:val="single" w:color="000000" w:sz="4" w:space="0"/>
              <w:bottom w:val="single" w:color="000000" w:sz="4" w:space="0"/>
              <w:right w:val="single" w:color="000000" w:sz="4" w:space="0"/>
            </w:tcBorders>
            <w:vAlign w:val="center"/>
          </w:tcPr>
          <w:p>
            <w:pPr>
              <w:spacing w:line="560" w:lineRule="exact"/>
              <w:ind w:firstLine="0" w:firstLineChars="0"/>
              <w:jc w:val="center"/>
              <w:rPr>
                <w:highlight w:val="none"/>
              </w:rPr>
            </w:pPr>
            <w:r>
              <w:rPr>
                <w:highlight w:val="none"/>
              </w:rPr>
              <w:t>城市管理</w:t>
            </w:r>
          </w:p>
        </w:tc>
        <w:tc>
          <w:tcPr>
            <w:tcW w:w="2757" w:type="dxa"/>
            <w:tcBorders>
              <w:top w:val="single" w:color="000000" w:sz="4" w:space="0"/>
              <w:left w:val="single" w:color="000000" w:sz="4" w:space="0"/>
              <w:bottom w:val="single" w:color="000000" w:sz="4" w:space="0"/>
              <w:right w:val="single" w:color="auto" w:sz="4" w:space="0"/>
            </w:tcBorders>
            <w:vAlign w:val="center"/>
          </w:tcPr>
          <w:p>
            <w:pPr>
              <w:spacing w:line="560" w:lineRule="exact"/>
              <w:ind w:firstLine="0" w:firstLineChars="0"/>
              <w:jc w:val="center"/>
              <w:rPr>
                <w:rFonts w:hint="eastAsia" w:eastAsia="仿宋_GB2312"/>
                <w:highlight w:val="none"/>
                <w:lang w:val="en-US" w:eastAsia="zh-CN"/>
              </w:rPr>
            </w:pPr>
            <w:r>
              <w:rPr>
                <w:rFonts w:hint="eastAsia"/>
                <w:highlight w:val="none"/>
                <w:lang w:val="en-US" w:eastAsia="zh-CN"/>
              </w:rPr>
              <w:t>1</w:t>
            </w:r>
          </w:p>
        </w:tc>
      </w:tr>
    </w:tbl>
    <w:p>
      <w:pPr>
        <w:spacing w:line="560" w:lineRule="exact"/>
        <w:ind w:firstLine="640"/>
        <w:outlineLvl w:val="0"/>
        <w:rPr>
          <w:rFonts w:ascii="黑体" w:hAnsi="黑体" w:eastAsia="黑体" w:cs="Times New Roman"/>
          <w:sz w:val="32"/>
          <w:szCs w:val="32"/>
        </w:rPr>
      </w:pPr>
      <w:r>
        <w:rPr>
          <w:rFonts w:hint="eastAsia" w:ascii="黑体" w:hAnsi="黑体" w:eastAsia="黑体" w:cs="Times New Roman"/>
          <w:sz w:val="32"/>
          <w:szCs w:val="32"/>
        </w:rPr>
        <w:t>三、推免生办法</w:t>
      </w:r>
    </w:p>
    <w:p>
      <w:pPr>
        <w:spacing w:line="560" w:lineRule="exact"/>
        <w:ind w:firstLine="640"/>
        <w:rPr>
          <w:sz w:val="32"/>
          <w:szCs w:val="32"/>
        </w:rPr>
      </w:pPr>
      <w:r>
        <w:rPr>
          <w:rFonts w:hint="eastAsia"/>
          <w:sz w:val="32"/>
          <w:szCs w:val="32"/>
        </w:rPr>
        <w:t>（一）坚持科学遴选，落实立德树人根本任务、引导学生全面发展、</w:t>
      </w:r>
      <w:r>
        <w:rPr>
          <w:sz w:val="32"/>
          <w:szCs w:val="32"/>
        </w:rPr>
        <w:t>综合评价学生的各方面表现</w:t>
      </w:r>
      <w:r>
        <w:rPr>
          <w:rFonts w:hint="eastAsia"/>
          <w:sz w:val="32"/>
          <w:szCs w:val="32"/>
        </w:rPr>
        <w:t>。坚持德智体美劳全面衡量，以德为先，把学生思想政治素质和品德考核作为推免生遴选的重要依据，思想品德考核不合格者不予推荐。突出考查学生的一贯学业表现，注重加强学生本科阶段学习情况的过程性评价，将本科阶段学业综合成绩作为推免工作最基础的遴选指标，对于可能出现学业综合成绩弄虚作假、违规修改的，不得推荐。不专门组织遴选推免生的考试（包括笔试、面试等）。</w:t>
      </w:r>
    </w:p>
    <w:p>
      <w:pPr>
        <w:spacing w:line="560" w:lineRule="exact"/>
        <w:ind w:firstLine="640"/>
        <w:rPr>
          <w:sz w:val="32"/>
          <w:szCs w:val="32"/>
        </w:rPr>
      </w:pPr>
      <w:r>
        <w:rPr>
          <w:rFonts w:hint="eastAsia"/>
          <w:sz w:val="32"/>
          <w:szCs w:val="32"/>
        </w:rPr>
        <w:t>（二）严格审核认定学生特殊学术专长，坚决杜绝弄虚作假。</w:t>
      </w:r>
    </w:p>
    <w:p>
      <w:pPr>
        <w:spacing w:line="560" w:lineRule="exact"/>
        <w:ind w:firstLine="640"/>
        <w:rPr>
          <w:sz w:val="32"/>
          <w:szCs w:val="32"/>
        </w:rPr>
      </w:pPr>
      <w:r>
        <w:rPr>
          <w:rFonts w:hint="eastAsia"/>
          <w:sz w:val="32"/>
          <w:szCs w:val="32"/>
        </w:rPr>
        <w:t>学生提交的科研成果等须与学业相关。学生提交的论文等科研成果涉嫌学术不端，或集体参赛活动中存在“搭车”等情形，实行一票否决制，取消学生推免资格；学生与直系亲属或利益相关人合作的科研成果、竞赛奖项，或其他不适合认定的情况，学生的成果及奖项作为参考，不纳入推免遴选综合评价成绩计算体系，可同等条件下优先考虑；学生提交的科研成果，其指导教师应为校内学业导师，指导教师须对学生的成果写出书面推荐材料，并对其创新质量和个人贡献度进行客观评价。对于评价不实、弄虚作假的，实行一票否决制并取消指导教师未来三年的职称评定、评先评优等资格。</w:t>
      </w:r>
    </w:p>
    <w:p>
      <w:pPr>
        <w:spacing w:line="560" w:lineRule="exact"/>
        <w:ind w:firstLine="640"/>
        <w:rPr>
          <w:sz w:val="32"/>
          <w:szCs w:val="32"/>
        </w:rPr>
      </w:pPr>
      <w:r>
        <w:rPr>
          <w:rFonts w:hint="eastAsia"/>
          <w:sz w:val="32"/>
          <w:szCs w:val="32"/>
        </w:rPr>
        <w:t>学院成立由不少于5人组成的专家审核小组（专家组成员具有公共</w:t>
      </w:r>
      <w:r>
        <w:rPr>
          <w:sz w:val="32"/>
          <w:szCs w:val="32"/>
        </w:rPr>
        <w:t>管理</w:t>
      </w:r>
      <w:r>
        <w:rPr>
          <w:rFonts w:hint="eastAsia"/>
          <w:sz w:val="32"/>
          <w:szCs w:val="32"/>
        </w:rPr>
        <w:t>学科副高级以上职称），必要时会同本研究领域权威专家、相关期刊杂志单位或赛事主办单位等，对申请推免资格学生的科研成果、竞赛奖项等进行审核鉴定，排除抄袭、造假、冒名及有名无实等情况，并组织相关学生在学校一定范围内进行公开答辩。专家审核小组及每位成员都要给出明确审核鉴定意见并签字存档。答辩全程录音录像，答辩结果公开公示。</w:t>
      </w:r>
    </w:p>
    <w:p>
      <w:pPr>
        <w:spacing w:line="560" w:lineRule="exact"/>
        <w:ind w:firstLine="640"/>
        <w:rPr>
          <w:sz w:val="32"/>
          <w:szCs w:val="32"/>
        </w:rPr>
      </w:pPr>
      <w:r>
        <w:rPr>
          <w:rFonts w:hint="eastAsia"/>
          <w:sz w:val="32"/>
          <w:szCs w:val="32"/>
        </w:rPr>
        <w:t>学院推免生遴选工作小组对被推荐人的情况进行会议审查。审查通过后，学院将被推荐人的基本信息、证明被推荐人具有学术专长的主要事迹、专家审核小组每位成员签字的审核鉴定意见等在院内公示。</w:t>
      </w:r>
    </w:p>
    <w:p>
      <w:pPr>
        <w:spacing w:line="560" w:lineRule="exact"/>
        <w:ind w:firstLine="640"/>
        <w:rPr>
          <w:sz w:val="32"/>
          <w:szCs w:val="32"/>
        </w:rPr>
      </w:pPr>
      <w:r>
        <w:rPr>
          <w:rFonts w:hint="eastAsia"/>
          <w:sz w:val="32"/>
          <w:szCs w:val="32"/>
        </w:rPr>
        <w:t>通过审核鉴定、答辩及会议审查的学生特殊学术专长分别在“全国推荐免试攻读研究生信息公开暨管理服务系统”和学校网站上予以公示。未通过审核鉴定、答辩或会议审查的，不纳入推免遴选综合评价成绩计算体系。</w:t>
      </w:r>
    </w:p>
    <w:p>
      <w:pPr>
        <w:spacing w:line="560" w:lineRule="exact"/>
        <w:ind w:firstLine="640"/>
        <w:rPr>
          <w:sz w:val="32"/>
          <w:szCs w:val="32"/>
        </w:rPr>
      </w:pPr>
      <w:r>
        <w:rPr>
          <w:rFonts w:hint="eastAsia"/>
          <w:sz w:val="32"/>
          <w:szCs w:val="32"/>
        </w:rPr>
        <w:t>（三）推免生通过学生自愿报名、学院推免生遴选工作小组考核推荐、学校推免生遴选工作领导小组审核确定的方法产生。</w:t>
      </w:r>
    </w:p>
    <w:p>
      <w:pPr>
        <w:spacing w:line="560" w:lineRule="exact"/>
        <w:ind w:firstLine="640"/>
        <w:rPr>
          <w:sz w:val="32"/>
          <w:szCs w:val="32"/>
        </w:rPr>
      </w:pPr>
      <w:r>
        <w:rPr>
          <w:rFonts w:hint="eastAsia"/>
          <w:sz w:val="32"/>
          <w:szCs w:val="32"/>
        </w:rPr>
        <w:t>（四）推免生资格和推免生考核办法参照《山东财经大学优秀应届本科毕业生免试攻读研究生推荐办法》（政教〔2021〕2号）文件执行。</w:t>
      </w:r>
    </w:p>
    <w:p>
      <w:pPr>
        <w:spacing w:line="560" w:lineRule="exact"/>
        <w:ind w:firstLine="640"/>
        <w:outlineLvl w:val="0"/>
        <w:rPr>
          <w:rFonts w:ascii="黑体" w:hAnsi="黑体" w:eastAsia="黑体" w:cs="Times New Roman"/>
          <w:sz w:val="32"/>
          <w:szCs w:val="32"/>
        </w:rPr>
      </w:pPr>
      <w:r>
        <w:rPr>
          <w:rFonts w:hint="eastAsia" w:ascii="黑体" w:hAnsi="黑体" w:eastAsia="黑体" w:cs="Times New Roman"/>
          <w:sz w:val="32"/>
          <w:szCs w:val="32"/>
        </w:rPr>
        <w:t>四、推免工作程序及时间安排</w:t>
      </w:r>
    </w:p>
    <w:p>
      <w:pPr>
        <w:spacing w:line="560" w:lineRule="exact"/>
        <w:ind w:firstLine="640"/>
        <w:rPr>
          <w:sz w:val="32"/>
          <w:szCs w:val="32"/>
          <w:highlight w:val="none"/>
        </w:rPr>
      </w:pPr>
      <w:r>
        <w:rPr>
          <w:rFonts w:hint="eastAsia"/>
          <w:sz w:val="32"/>
          <w:szCs w:val="32"/>
          <w:highlight w:val="none"/>
        </w:rPr>
        <w:t>（一）9月</w:t>
      </w:r>
      <w:r>
        <w:rPr>
          <w:sz w:val="32"/>
          <w:szCs w:val="32"/>
          <w:highlight w:val="none"/>
        </w:rPr>
        <w:t>6</w:t>
      </w:r>
      <w:r>
        <w:rPr>
          <w:rFonts w:hint="eastAsia"/>
          <w:sz w:val="32"/>
          <w:szCs w:val="32"/>
          <w:highlight w:val="none"/>
        </w:rPr>
        <w:t>日，学院成立</w:t>
      </w:r>
      <w:r>
        <w:rPr>
          <w:rFonts w:hAnsi="Times New Roman" w:cs="Times New Roman"/>
          <w:sz w:val="32"/>
          <w:szCs w:val="32"/>
          <w:highlight w:val="none"/>
        </w:rPr>
        <w:t>推</w:t>
      </w:r>
      <w:r>
        <w:rPr>
          <w:rFonts w:hint="eastAsia" w:hAnsi="Times New Roman" w:cs="Times New Roman"/>
          <w:sz w:val="32"/>
          <w:szCs w:val="32"/>
          <w:highlight w:val="none"/>
        </w:rPr>
        <w:t>免生遴选工作小组</w:t>
      </w:r>
      <w:r>
        <w:rPr>
          <w:rFonts w:hint="eastAsia"/>
          <w:sz w:val="32"/>
          <w:szCs w:val="32"/>
          <w:highlight w:val="none"/>
        </w:rPr>
        <w:t>，制定实施方案，向学校推免生遴选工作领导小组备案，备案后在学院内公开。</w:t>
      </w:r>
    </w:p>
    <w:p>
      <w:pPr>
        <w:spacing w:line="560" w:lineRule="exact"/>
        <w:ind w:firstLine="640"/>
        <w:rPr>
          <w:sz w:val="32"/>
          <w:szCs w:val="32"/>
          <w:highlight w:val="none"/>
        </w:rPr>
      </w:pPr>
      <w:r>
        <w:rPr>
          <w:rFonts w:hint="eastAsia"/>
          <w:sz w:val="32"/>
          <w:szCs w:val="32"/>
          <w:highlight w:val="none"/>
        </w:rPr>
        <w:t>（二）9月</w:t>
      </w:r>
      <w:r>
        <w:rPr>
          <w:sz w:val="32"/>
          <w:szCs w:val="32"/>
          <w:highlight w:val="none"/>
        </w:rPr>
        <w:t>9</w:t>
      </w:r>
      <w:r>
        <w:rPr>
          <w:rFonts w:hint="eastAsia"/>
          <w:sz w:val="32"/>
          <w:szCs w:val="32"/>
          <w:highlight w:val="none"/>
        </w:rPr>
        <w:t>日，学院确定并公开符合推免申请条件的应届毕业生名单。名单内学生根据推免条件自愿向学院申请，填写并提交《推免生资格申请表》（电子版表格见学校推免办法附件），同时提交四、六级成绩单、竞赛获奖证书、论文期刊等相应证明材料的原件及复印件。学院对申请学生进行登记并要求学生签字确认。逾期未提交上述材料者视为自动放弃推免资格申请。</w:t>
      </w:r>
    </w:p>
    <w:p>
      <w:pPr>
        <w:spacing w:line="560" w:lineRule="exact"/>
        <w:ind w:firstLine="640"/>
        <w:rPr>
          <w:sz w:val="32"/>
          <w:szCs w:val="32"/>
        </w:rPr>
      </w:pPr>
      <w:r>
        <w:rPr>
          <w:rFonts w:hint="eastAsia"/>
          <w:sz w:val="32"/>
          <w:szCs w:val="32"/>
          <w:highlight w:val="none"/>
        </w:rPr>
        <w:t>（四）</w:t>
      </w:r>
      <w:r>
        <w:rPr>
          <w:sz w:val="32"/>
          <w:szCs w:val="32"/>
          <w:highlight w:val="none"/>
        </w:rPr>
        <w:t>9月10日，学院对符合申请推免条件的学生，完成</w:t>
      </w:r>
      <w:r>
        <w:rPr>
          <w:rFonts w:hint="eastAsia"/>
          <w:sz w:val="32"/>
          <w:szCs w:val="32"/>
          <w:highlight w:val="none"/>
        </w:rPr>
        <w:t>证明材料的审核及</w:t>
      </w:r>
      <w:r>
        <w:rPr>
          <w:sz w:val="32"/>
          <w:szCs w:val="32"/>
          <w:highlight w:val="none"/>
        </w:rPr>
        <w:t>综合成绩计算</w:t>
      </w:r>
      <w:r>
        <w:rPr>
          <w:rFonts w:hint="eastAsia"/>
          <w:sz w:val="32"/>
          <w:szCs w:val="32"/>
          <w:highlight w:val="none"/>
        </w:rPr>
        <w:t>、</w:t>
      </w:r>
      <w:r>
        <w:rPr>
          <w:sz w:val="32"/>
          <w:szCs w:val="32"/>
          <w:highlight w:val="none"/>
        </w:rPr>
        <w:t>排名工作。学院</w:t>
      </w:r>
      <w:r>
        <w:rPr>
          <w:rFonts w:hint="eastAsia"/>
          <w:sz w:val="32"/>
          <w:szCs w:val="32"/>
          <w:highlight w:val="none"/>
        </w:rPr>
        <w:t>推荐工作小组</w:t>
      </w:r>
      <w:r>
        <w:rPr>
          <w:sz w:val="32"/>
          <w:szCs w:val="32"/>
          <w:highlight w:val="none"/>
        </w:rPr>
        <w:t>根据推免名额确定取得推免生资格的初选名单并报学校推免生遴选工作领导小组审定，名额内自愿放弃资格的须学生本人签字确认后，按照专业顺次递补名额人选。名额内自愿放弃资格的学生名单报教务处备案。</w:t>
      </w:r>
    </w:p>
    <w:p>
      <w:pPr>
        <w:spacing w:line="560" w:lineRule="exact"/>
        <w:ind w:firstLine="640"/>
        <w:outlineLvl w:val="0"/>
        <w:rPr>
          <w:rFonts w:ascii="黑体" w:hAnsi="黑体" w:eastAsia="黑体" w:cs="Times New Roman"/>
          <w:sz w:val="32"/>
          <w:szCs w:val="32"/>
        </w:rPr>
      </w:pPr>
      <w:r>
        <w:rPr>
          <w:rFonts w:hint="eastAsia" w:ascii="黑体" w:hAnsi="黑体" w:eastAsia="黑体" w:cs="Times New Roman"/>
          <w:sz w:val="32"/>
          <w:szCs w:val="32"/>
        </w:rPr>
        <w:t>五、其它事项</w:t>
      </w:r>
    </w:p>
    <w:p>
      <w:pPr>
        <w:spacing w:line="560" w:lineRule="exact"/>
        <w:ind w:firstLine="640"/>
        <w:rPr>
          <w:sz w:val="32"/>
          <w:szCs w:val="32"/>
        </w:rPr>
      </w:pPr>
      <w:r>
        <w:rPr>
          <w:rFonts w:hint="eastAsia"/>
          <w:sz w:val="32"/>
          <w:szCs w:val="32"/>
        </w:rPr>
        <w:t>（一）学院推免生遴选工作小组依据学校推荐办法，结合实际情况，在集体研究、集体决策的基础上，制定具体实施方案。</w:t>
      </w:r>
    </w:p>
    <w:p>
      <w:pPr>
        <w:spacing w:line="560" w:lineRule="exact"/>
        <w:ind w:firstLine="640"/>
        <w:rPr>
          <w:sz w:val="32"/>
          <w:szCs w:val="32"/>
        </w:rPr>
      </w:pPr>
      <w:r>
        <w:rPr>
          <w:rFonts w:hint="eastAsia"/>
          <w:sz w:val="32"/>
          <w:szCs w:val="32"/>
        </w:rPr>
        <w:t>（二）推免工作要坚持公开、公平、公正原则，严格做到程序透明，操作规范，结果公开。积极向学生宣传推免工作的政策和推荐办法，及时通过有效方式公示公开推免生名额、过程性结果、咨询申诉渠道及其他学生应知的各类工作信息。</w:t>
      </w:r>
    </w:p>
    <w:p>
      <w:pPr>
        <w:spacing w:line="560" w:lineRule="exact"/>
        <w:ind w:firstLine="640"/>
        <w:rPr>
          <w:sz w:val="32"/>
          <w:szCs w:val="32"/>
        </w:rPr>
      </w:pPr>
      <w:r>
        <w:rPr>
          <w:rFonts w:hint="eastAsia"/>
          <w:sz w:val="32"/>
          <w:szCs w:val="32"/>
        </w:rPr>
        <w:t>（三）学生应对个人提交材料的真实有效性负责，对在申请推免过程中弄虚作假的学生，一经发现，即取消推免生资格，对已录取者通知录取单位取消录取资格及学籍，并按学校学生管理规定进行相应处理。</w:t>
      </w:r>
    </w:p>
    <w:p>
      <w:pPr>
        <w:spacing w:line="560" w:lineRule="exact"/>
        <w:ind w:firstLine="640"/>
        <w:rPr>
          <w:sz w:val="32"/>
          <w:szCs w:val="32"/>
        </w:rPr>
      </w:pPr>
      <w:r>
        <w:rPr>
          <w:rFonts w:hint="eastAsia"/>
          <w:sz w:val="32"/>
          <w:szCs w:val="32"/>
        </w:rPr>
        <w:t>（四）学院加强学生获得推免资格后的监督，重点监督其毕业前一年的学业成绩和思想道德行为规范。对于学业成绩出现不及格现象，或出现行为失范、道德缺失，违反社会公德或法律法规，影响恶劣等情形的，会同学校进行评估认定后函告其录取院校。</w:t>
      </w:r>
    </w:p>
    <w:p>
      <w:pPr>
        <w:spacing w:line="560" w:lineRule="exact"/>
        <w:ind w:firstLine="640"/>
        <w:rPr>
          <w:sz w:val="32"/>
          <w:szCs w:val="32"/>
        </w:rPr>
      </w:pPr>
      <w:r>
        <w:rPr>
          <w:rFonts w:hint="eastAsia"/>
          <w:sz w:val="32"/>
          <w:szCs w:val="32"/>
        </w:rPr>
        <w:t>（五）学院</w:t>
      </w:r>
      <w:r>
        <w:rPr>
          <w:sz w:val="32"/>
          <w:szCs w:val="32"/>
        </w:rPr>
        <w:t>推</w:t>
      </w:r>
      <w:r>
        <w:rPr>
          <w:rFonts w:hint="eastAsia"/>
          <w:sz w:val="32"/>
          <w:szCs w:val="32"/>
        </w:rPr>
        <w:t>免生遴选工作小组及相关工作人员应切实遵守推免政策规定，扎实做好推荐工作，对推荐工作过程中形成的所有工作材料存档备查。</w:t>
      </w:r>
    </w:p>
    <w:p>
      <w:pPr>
        <w:spacing w:line="560" w:lineRule="exact"/>
        <w:ind w:firstLine="640"/>
        <w:rPr>
          <w:sz w:val="32"/>
          <w:szCs w:val="32"/>
        </w:rPr>
      </w:pPr>
      <w:r>
        <w:rPr>
          <w:rFonts w:hint="eastAsia"/>
          <w:sz w:val="32"/>
          <w:szCs w:val="32"/>
        </w:rPr>
        <w:t>（六）推免工作接受学校纪检监察机构的监督，接受学生及其家长、社会各界的监督，学生对推免工作有关事项提出异议时，学院和相关职能部门应尽快给予答复或者做出解释；学生也可向推免生遴选工作领导小组办公室、学校申诉处理委员会反映或申诉。</w:t>
      </w:r>
    </w:p>
    <w:p>
      <w:pPr>
        <w:spacing w:line="560" w:lineRule="exact"/>
        <w:ind w:firstLine="640"/>
        <w:rPr>
          <w:sz w:val="32"/>
          <w:szCs w:val="32"/>
        </w:rPr>
      </w:pPr>
      <w:r>
        <w:rPr>
          <w:rFonts w:hint="eastAsia"/>
          <w:sz w:val="32"/>
          <w:szCs w:val="32"/>
        </w:rPr>
        <w:t>（七）推免工作严格执行回避制度，凡参与推免工作的人员，有子女或亲属申请推免生资格的，应主动提出回避。凡是在推免工作中出现违规行为的，按照招生违规行为的相关处理规定追究直接责任人员的责任；造成严重后果和恶劣影响的，还将按规定对有关责任人实行问责；违反法律法规的，依法严肃处理。</w:t>
      </w:r>
    </w:p>
    <w:p>
      <w:pPr>
        <w:spacing w:line="560" w:lineRule="exact"/>
        <w:ind w:firstLine="640"/>
        <w:jc w:val="right"/>
        <w:rPr>
          <w:sz w:val="32"/>
          <w:szCs w:val="32"/>
        </w:rPr>
      </w:pPr>
    </w:p>
    <w:p>
      <w:pPr>
        <w:spacing w:line="560" w:lineRule="exact"/>
        <w:ind w:firstLine="640"/>
        <w:jc w:val="right"/>
        <w:rPr>
          <w:sz w:val="32"/>
          <w:szCs w:val="32"/>
        </w:rPr>
      </w:pPr>
    </w:p>
    <w:p>
      <w:pPr>
        <w:spacing w:line="560" w:lineRule="exact"/>
        <w:ind w:firstLine="640"/>
        <w:jc w:val="right"/>
        <w:rPr>
          <w:sz w:val="32"/>
          <w:szCs w:val="32"/>
        </w:rPr>
      </w:pPr>
      <w:r>
        <w:rPr>
          <w:rFonts w:hint="eastAsia"/>
          <w:sz w:val="32"/>
          <w:szCs w:val="32"/>
        </w:rPr>
        <w:t>公共管理学院</w:t>
      </w:r>
    </w:p>
    <w:p>
      <w:pPr>
        <w:spacing w:line="560" w:lineRule="exact"/>
        <w:ind w:firstLine="640"/>
        <w:jc w:val="right"/>
        <w:rPr>
          <w:sz w:val="32"/>
          <w:szCs w:val="32"/>
        </w:rPr>
      </w:pPr>
      <w:r>
        <w:rPr>
          <w:rFonts w:hint="eastAsia"/>
          <w:sz w:val="32"/>
          <w:szCs w:val="32"/>
        </w:rPr>
        <w:t>2024年9月6日</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6772344"/>
      <w:docPartObj>
        <w:docPartGallery w:val="autotext"/>
      </w:docPartObj>
    </w:sdtPr>
    <w:sdtContent>
      <w:p>
        <w:pPr>
          <w:pStyle w:val="10"/>
          <w:ind w:firstLine="360"/>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5</w:t>
        </w:r>
        <w:r>
          <w:rPr>
            <w:sz w:val="21"/>
            <w:szCs w:val="21"/>
          </w:rPr>
          <w:fldChar w:fldCharType="end"/>
        </w:r>
      </w:p>
    </w:sdtContent>
  </w:sdt>
  <w:p>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Y5NDRlMTkzYjExY2IzM2NkZDU1ZjZlZjY3NTVmZTcifQ=="/>
    <w:docVar w:name="KSO_WPS_MARK_KEY" w:val="01b0e1be-f130-4404-880b-89158aede6c9"/>
  </w:docVars>
  <w:rsids>
    <w:rsidRoot w:val="004842CB"/>
    <w:rsid w:val="000054FC"/>
    <w:rsid w:val="00005E5C"/>
    <w:rsid w:val="000079C5"/>
    <w:rsid w:val="00012A33"/>
    <w:rsid w:val="0001625F"/>
    <w:rsid w:val="00023BCA"/>
    <w:rsid w:val="0002574A"/>
    <w:rsid w:val="00027DED"/>
    <w:rsid w:val="00030872"/>
    <w:rsid w:val="00032907"/>
    <w:rsid w:val="00035AB6"/>
    <w:rsid w:val="00037832"/>
    <w:rsid w:val="00040D6B"/>
    <w:rsid w:val="000474B4"/>
    <w:rsid w:val="0005054C"/>
    <w:rsid w:val="000559A6"/>
    <w:rsid w:val="0006030E"/>
    <w:rsid w:val="000667D8"/>
    <w:rsid w:val="0007284A"/>
    <w:rsid w:val="00075E7F"/>
    <w:rsid w:val="00080385"/>
    <w:rsid w:val="00081944"/>
    <w:rsid w:val="00082A31"/>
    <w:rsid w:val="00083CF4"/>
    <w:rsid w:val="000849C3"/>
    <w:rsid w:val="00086D3E"/>
    <w:rsid w:val="0008719C"/>
    <w:rsid w:val="00096D1B"/>
    <w:rsid w:val="000A36C2"/>
    <w:rsid w:val="000B09F2"/>
    <w:rsid w:val="000B4486"/>
    <w:rsid w:val="000E3F5C"/>
    <w:rsid w:val="000E6D7C"/>
    <w:rsid w:val="0010084A"/>
    <w:rsid w:val="001066C0"/>
    <w:rsid w:val="00106A43"/>
    <w:rsid w:val="00111FCB"/>
    <w:rsid w:val="00132639"/>
    <w:rsid w:val="00141CC4"/>
    <w:rsid w:val="001474F0"/>
    <w:rsid w:val="00147504"/>
    <w:rsid w:val="0016166E"/>
    <w:rsid w:val="00164980"/>
    <w:rsid w:val="00165E3B"/>
    <w:rsid w:val="00171331"/>
    <w:rsid w:val="00177668"/>
    <w:rsid w:val="001C628F"/>
    <w:rsid w:val="001D2657"/>
    <w:rsid w:val="001D7606"/>
    <w:rsid w:val="001E3508"/>
    <w:rsid w:val="001E44C5"/>
    <w:rsid w:val="00226769"/>
    <w:rsid w:val="00227818"/>
    <w:rsid w:val="00236AD4"/>
    <w:rsid w:val="0024436E"/>
    <w:rsid w:val="00262C83"/>
    <w:rsid w:val="0026438F"/>
    <w:rsid w:val="0026518A"/>
    <w:rsid w:val="00271369"/>
    <w:rsid w:val="00280ACE"/>
    <w:rsid w:val="002848DD"/>
    <w:rsid w:val="00287618"/>
    <w:rsid w:val="002B22CB"/>
    <w:rsid w:val="002B3296"/>
    <w:rsid w:val="002C1F71"/>
    <w:rsid w:val="002C5A8E"/>
    <w:rsid w:val="002D49A0"/>
    <w:rsid w:val="002E1C4F"/>
    <w:rsid w:val="002F0567"/>
    <w:rsid w:val="002F12EB"/>
    <w:rsid w:val="002F6B45"/>
    <w:rsid w:val="003077D5"/>
    <w:rsid w:val="00311DA9"/>
    <w:rsid w:val="00311F3F"/>
    <w:rsid w:val="00315698"/>
    <w:rsid w:val="00354D1A"/>
    <w:rsid w:val="003614A0"/>
    <w:rsid w:val="00374D4B"/>
    <w:rsid w:val="00395034"/>
    <w:rsid w:val="003B204F"/>
    <w:rsid w:val="003C1495"/>
    <w:rsid w:val="003C442B"/>
    <w:rsid w:val="003C6617"/>
    <w:rsid w:val="003D1B0E"/>
    <w:rsid w:val="003D40E0"/>
    <w:rsid w:val="003D59F6"/>
    <w:rsid w:val="003E128E"/>
    <w:rsid w:val="003E35D3"/>
    <w:rsid w:val="003F3426"/>
    <w:rsid w:val="003F6FB7"/>
    <w:rsid w:val="00400990"/>
    <w:rsid w:val="004016C0"/>
    <w:rsid w:val="00416F71"/>
    <w:rsid w:val="004229E6"/>
    <w:rsid w:val="00423427"/>
    <w:rsid w:val="004371C9"/>
    <w:rsid w:val="00450EBE"/>
    <w:rsid w:val="004842CB"/>
    <w:rsid w:val="004854E5"/>
    <w:rsid w:val="004938C1"/>
    <w:rsid w:val="00496371"/>
    <w:rsid w:val="004A3FB9"/>
    <w:rsid w:val="004B6CC5"/>
    <w:rsid w:val="004C1BAE"/>
    <w:rsid w:val="004C7636"/>
    <w:rsid w:val="004C7A55"/>
    <w:rsid w:val="004D0639"/>
    <w:rsid w:val="004E05D9"/>
    <w:rsid w:val="004F150F"/>
    <w:rsid w:val="004F3635"/>
    <w:rsid w:val="005036F1"/>
    <w:rsid w:val="005059BA"/>
    <w:rsid w:val="00525A27"/>
    <w:rsid w:val="005355B9"/>
    <w:rsid w:val="00542A46"/>
    <w:rsid w:val="005468D9"/>
    <w:rsid w:val="005479EE"/>
    <w:rsid w:val="0055363D"/>
    <w:rsid w:val="00555DD4"/>
    <w:rsid w:val="00557482"/>
    <w:rsid w:val="00565245"/>
    <w:rsid w:val="00567A82"/>
    <w:rsid w:val="005723E6"/>
    <w:rsid w:val="0057485D"/>
    <w:rsid w:val="005A2A17"/>
    <w:rsid w:val="005A44F2"/>
    <w:rsid w:val="005B3C7D"/>
    <w:rsid w:val="005D7ADC"/>
    <w:rsid w:val="005E1D8B"/>
    <w:rsid w:val="005E614E"/>
    <w:rsid w:val="005E75FB"/>
    <w:rsid w:val="006050AE"/>
    <w:rsid w:val="00633BD6"/>
    <w:rsid w:val="00640C20"/>
    <w:rsid w:val="00650D88"/>
    <w:rsid w:val="006733C4"/>
    <w:rsid w:val="00681D76"/>
    <w:rsid w:val="006853D6"/>
    <w:rsid w:val="00686C46"/>
    <w:rsid w:val="00687AB7"/>
    <w:rsid w:val="00691C02"/>
    <w:rsid w:val="006C552E"/>
    <w:rsid w:val="006C792E"/>
    <w:rsid w:val="006D22ED"/>
    <w:rsid w:val="006D3530"/>
    <w:rsid w:val="006E28F7"/>
    <w:rsid w:val="006E40F3"/>
    <w:rsid w:val="006E7F5B"/>
    <w:rsid w:val="006F3F46"/>
    <w:rsid w:val="00702011"/>
    <w:rsid w:val="007050F1"/>
    <w:rsid w:val="00706AA0"/>
    <w:rsid w:val="00710C65"/>
    <w:rsid w:val="0071686C"/>
    <w:rsid w:val="00731297"/>
    <w:rsid w:val="00732408"/>
    <w:rsid w:val="007351BD"/>
    <w:rsid w:val="00742BC8"/>
    <w:rsid w:val="00747E79"/>
    <w:rsid w:val="00751DE9"/>
    <w:rsid w:val="00763A0B"/>
    <w:rsid w:val="00772B98"/>
    <w:rsid w:val="00774BAF"/>
    <w:rsid w:val="00787454"/>
    <w:rsid w:val="0079223E"/>
    <w:rsid w:val="007966AF"/>
    <w:rsid w:val="007A0BDF"/>
    <w:rsid w:val="007A11FF"/>
    <w:rsid w:val="007A37B6"/>
    <w:rsid w:val="007C63D2"/>
    <w:rsid w:val="007D4FAB"/>
    <w:rsid w:val="007E0019"/>
    <w:rsid w:val="007E39FD"/>
    <w:rsid w:val="007F68DB"/>
    <w:rsid w:val="00805E60"/>
    <w:rsid w:val="00820240"/>
    <w:rsid w:val="00823B18"/>
    <w:rsid w:val="00826DD3"/>
    <w:rsid w:val="00834567"/>
    <w:rsid w:val="008345F6"/>
    <w:rsid w:val="00835EA9"/>
    <w:rsid w:val="00837536"/>
    <w:rsid w:val="00842B49"/>
    <w:rsid w:val="0084585F"/>
    <w:rsid w:val="00854DD2"/>
    <w:rsid w:val="00856A19"/>
    <w:rsid w:val="0086610C"/>
    <w:rsid w:val="00870C4C"/>
    <w:rsid w:val="008720B9"/>
    <w:rsid w:val="008734E7"/>
    <w:rsid w:val="0087557E"/>
    <w:rsid w:val="00884D07"/>
    <w:rsid w:val="008934A6"/>
    <w:rsid w:val="008952C2"/>
    <w:rsid w:val="008A3B80"/>
    <w:rsid w:val="008B3EE5"/>
    <w:rsid w:val="008E09E1"/>
    <w:rsid w:val="008E3CFB"/>
    <w:rsid w:val="008E6432"/>
    <w:rsid w:val="008E6979"/>
    <w:rsid w:val="008F2812"/>
    <w:rsid w:val="008F4FD2"/>
    <w:rsid w:val="00905EDB"/>
    <w:rsid w:val="0091352A"/>
    <w:rsid w:val="00916556"/>
    <w:rsid w:val="00921B7F"/>
    <w:rsid w:val="00925B2D"/>
    <w:rsid w:val="00931D1E"/>
    <w:rsid w:val="00933CF4"/>
    <w:rsid w:val="00935FF8"/>
    <w:rsid w:val="009374EC"/>
    <w:rsid w:val="0094566E"/>
    <w:rsid w:val="00954976"/>
    <w:rsid w:val="00960E90"/>
    <w:rsid w:val="0096370B"/>
    <w:rsid w:val="0097771A"/>
    <w:rsid w:val="009A0CBE"/>
    <w:rsid w:val="009A3F09"/>
    <w:rsid w:val="009B0F55"/>
    <w:rsid w:val="009B61C3"/>
    <w:rsid w:val="009C1B27"/>
    <w:rsid w:val="009C3F38"/>
    <w:rsid w:val="009D1CC8"/>
    <w:rsid w:val="009D2D71"/>
    <w:rsid w:val="009D39C1"/>
    <w:rsid w:val="009D748F"/>
    <w:rsid w:val="009E11A7"/>
    <w:rsid w:val="009E1E07"/>
    <w:rsid w:val="009E7DF6"/>
    <w:rsid w:val="00A06942"/>
    <w:rsid w:val="00A06A11"/>
    <w:rsid w:val="00A06EAD"/>
    <w:rsid w:val="00A11982"/>
    <w:rsid w:val="00A126AF"/>
    <w:rsid w:val="00A34E34"/>
    <w:rsid w:val="00A42698"/>
    <w:rsid w:val="00A51B06"/>
    <w:rsid w:val="00A559EA"/>
    <w:rsid w:val="00A56683"/>
    <w:rsid w:val="00A7358E"/>
    <w:rsid w:val="00A7632B"/>
    <w:rsid w:val="00A77AFC"/>
    <w:rsid w:val="00A800D4"/>
    <w:rsid w:val="00A866E5"/>
    <w:rsid w:val="00A87930"/>
    <w:rsid w:val="00AB1DC6"/>
    <w:rsid w:val="00AC0DAD"/>
    <w:rsid w:val="00AC18D3"/>
    <w:rsid w:val="00AC1E30"/>
    <w:rsid w:val="00AC1ED8"/>
    <w:rsid w:val="00AF6CF0"/>
    <w:rsid w:val="00AF7768"/>
    <w:rsid w:val="00B024B3"/>
    <w:rsid w:val="00B272F5"/>
    <w:rsid w:val="00B56B00"/>
    <w:rsid w:val="00B612A7"/>
    <w:rsid w:val="00B67CDF"/>
    <w:rsid w:val="00B67D32"/>
    <w:rsid w:val="00B81D7C"/>
    <w:rsid w:val="00B948DE"/>
    <w:rsid w:val="00BA579E"/>
    <w:rsid w:val="00BA7D3D"/>
    <w:rsid w:val="00BB0C5A"/>
    <w:rsid w:val="00BB3662"/>
    <w:rsid w:val="00BC2148"/>
    <w:rsid w:val="00BC717C"/>
    <w:rsid w:val="00BD2F1C"/>
    <w:rsid w:val="00BD6D9C"/>
    <w:rsid w:val="00BE2452"/>
    <w:rsid w:val="00BE35A8"/>
    <w:rsid w:val="00BF5A5E"/>
    <w:rsid w:val="00C02788"/>
    <w:rsid w:val="00C06410"/>
    <w:rsid w:val="00C16131"/>
    <w:rsid w:val="00C220A5"/>
    <w:rsid w:val="00C23391"/>
    <w:rsid w:val="00C256E7"/>
    <w:rsid w:val="00C303CF"/>
    <w:rsid w:val="00C31E12"/>
    <w:rsid w:val="00C32229"/>
    <w:rsid w:val="00C40828"/>
    <w:rsid w:val="00C52F9B"/>
    <w:rsid w:val="00C53968"/>
    <w:rsid w:val="00C573C2"/>
    <w:rsid w:val="00C60F83"/>
    <w:rsid w:val="00C668D1"/>
    <w:rsid w:val="00C82998"/>
    <w:rsid w:val="00C82F0D"/>
    <w:rsid w:val="00C840B2"/>
    <w:rsid w:val="00C84EBC"/>
    <w:rsid w:val="00C87A85"/>
    <w:rsid w:val="00C932B4"/>
    <w:rsid w:val="00C941E7"/>
    <w:rsid w:val="00C96E8C"/>
    <w:rsid w:val="00CA2633"/>
    <w:rsid w:val="00CA27A9"/>
    <w:rsid w:val="00CA3B7C"/>
    <w:rsid w:val="00CB0A03"/>
    <w:rsid w:val="00CB4A70"/>
    <w:rsid w:val="00CB62E7"/>
    <w:rsid w:val="00CD0CAD"/>
    <w:rsid w:val="00CD454B"/>
    <w:rsid w:val="00CE17A7"/>
    <w:rsid w:val="00CE359C"/>
    <w:rsid w:val="00CE4453"/>
    <w:rsid w:val="00CE651F"/>
    <w:rsid w:val="00CF2BAF"/>
    <w:rsid w:val="00D02720"/>
    <w:rsid w:val="00D05E21"/>
    <w:rsid w:val="00D07CA0"/>
    <w:rsid w:val="00D13B2F"/>
    <w:rsid w:val="00D1739F"/>
    <w:rsid w:val="00D402D9"/>
    <w:rsid w:val="00D56BB3"/>
    <w:rsid w:val="00D5704B"/>
    <w:rsid w:val="00D60D15"/>
    <w:rsid w:val="00D72DFF"/>
    <w:rsid w:val="00D7631D"/>
    <w:rsid w:val="00D81440"/>
    <w:rsid w:val="00D86557"/>
    <w:rsid w:val="00DA27F4"/>
    <w:rsid w:val="00DB7567"/>
    <w:rsid w:val="00DC730F"/>
    <w:rsid w:val="00DC7FCA"/>
    <w:rsid w:val="00DE3BCC"/>
    <w:rsid w:val="00DE6D67"/>
    <w:rsid w:val="00DF4560"/>
    <w:rsid w:val="00E10E74"/>
    <w:rsid w:val="00E1326D"/>
    <w:rsid w:val="00E25F66"/>
    <w:rsid w:val="00E27926"/>
    <w:rsid w:val="00E350ED"/>
    <w:rsid w:val="00E37727"/>
    <w:rsid w:val="00E44789"/>
    <w:rsid w:val="00E44EF8"/>
    <w:rsid w:val="00E608B5"/>
    <w:rsid w:val="00E62B2F"/>
    <w:rsid w:val="00E80730"/>
    <w:rsid w:val="00E85F14"/>
    <w:rsid w:val="00E87460"/>
    <w:rsid w:val="00E91135"/>
    <w:rsid w:val="00EA240F"/>
    <w:rsid w:val="00EA3F3B"/>
    <w:rsid w:val="00EB0B4C"/>
    <w:rsid w:val="00EB51D2"/>
    <w:rsid w:val="00EB7ABB"/>
    <w:rsid w:val="00EC2D91"/>
    <w:rsid w:val="00EC7BAC"/>
    <w:rsid w:val="00EE236F"/>
    <w:rsid w:val="00EE5328"/>
    <w:rsid w:val="00EF1DD9"/>
    <w:rsid w:val="00F00E20"/>
    <w:rsid w:val="00F03875"/>
    <w:rsid w:val="00F11050"/>
    <w:rsid w:val="00F26555"/>
    <w:rsid w:val="00F50FB9"/>
    <w:rsid w:val="00F7302F"/>
    <w:rsid w:val="00F91B5E"/>
    <w:rsid w:val="00F95548"/>
    <w:rsid w:val="00FA3DAA"/>
    <w:rsid w:val="00FB01C1"/>
    <w:rsid w:val="00FC4908"/>
    <w:rsid w:val="00FD06FB"/>
    <w:rsid w:val="00FF141C"/>
    <w:rsid w:val="00FF714C"/>
    <w:rsid w:val="07886409"/>
    <w:rsid w:val="2375492A"/>
    <w:rsid w:val="29E07014"/>
    <w:rsid w:val="2E551A5C"/>
    <w:rsid w:val="631D6B7A"/>
    <w:rsid w:val="683539E3"/>
    <w:rsid w:val="6B390531"/>
    <w:rsid w:val="6D9E3E83"/>
    <w:rsid w:val="6FC424E0"/>
    <w:rsid w:val="7CAF2E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560" w:firstLineChars="200"/>
      <w:jc w:val="both"/>
    </w:pPr>
    <w:rPr>
      <w:rFonts w:ascii="仿宋_GB2312" w:hAnsi="仿宋_GB2312" w:eastAsia="仿宋_GB2312" w:cs="仿宋_GB2312"/>
      <w:kern w:val="2"/>
      <w:sz w:val="28"/>
      <w:szCs w:val="28"/>
      <w:lang w:val="en-US" w:eastAsia="zh-CN" w:bidi="ar-SA"/>
    </w:rPr>
  </w:style>
  <w:style w:type="paragraph" w:styleId="2">
    <w:name w:val="heading 1"/>
    <w:basedOn w:val="1"/>
    <w:next w:val="1"/>
    <w:link w:val="18"/>
    <w:qFormat/>
    <w:uiPriority w:val="0"/>
    <w:pPr>
      <w:keepNext/>
      <w:keepLines/>
      <w:ind w:firstLine="643"/>
      <w:outlineLvl w:val="0"/>
    </w:pPr>
    <w:rPr>
      <w:rFonts w:ascii="仿宋" w:hAnsi="仿宋" w:eastAsia="仿宋" w:cstheme="minorBidi"/>
      <w:b/>
      <w:bCs/>
      <w:kern w:val="44"/>
      <w:sz w:val="32"/>
      <w:szCs w:val="30"/>
    </w:rPr>
  </w:style>
  <w:style w:type="paragraph" w:styleId="3">
    <w:name w:val="heading 2"/>
    <w:basedOn w:val="1"/>
    <w:next w:val="1"/>
    <w:link w:val="19"/>
    <w:qFormat/>
    <w:uiPriority w:val="0"/>
    <w:pPr>
      <w:keepNext/>
      <w:keepLines/>
      <w:outlineLvl w:val="1"/>
    </w:pPr>
    <w:rPr>
      <w:rFonts w:eastAsia="黑体" w:asciiTheme="majorHAnsi" w:hAnsiTheme="majorHAnsi" w:cstheme="majorBidi"/>
      <w:bCs/>
      <w:szCs w:val="32"/>
    </w:rPr>
  </w:style>
  <w:style w:type="paragraph" w:styleId="4">
    <w:name w:val="heading 3"/>
    <w:basedOn w:val="1"/>
    <w:next w:val="1"/>
    <w:link w:val="20"/>
    <w:qFormat/>
    <w:uiPriority w:val="0"/>
    <w:pPr>
      <w:keepNext/>
      <w:keepLines/>
      <w:outlineLvl w:val="2"/>
    </w:pPr>
    <w:rPr>
      <w:rFonts w:cstheme="minorBidi"/>
      <w:b/>
      <w:bCs/>
      <w:szCs w:val="32"/>
    </w:rPr>
  </w:style>
  <w:style w:type="paragraph" w:styleId="5">
    <w:name w:val="heading 4"/>
    <w:basedOn w:val="1"/>
    <w:next w:val="1"/>
    <w:link w:val="21"/>
    <w:unhideWhenUsed/>
    <w:qFormat/>
    <w:uiPriority w:val="0"/>
    <w:pPr>
      <w:keepNext/>
      <w:keepLines/>
      <w:outlineLvl w:val="3"/>
    </w:pPr>
    <w:rPr>
      <w:rFonts w:ascii="Arial" w:hAnsi="Arial" w:eastAsiaTheme="minorEastAsia" w:cstheme="majorBidi"/>
      <w:bCs/>
    </w:rPr>
  </w:style>
  <w:style w:type="character" w:default="1" w:styleId="15">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25"/>
    <w:qFormat/>
    <w:uiPriority w:val="0"/>
    <w:rPr>
      <w:rFonts w:ascii="宋体" w:eastAsia="宋体"/>
      <w:sz w:val="18"/>
      <w:szCs w:val="18"/>
    </w:rPr>
  </w:style>
  <w:style w:type="paragraph" w:styleId="7">
    <w:name w:val="annotation text"/>
    <w:basedOn w:val="1"/>
    <w:link w:val="26"/>
    <w:qFormat/>
    <w:uiPriority w:val="0"/>
    <w:pPr>
      <w:jc w:val="left"/>
    </w:pPr>
  </w:style>
  <w:style w:type="paragraph" w:styleId="8">
    <w:name w:val="Date"/>
    <w:basedOn w:val="1"/>
    <w:next w:val="1"/>
    <w:link w:val="30"/>
    <w:qFormat/>
    <w:uiPriority w:val="0"/>
    <w:pPr>
      <w:ind w:left="100" w:leftChars="2500"/>
    </w:pPr>
  </w:style>
  <w:style w:type="paragraph" w:styleId="9">
    <w:name w:val="Balloon Text"/>
    <w:basedOn w:val="1"/>
    <w:link w:val="28"/>
    <w:qFormat/>
    <w:uiPriority w:val="0"/>
    <w:pPr>
      <w:spacing w:line="240" w:lineRule="auto"/>
    </w:pPr>
    <w:rPr>
      <w:sz w:val="18"/>
      <w:szCs w:val="18"/>
    </w:rPr>
  </w:style>
  <w:style w:type="paragraph" w:styleId="10">
    <w:name w:val="footer"/>
    <w:basedOn w:val="1"/>
    <w:link w:val="23"/>
    <w:qFormat/>
    <w:uiPriority w:val="99"/>
    <w:pPr>
      <w:tabs>
        <w:tab w:val="center" w:pos="4153"/>
        <w:tab w:val="right" w:pos="8306"/>
      </w:tabs>
      <w:snapToGrid w:val="0"/>
      <w:spacing w:line="240" w:lineRule="auto"/>
      <w:jc w:val="left"/>
    </w:pPr>
    <w:rPr>
      <w:sz w:val="18"/>
      <w:szCs w:val="18"/>
    </w:rPr>
  </w:style>
  <w:style w:type="paragraph" w:styleId="11">
    <w:name w:val="header"/>
    <w:basedOn w:val="1"/>
    <w:link w:val="22"/>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2">
    <w:name w:val="Title"/>
    <w:basedOn w:val="1"/>
    <w:next w:val="1"/>
    <w:link w:val="24"/>
    <w:qFormat/>
    <w:uiPriority w:val="0"/>
    <w:pPr>
      <w:spacing w:before="240" w:after="60"/>
      <w:jc w:val="center"/>
      <w:outlineLvl w:val="0"/>
    </w:pPr>
    <w:rPr>
      <w:rFonts w:asciiTheme="majorHAnsi" w:hAnsiTheme="majorHAnsi" w:cstheme="majorBidi"/>
      <w:b/>
      <w:bCs/>
      <w:sz w:val="32"/>
      <w:szCs w:val="32"/>
    </w:rPr>
  </w:style>
  <w:style w:type="paragraph" w:styleId="13">
    <w:name w:val="annotation subject"/>
    <w:basedOn w:val="7"/>
    <w:next w:val="7"/>
    <w:link w:val="27"/>
    <w:qFormat/>
    <w:uiPriority w:val="0"/>
    <w:rPr>
      <w:b/>
      <w:bCs/>
    </w:rPr>
  </w:style>
  <w:style w:type="character" w:styleId="16">
    <w:name w:val="annotation reference"/>
    <w:basedOn w:val="15"/>
    <w:qFormat/>
    <w:uiPriority w:val="0"/>
    <w:rPr>
      <w:sz w:val="21"/>
      <w:szCs w:val="21"/>
    </w:rPr>
  </w:style>
  <w:style w:type="paragraph" w:customStyle="1" w:styleId="17">
    <w:name w:val="样式4"/>
    <w:basedOn w:val="5"/>
    <w:next w:val="1"/>
    <w:qFormat/>
    <w:uiPriority w:val="0"/>
    <w:pPr>
      <w:spacing w:line="377" w:lineRule="auto"/>
      <w:ind w:left="200" w:leftChars="200"/>
    </w:pPr>
    <w:rPr>
      <w:rFonts w:eastAsia="宋体" w:cs="Times New Roman"/>
    </w:rPr>
  </w:style>
  <w:style w:type="character" w:customStyle="1" w:styleId="18">
    <w:name w:val="标题 1 字符"/>
    <w:basedOn w:val="15"/>
    <w:link w:val="2"/>
    <w:qFormat/>
    <w:uiPriority w:val="0"/>
    <w:rPr>
      <w:rFonts w:ascii="仿宋" w:hAnsi="仿宋" w:eastAsia="仿宋" w:cstheme="minorBidi"/>
      <w:b/>
      <w:bCs/>
      <w:kern w:val="44"/>
      <w:sz w:val="32"/>
      <w:szCs w:val="30"/>
    </w:rPr>
  </w:style>
  <w:style w:type="character" w:customStyle="1" w:styleId="19">
    <w:name w:val="标题 2 字符"/>
    <w:basedOn w:val="15"/>
    <w:link w:val="3"/>
    <w:qFormat/>
    <w:uiPriority w:val="0"/>
    <w:rPr>
      <w:rFonts w:eastAsia="黑体" w:asciiTheme="majorHAnsi" w:hAnsiTheme="majorHAnsi" w:cstheme="majorBidi"/>
      <w:bCs/>
      <w:sz w:val="24"/>
      <w:szCs w:val="32"/>
    </w:rPr>
  </w:style>
  <w:style w:type="character" w:customStyle="1" w:styleId="20">
    <w:name w:val="标题 3 字符"/>
    <w:basedOn w:val="15"/>
    <w:link w:val="4"/>
    <w:qFormat/>
    <w:uiPriority w:val="0"/>
    <w:rPr>
      <w:rFonts w:cstheme="minorBidi"/>
      <w:b/>
      <w:bCs/>
      <w:sz w:val="24"/>
      <w:szCs w:val="32"/>
    </w:rPr>
  </w:style>
  <w:style w:type="character" w:customStyle="1" w:styleId="21">
    <w:name w:val="标题 4 字符"/>
    <w:basedOn w:val="15"/>
    <w:link w:val="5"/>
    <w:qFormat/>
    <w:uiPriority w:val="0"/>
    <w:rPr>
      <w:rFonts w:ascii="Arial" w:hAnsi="Arial" w:eastAsiaTheme="minorEastAsia" w:cstheme="majorBidi"/>
      <w:bCs/>
      <w:sz w:val="24"/>
      <w:szCs w:val="28"/>
    </w:rPr>
  </w:style>
  <w:style w:type="character" w:customStyle="1" w:styleId="22">
    <w:name w:val="页眉 字符"/>
    <w:basedOn w:val="15"/>
    <w:link w:val="11"/>
    <w:qFormat/>
    <w:uiPriority w:val="0"/>
    <w:rPr>
      <w:sz w:val="18"/>
      <w:szCs w:val="18"/>
    </w:rPr>
  </w:style>
  <w:style w:type="character" w:customStyle="1" w:styleId="23">
    <w:name w:val="页脚 字符"/>
    <w:basedOn w:val="15"/>
    <w:link w:val="10"/>
    <w:qFormat/>
    <w:uiPriority w:val="99"/>
    <w:rPr>
      <w:sz w:val="18"/>
      <w:szCs w:val="18"/>
    </w:rPr>
  </w:style>
  <w:style w:type="character" w:customStyle="1" w:styleId="24">
    <w:name w:val="标题 字符"/>
    <w:basedOn w:val="15"/>
    <w:link w:val="12"/>
    <w:qFormat/>
    <w:uiPriority w:val="0"/>
    <w:rPr>
      <w:rFonts w:asciiTheme="majorHAnsi" w:hAnsiTheme="majorHAnsi" w:cstheme="majorBidi"/>
      <w:b/>
      <w:bCs/>
      <w:sz w:val="32"/>
      <w:szCs w:val="32"/>
    </w:rPr>
  </w:style>
  <w:style w:type="character" w:customStyle="1" w:styleId="25">
    <w:name w:val="文档结构图 字符"/>
    <w:basedOn w:val="15"/>
    <w:link w:val="6"/>
    <w:qFormat/>
    <w:uiPriority w:val="0"/>
    <w:rPr>
      <w:rFonts w:ascii="宋体" w:hAnsi="仿宋_GB2312" w:cs="仿宋_GB2312"/>
      <w:sz w:val="18"/>
      <w:szCs w:val="18"/>
    </w:rPr>
  </w:style>
  <w:style w:type="character" w:customStyle="1" w:styleId="26">
    <w:name w:val="批注文字 字符"/>
    <w:basedOn w:val="15"/>
    <w:link w:val="7"/>
    <w:qFormat/>
    <w:uiPriority w:val="0"/>
    <w:rPr>
      <w:rFonts w:ascii="仿宋_GB2312" w:hAnsi="仿宋_GB2312" w:eastAsia="仿宋_GB2312" w:cs="仿宋_GB2312"/>
      <w:sz w:val="28"/>
      <w:szCs w:val="28"/>
    </w:rPr>
  </w:style>
  <w:style w:type="character" w:customStyle="1" w:styleId="27">
    <w:name w:val="批注主题 字符"/>
    <w:basedOn w:val="26"/>
    <w:link w:val="13"/>
    <w:qFormat/>
    <w:uiPriority w:val="0"/>
    <w:rPr>
      <w:rFonts w:ascii="仿宋_GB2312" w:hAnsi="仿宋_GB2312" w:eastAsia="仿宋_GB2312" w:cs="仿宋_GB2312"/>
      <w:b/>
      <w:bCs/>
      <w:sz w:val="28"/>
      <w:szCs w:val="28"/>
    </w:rPr>
  </w:style>
  <w:style w:type="character" w:customStyle="1" w:styleId="28">
    <w:name w:val="批注框文本 字符"/>
    <w:basedOn w:val="15"/>
    <w:link w:val="9"/>
    <w:qFormat/>
    <w:uiPriority w:val="0"/>
    <w:rPr>
      <w:rFonts w:ascii="仿宋_GB2312" w:hAnsi="仿宋_GB2312" w:eastAsia="仿宋_GB2312" w:cs="仿宋_GB2312"/>
      <w:sz w:val="18"/>
      <w:szCs w:val="18"/>
    </w:rPr>
  </w:style>
  <w:style w:type="paragraph" w:styleId="29">
    <w:name w:val="List Paragraph"/>
    <w:basedOn w:val="1"/>
    <w:qFormat/>
    <w:uiPriority w:val="99"/>
    <w:pPr>
      <w:ind w:firstLine="420"/>
    </w:pPr>
  </w:style>
  <w:style w:type="character" w:customStyle="1" w:styleId="30">
    <w:name w:val="日期 字符"/>
    <w:basedOn w:val="15"/>
    <w:link w:val="8"/>
    <w:qFormat/>
    <w:uiPriority w:val="0"/>
    <w:rPr>
      <w:rFonts w:ascii="仿宋_GB2312" w:hAnsi="仿宋_GB2312" w:eastAsia="仿宋_GB2312" w:cs="仿宋_GB2312"/>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2C4269-39E8-4EB4-B407-47EC889729E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6</Pages>
  <Words>2482</Words>
  <Characters>2505</Characters>
  <Lines>18</Lines>
  <Paragraphs>5</Paragraphs>
  <TotalTime>601</TotalTime>
  <ScaleCrop>false</ScaleCrop>
  <LinksUpToDate>false</LinksUpToDate>
  <CharactersWithSpaces>2505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2020-09-24T06:31:00Z</dcterms:created>
  <dc:creator>hp000001</dc:creator>
  <cp:lastModifiedBy>七月流火</cp:lastModifiedBy>
  <cp:lastPrinted>2024-09-06T02:26:00Z</cp:lastPrinted>
  <dcterms:modified xsi:type="dcterms:W3CDTF">2024-09-06T10:45:15Z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B3B86C33DF02464A981BC5324FE731E6_13</vt:lpwstr>
  </property>
</Properties>
</file>