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E0950">
      <w:pPr>
        <w:spacing w:line="560" w:lineRule="exact"/>
        <w:jc w:val="center"/>
        <w:rPr>
          <w:rFonts w:ascii="Times New Roman" w:hAnsi="Times New Roman" w:eastAsia="仿宋" w:cs="Times New Roman"/>
          <w:sz w:val="32"/>
          <w:szCs w:val="32"/>
        </w:rPr>
      </w:pPr>
      <w:r>
        <w:rPr>
          <w:rFonts w:ascii="Times New Roman" w:hAnsi="Times New Roman" w:eastAsia="宋体" w:cs="Times New Roman"/>
          <w:b/>
          <w:bCs/>
          <w:sz w:val="36"/>
          <w:szCs w:val="36"/>
        </w:rPr>
        <w:t xml:space="preserve"> 食品科学与工程学院202</w:t>
      </w:r>
      <w:r>
        <w:rPr>
          <w:rFonts w:hint="eastAsia" w:ascii="Times New Roman" w:hAnsi="Times New Roman" w:eastAsia="宋体" w:cs="Times New Roman"/>
          <w:b/>
          <w:bCs/>
          <w:sz w:val="36"/>
          <w:szCs w:val="36"/>
        </w:rPr>
        <w:t>6</w:t>
      </w:r>
      <w:r>
        <w:rPr>
          <w:rFonts w:ascii="Times New Roman" w:hAnsi="Times New Roman" w:eastAsia="宋体" w:cs="Times New Roman"/>
          <w:b/>
          <w:bCs/>
          <w:sz w:val="36"/>
          <w:szCs w:val="36"/>
        </w:rPr>
        <w:t>年推荐优秀应届本科毕业生免试攻读研究生工作细则</w:t>
      </w:r>
    </w:p>
    <w:p w14:paraId="28D83454">
      <w:pPr>
        <w:adjustRightInd w:val="0"/>
        <w:snapToGrid w:val="0"/>
        <w:spacing w:before="312" w:beforeLines="100"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根据《山东农业大学202</w:t>
      </w:r>
      <w:r>
        <w:rPr>
          <w:rFonts w:hint="eastAsia" w:ascii="Times New Roman" w:hAnsi="Times New Roman" w:eastAsia="仿宋" w:cs="Times New Roman"/>
          <w:sz w:val="24"/>
          <w:szCs w:val="24"/>
        </w:rPr>
        <w:t>6</w:t>
      </w:r>
      <w:r>
        <w:rPr>
          <w:rFonts w:ascii="Times New Roman" w:hAnsi="Times New Roman" w:eastAsia="仿宋" w:cs="Times New Roman"/>
          <w:sz w:val="24"/>
          <w:szCs w:val="24"/>
        </w:rPr>
        <w:t>年推荐优秀应届本科毕业生免试攻读研究生工作办法》的要求，特制定本细则。</w:t>
      </w:r>
    </w:p>
    <w:p w14:paraId="095C5482">
      <w:pPr>
        <w:pStyle w:val="13"/>
        <w:adjustRightInd w:val="0"/>
        <w:snapToGrid w:val="0"/>
        <w:spacing w:before="78" w:beforeLines="25" w:after="78" w:afterLines="25" w:line="360" w:lineRule="auto"/>
        <w:ind w:left="-2" w:leftChars="-1" w:firstLine="532" w:firstLineChars="221"/>
        <w:rPr>
          <w:rFonts w:ascii="Times New Roman" w:hAnsi="Times New Roman" w:eastAsia="黑体" w:cs="Times New Roman"/>
          <w:b/>
          <w:bCs/>
          <w:sz w:val="24"/>
          <w:szCs w:val="24"/>
        </w:rPr>
      </w:pPr>
      <w:r>
        <w:rPr>
          <w:rFonts w:ascii="Times New Roman" w:hAnsi="Times New Roman" w:eastAsia="黑体" w:cs="Times New Roman"/>
          <w:b/>
          <w:bCs/>
          <w:sz w:val="24"/>
          <w:szCs w:val="24"/>
        </w:rPr>
        <w:t>一、成立推荐免试工作小组</w:t>
      </w:r>
    </w:p>
    <w:p w14:paraId="385AC796">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学院成立由党政负责人、分管推免工作负责人及教师代表组成的推荐免试工作小组（不少于 7 人），全面负责学院的推免工作，落实集体议事和集体决策制度，实行回避制度。</w:t>
      </w:r>
    </w:p>
    <w:p w14:paraId="6D0BCB1A">
      <w:pPr>
        <w:pStyle w:val="13"/>
        <w:adjustRightInd w:val="0"/>
        <w:snapToGrid w:val="0"/>
        <w:spacing w:before="78" w:beforeLines="25" w:after="78" w:afterLines="25" w:line="360" w:lineRule="auto"/>
        <w:ind w:left="-2" w:leftChars="-1" w:firstLine="532" w:firstLineChars="221"/>
        <w:rPr>
          <w:rFonts w:ascii="Times New Roman" w:hAnsi="Times New Roman" w:eastAsia="黑体" w:cs="Times New Roman"/>
          <w:b/>
          <w:bCs/>
          <w:sz w:val="24"/>
          <w:szCs w:val="24"/>
        </w:rPr>
      </w:pPr>
      <w:r>
        <w:rPr>
          <w:rFonts w:ascii="Times New Roman" w:hAnsi="Times New Roman" w:eastAsia="黑体" w:cs="Times New Roman"/>
          <w:b/>
          <w:bCs/>
          <w:sz w:val="24"/>
          <w:szCs w:val="24"/>
        </w:rPr>
        <w:t>二、推免生基本条件</w:t>
      </w:r>
    </w:p>
    <w:p w14:paraId="528E3A4B">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1．推免生必须从我校经国家普通本科招生计划录取的当年应届本科毕业生中选拔（不含专升本、辅修专业学位、第二学士学位</w:t>
      </w:r>
      <w:r>
        <w:rPr>
          <w:rFonts w:hint="eastAsia" w:ascii="Times New Roman" w:hAnsi="Times New Roman" w:eastAsia="仿宋" w:cs="Times New Roman"/>
          <w:sz w:val="24"/>
          <w:szCs w:val="24"/>
        </w:rPr>
        <w:t>、公费农科生</w:t>
      </w:r>
      <w:r>
        <w:rPr>
          <w:rFonts w:ascii="Times New Roman" w:hAnsi="Times New Roman" w:eastAsia="仿宋" w:cs="Times New Roman"/>
          <w:sz w:val="24"/>
          <w:szCs w:val="24"/>
        </w:rPr>
        <w:t>）。</w:t>
      </w:r>
    </w:p>
    <w:p w14:paraId="355F2723">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2．具有高尚的爱国主义情操和集体主义精神，社会主义信念坚定，社会责任感强，遵纪守法，品行端正，积极努力，身心健康。</w:t>
      </w:r>
    </w:p>
    <w:p w14:paraId="1E6D4607">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3．勤奋学习，刻苦钻研，成绩优秀；前三年必修环节学习成绩（按学分加权平均分排名，多次重修的课程按照最高成绩计算）位于所在专业前30.00%。</w:t>
      </w:r>
      <w:r>
        <w:rPr>
          <w:rFonts w:hint="eastAsia" w:ascii="Times New Roman" w:hAnsi="Times New Roman" w:eastAsia="仿宋" w:cs="Times New Roman"/>
          <w:sz w:val="24"/>
          <w:szCs w:val="24"/>
        </w:rPr>
        <w:t>有特殊学术专长的学生，学习成绩可适当放宽至专业前50.00%，但需要通过学院审核鉴定或答辩并公示。</w:t>
      </w:r>
    </w:p>
    <w:p w14:paraId="61244BFD">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4. 具有一定的科研训练，学术研究兴趣浓厚，有较强的创新意识、创新能力和专业能力倾向。</w:t>
      </w:r>
    </w:p>
    <w:p w14:paraId="488413C2">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5. 外语水平须满足以下条件之一：CET-4或CET-6≥426分；CJT-4、CRT-4、CGT-4或CJT-6、CRT-6、CGT-6≥60分；英语专业通过TEM-4，日语专业通过NSS4，俄语专业通过ТРЯ4。对于前三年必修环节学习成绩（按学分加权平均分排名，多次重修的课程按照最高成绩计算）位于所在专业前10.00%的优秀学生或依据《山东农业大学大学生创新创业竞赛管理与奖励办法》获得国家级竞赛奖励的学生，外语水平要求可以适当放宽，但须满足以下条件之一：CET-4或CET-6≥355分；CJT-4、CRT-4、CGT-4或CJT-6、CRT-6、CGT-6≥50分；英语专业TEM-4≥50分,日语专业NSS4≥50分，俄语专业ТРЯ4≥50分。</w:t>
      </w:r>
    </w:p>
    <w:p w14:paraId="0DF6D411">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6. 诚实守信，学风端正，无任何考试作弊</w:t>
      </w:r>
      <w:r>
        <w:rPr>
          <w:rFonts w:hint="eastAsia" w:ascii="Times New Roman" w:hAnsi="Times New Roman" w:eastAsia="仿宋" w:cs="Times New Roman"/>
          <w:sz w:val="24"/>
          <w:szCs w:val="24"/>
        </w:rPr>
        <w:t>或</w:t>
      </w:r>
      <w:r>
        <w:rPr>
          <w:rFonts w:ascii="Times New Roman" w:hAnsi="Times New Roman" w:eastAsia="仿宋" w:cs="Times New Roman"/>
          <w:sz w:val="24"/>
          <w:szCs w:val="24"/>
        </w:rPr>
        <w:t>剽窃他人学术成果记录；品行表现优良，无任何违法违纪受处分记录。</w:t>
      </w:r>
    </w:p>
    <w:p w14:paraId="13D26762">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7．推免生学术专长原则上仅限学生本科阶段在核心期刊</w:t>
      </w:r>
      <w:r>
        <w:rPr>
          <w:rFonts w:hint="eastAsia" w:ascii="Times New Roman" w:hAnsi="Times New Roman" w:eastAsia="仿宋" w:cs="Times New Roman"/>
          <w:sz w:val="24"/>
          <w:szCs w:val="24"/>
        </w:rPr>
        <w:t>及以</w:t>
      </w:r>
      <w:r>
        <w:rPr>
          <w:rFonts w:ascii="Times New Roman" w:hAnsi="Times New Roman" w:eastAsia="仿宋" w:cs="Times New Roman"/>
          <w:sz w:val="24"/>
          <w:szCs w:val="24"/>
        </w:rPr>
        <w:t>上</w:t>
      </w:r>
      <w:r>
        <w:rPr>
          <w:rFonts w:hint="eastAsia" w:ascii="Times New Roman" w:hAnsi="Times New Roman" w:eastAsia="仿宋" w:cs="Times New Roman"/>
          <w:sz w:val="24"/>
          <w:szCs w:val="24"/>
        </w:rPr>
        <w:t>杂志以</w:t>
      </w:r>
      <w:r>
        <w:rPr>
          <w:rFonts w:ascii="Times New Roman" w:hAnsi="Times New Roman" w:eastAsia="仿宋" w:cs="Times New Roman"/>
          <w:sz w:val="24"/>
          <w:szCs w:val="24"/>
        </w:rPr>
        <w:t>独立作者或第一作者发表的与学业相关的科研论文；作为主力成员参加与学业相关的国内权威科研竞赛（全国赛）并获得三等奖以上奖励（国际赛事参照执行，但不得低于国内赛事相关要求）。</w:t>
      </w:r>
      <w:r>
        <w:rPr>
          <w:rFonts w:hint="eastAsia" w:ascii="Times New Roman" w:hAnsi="Times New Roman" w:eastAsia="仿宋" w:cs="Times New Roman"/>
          <w:sz w:val="24"/>
          <w:szCs w:val="24"/>
        </w:rPr>
        <w:t>学生与直系亲属或学历、职称、职务明显高于本人者合作的科研成果、竞赛奖项等仅作为参考，不纳入学生本人推免遴选综合评价成绩计算体系，同等条件下可优先考虑。</w:t>
      </w:r>
    </w:p>
    <w:p w14:paraId="09D4C637">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有特殊学术专长的推免生，需经三名以上本校本专业教授联名推荐，经学校专家审核小组（专家组成员应具有相关学科副教授以上职称，一般不少于 5 人）会同本研究领域权威专家、相关期刊杂志单位或赛事主办单位等，对申请推免资格学生的科研创新成果、论文、竞赛获奖奖项及内容进行审核鉴定，排除抄袭、造假、冒名及有名无实等情况，并组织学生在学校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本单位网站上予以公示。未通过审核鉴定或答辩的，不得纳入推免遴选综合评价成绩计算体系。</w:t>
      </w:r>
    </w:p>
    <w:p w14:paraId="68099203">
      <w:pPr>
        <w:pStyle w:val="13"/>
        <w:adjustRightInd w:val="0"/>
        <w:snapToGrid w:val="0"/>
        <w:spacing w:before="78" w:beforeLines="25" w:after="78" w:afterLines="25" w:line="360" w:lineRule="auto"/>
        <w:ind w:left="-2" w:leftChars="-1" w:firstLine="532" w:firstLineChars="221"/>
        <w:rPr>
          <w:rFonts w:ascii="Times New Roman" w:hAnsi="Times New Roman" w:eastAsia="黑体" w:cs="Times New Roman"/>
          <w:b/>
          <w:bCs/>
          <w:sz w:val="24"/>
          <w:szCs w:val="24"/>
        </w:rPr>
      </w:pPr>
      <w:r>
        <w:rPr>
          <w:rFonts w:ascii="Times New Roman" w:hAnsi="Times New Roman" w:eastAsia="黑体" w:cs="Times New Roman"/>
          <w:b/>
          <w:bCs/>
          <w:sz w:val="24"/>
          <w:szCs w:val="24"/>
        </w:rPr>
        <w:t>三、综合素质考查和创新能力考查指标体系</w:t>
      </w:r>
    </w:p>
    <w:p w14:paraId="52336431">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推免生综合素质考查包括德育、美育、体育、劳育等方面的表现及参军入伍服兵役、</w:t>
      </w:r>
      <w:r>
        <w:rPr>
          <w:rFonts w:hint="eastAsia" w:ascii="Times New Roman" w:hAnsi="Times New Roman" w:eastAsia="仿宋" w:cs="Times New Roman"/>
          <w:sz w:val="24"/>
          <w:szCs w:val="24"/>
        </w:rPr>
        <w:t>参加</w:t>
      </w:r>
      <w:r>
        <w:rPr>
          <w:rFonts w:ascii="Times New Roman" w:hAnsi="Times New Roman" w:eastAsia="仿宋" w:cs="Times New Roman"/>
          <w:sz w:val="24"/>
          <w:szCs w:val="24"/>
        </w:rPr>
        <w:t>志愿服务、赴国际组织实习</w:t>
      </w:r>
      <w:r>
        <w:rPr>
          <w:rFonts w:hint="eastAsia" w:ascii="Times New Roman" w:hAnsi="Times New Roman" w:eastAsia="仿宋" w:cs="Times New Roman"/>
          <w:sz w:val="24"/>
          <w:szCs w:val="24"/>
        </w:rPr>
        <w:t>、参与乡村驿站及其它社会实践等</w:t>
      </w:r>
      <w:r>
        <w:rPr>
          <w:rFonts w:ascii="Times New Roman" w:hAnsi="Times New Roman" w:eastAsia="仿宋" w:cs="Times New Roman"/>
          <w:sz w:val="24"/>
          <w:szCs w:val="24"/>
        </w:rPr>
        <w:t>情况；创新能力考查包括专业素质能力、学术论文、发明专利、实用新型专利、主持或参与SRT等科研项目、学术竞赛奖励等情况。</w:t>
      </w:r>
    </w:p>
    <w:p w14:paraId="1897833F">
      <w:pPr>
        <w:pStyle w:val="13"/>
        <w:adjustRightInd w:val="0"/>
        <w:snapToGrid w:val="0"/>
        <w:spacing w:before="156" w:beforeLines="50" w:after="78" w:afterLines="25" w:line="360" w:lineRule="auto"/>
        <w:ind w:left="-2" w:leftChars="-1" w:firstLine="532" w:firstLineChars="221"/>
        <w:rPr>
          <w:rFonts w:ascii="Times New Roman" w:hAnsi="Times New Roman" w:eastAsia="黑体" w:cs="Times New Roman"/>
          <w:b/>
          <w:bCs/>
          <w:sz w:val="24"/>
          <w:szCs w:val="24"/>
        </w:rPr>
      </w:pPr>
      <w:r>
        <w:rPr>
          <w:rFonts w:ascii="Times New Roman" w:hAnsi="Times New Roman" w:eastAsia="黑体" w:cs="Times New Roman"/>
          <w:b/>
          <w:bCs/>
          <w:sz w:val="24"/>
          <w:szCs w:val="24"/>
        </w:rPr>
        <w:t>四、推荐工作程序</w:t>
      </w:r>
    </w:p>
    <w:p w14:paraId="0792BA64">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1. 推免名额分配：根据学校分配学院的推免名额，按各专业学生人数比例进行分配，下发推免通知。</w:t>
      </w:r>
      <w:bookmarkStart w:id="8" w:name="_GoBack"/>
      <w:bookmarkEnd w:id="8"/>
    </w:p>
    <w:p w14:paraId="23055224">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2. 比例公布：报学校推荐免试工作领导小组，待批准后在学院内公布。</w:t>
      </w:r>
    </w:p>
    <w:p w14:paraId="1E2CF151">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3. 排名公示：学院推荐免试工作小组公示各专业学生成绩排名情况，公示时间不少于1日。</w:t>
      </w:r>
    </w:p>
    <w:p w14:paraId="7C2F3CEF">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4. 学生申请：学生可综合自身条件，在自愿的基础上，将个人申请材料纸质版提交至学院推荐免试工作小组。个人申请材料包括：</w:t>
      </w:r>
    </w:p>
    <w:p w14:paraId="3B41A6C5">
      <w:pPr>
        <w:adjustRightInd w:val="0"/>
        <w:snapToGrid w:val="0"/>
        <w:spacing w:line="360" w:lineRule="auto"/>
        <w:ind w:firstLine="420"/>
        <w:rPr>
          <w:rFonts w:ascii="Times New Roman" w:hAnsi="Times New Roman" w:eastAsia="仿宋" w:cs="Times New Roman"/>
          <w:sz w:val="24"/>
          <w:szCs w:val="24"/>
        </w:rPr>
      </w:pPr>
      <w:r>
        <w:rPr>
          <w:rFonts w:hint="eastAsia" w:ascii="宋体" w:hAnsi="宋体" w:eastAsia="宋体" w:cs="宋体"/>
          <w:sz w:val="24"/>
          <w:szCs w:val="24"/>
        </w:rPr>
        <w:t>①</w:t>
      </w:r>
      <w:r>
        <w:rPr>
          <w:rFonts w:ascii="Times New Roman" w:hAnsi="Times New Roman" w:eastAsia="仿宋" w:cs="Times New Roman"/>
          <w:sz w:val="24"/>
          <w:szCs w:val="24"/>
        </w:rPr>
        <w:t>《山东农业大学推荐免试研究生申请表》；</w:t>
      </w:r>
    </w:p>
    <w:p w14:paraId="60A7967A">
      <w:pPr>
        <w:adjustRightInd w:val="0"/>
        <w:snapToGrid w:val="0"/>
        <w:spacing w:line="360" w:lineRule="auto"/>
        <w:ind w:firstLine="420"/>
        <w:rPr>
          <w:rFonts w:ascii="Times New Roman" w:hAnsi="Times New Roman" w:eastAsia="仿宋" w:cs="Times New Roman"/>
          <w:sz w:val="24"/>
          <w:szCs w:val="24"/>
        </w:rPr>
      </w:pPr>
      <w:r>
        <w:rPr>
          <w:rFonts w:hint="eastAsia" w:ascii="宋体" w:hAnsi="宋体" w:eastAsia="宋体" w:cs="宋体"/>
          <w:sz w:val="24"/>
          <w:szCs w:val="24"/>
        </w:rPr>
        <w:t>②</w:t>
      </w:r>
      <w:r>
        <w:rPr>
          <w:rFonts w:ascii="Times New Roman" w:hAnsi="Times New Roman" w:eastAsia="仿宋" w:cs="Times New Roman"/>
          <w:sz w:val="24"/>
          <w:szCs w:val="24"/>
        </w:rPr>
        <w:t xml:space="preserve"> 加盖学院公章的学习成绩单、外语水平证明原件及复印件等支撑材料。</w:t>
      </w:r>
    </w:p>
    <w:p w14:paraId="3D3279C8">
      <w:pPr>
        <w:adjustRightInd w:val="0"/>
        <w:snapToGrid w:val="0"/>
        <w:spacing w:line="360" w:lineRule="auto"/>
        <w:ind w:firstLine="420"/>
        <w:rPr>
          <w:rFonts w:ascii="Times New Roman" w:hAnsi="Times New Roman" w:eastAsia="仿宋" w:cs="Times New Roman"/>
          <w:sz w:val="24"/>
          <w:szCs w:val="24"/>
        </w:rPr>
      </w:pPr>
      <w:r>
        <w:rPr>
          <w:rFonts w:hint="eastAsia" w:ascii="宋体" w:hAnsi="宋体" w:eastAsia="宋体" w:cs="宋体"/>
          <w:sz w:val="24"/>
          <w:szCs w:val="24"/>
        </w:rPr>
        <w:t>③</w:t>
      </w:r>
      <w:r>
        <w:rPr>
          <w:rFonts w:ascii="Times New Roman" w:hAnsi="Times New Roman" w:eastAsia="仿宋" w:cs="Times New Roman"/>
          <w:sz w:val="24"/>
          <w:szCs w:val="24"/>
        </w:rPr>
        <w:t xml:space="preserve"> 能反映科研创新意识、创新能力和专业能力倾向的科研记录（由所在实验室指导老师签字）、专业教师推荐信、科技成果和获奖证书（原件及复印件）等。</w:t>
      </w:r>
    </w:p>
    <w:p w14:paraId="5476C0D3">
      <w:pPr>
        <w:adjustRightInd w:val="0"/>
        <w:snapToGrid w:val="0"/>
        <w:spacing w:line="360" w:lineRule="auto"/>
        <w:ind w:firstLine="420"/>
        <w:rPr>
          <w:rFonts w:ascii="Times New Roman" w:hAnsi="Times New Roman" w:eastAsia="仿宋" w:cs="Times New Roman"/>
          <w:sz w:val="24"/>
          <w:szCs w:val="24"/>
        </w:rPr>
      </w:pPr>
      <w:r>
        <w:rPr>
          <w:rFonts w:ascii="Times New Roman" w:hAnsi="Times New Roman" w:eastAsia="仿宋" w:cs="Times New Roman"/>
          <w:sz w:val="24"/>
          <w:szCs w:val="24"/>
        </w:rPr>
        <w:t>5. 学院考核：学院推荐免试工作小组组织本学院申请推免学生的审核及学生创新能力和综合素质考核工作</w:t>
      </w:r>
      <w:r>
        <w:rPr>
          <w:rFonts w:hint="eastAsia" w:ascii="Times New Roman" w:hAnsi="Times New Roman" w:eastAsia="仿宋" w:cs="Times New Roman"/>
          <w:sz w:val="24"/>
          <w:szCs w:val="24"/>
        </w:rPr>
        <w:t>。</w:t>
      </w:r>
      <w:r>
        <w:rPr>
          <w:rFonts w:ascii="Times New Roman" w:hAnsi="Times New Roman" w:eastAsia="仿宋" w:cs="Times New Roman"/>
          <w:sz w:val="24"/>
          <w:szCs w:val="24"/>
        </w:rPr>
        <w:t>落实立德树人根本任务，坚持德智体美劳全面衡量，以德为先，把学生思想品德考核作为推免生遴选和录取的首要依据，思想品德考核不合格者不予推荐和录取。突出考查学生的一贯学业表现，注重并加强对学生本科阶段学习情况的过程性评价，将本科阶段学业综合成绩作为推免工作最基础的遴选指标，不得专门组织遴选推免生的考试（包括笔试、面试等）。引导学生全面发展，将学生在校期间参军入伍服兵役、参加志愿服务、到国际组织实习、科研成果、竞赛获奖等符合全面发展价值导向相关情况纳入学校推免生遴选指标体系，合理设置各遴选指标所占权重及单项指标上限分值，综合评价学生的各方面表现，学生在某一方面中有多项加分情况时，原则上只取一项，不得为仅符合单一或部分遴选指标的学生单列计划或破格推荐。学生考核由学习成绩、创新能力和综合素质三方面组成。其中，学习成绩为必修环节学分加权平均分，多次重修的课程按照最高成绩计算；创新能力主要考核研究能力、创新潜质等；综合素质可参考学生素质评价中学生在德育、美育、体育、劳育</w:t>
      </w:r>
      <w:r>
        <w:rPr>
          <w:rFonts w:hint="eastAsia" w:ascii="Times New Roman" w:hAnsi="Times New Roman" w:eastAsia="仿宋" w:cs="Times New Roman"/>
          <w:sz w:val="24"/>
          <w:szCs w:val="24"/>
        </w:rPr>
        <w:t>及参与乡村振兴驿站及其他社会实践</w:t>
      </w:r>
      <w:r>
        <w:rPr>
          <w:rFonts w:ascii="Times New Roman" w:hAnsi="Times New Roman" w:eastAsia="仿宋" w:cs="Times New Roman"/>
          <w:sz w:val="24"/>
          <w:szCs w:val="24"/>
        </w:rPr>
        <w:t>等方面的表现进行考核。</w:t>
      </w:r>
    </w:p>
    <w:p w14:paraId="1A2E7572">
      <w:pPr>
        <w:adjustRightInd w:val="0"/>
        <w:snapToGrid w:val="0"/>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排序成绩计算公式：</w:t>
      </w:r>
    </w:p>
    <w:p w14:paraId="54A62252">
      <w:pPr>
        <w:adjustRightInd w:val="0"/>
        <w:snapToGrid w:val="0"/>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排序成绩=学习成绩×60%+创新能力得分×25%+综合素质得分×15%</w:t>
      </w:r>
    </w:p>
    <w:p w14:paraId="4CBA50C5">
      <w:pPr>
        <w:adjustRightInd w:val="0"/>
        <w:snapToGrid w:val="0"/>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学院按照排序成绩分数从高到</w:t>
      </w:r>
      <w:r>
        <w:rPr>
          <w:rFonts w:hint="eastAsia" w:ascii="Times New Roman" w:hAnsi="Times New Roman" w:eastAsia="仿宋" w:cs="Times New Roman"/>
          <w:sz w:val="24"/>
          <w:szCs w:val="24"/>
        </w:rPr>
        <w:t>低</w:t>
      </w:r>
      <w:r>
        <w:rPr>
          <w:rFonts w:ascii="Times New Roman" w:hAnsi="Times New Roman" w:eastAsia="仿宋" w:cs="Times New Roman"/>
          <w:sz w:val="24"/>
          <w:szCs w:val="24"/>
        </w:rPr>
        <w:t>对满足推免基本条件且参加推免综合评价的学生进行名次排位，确定拟推荐名单并在学院内公示，公示时间不少于1日。</w:t>
      </w:r>
    </w:p>
    <w:p w14:paraId="047F770A">
      <w:pPr>
        <w:numPr>
          <w:ilvl w:val="0"/>
          <w:numId w:val="1"/>
        </w:numPr>
        <w:adjustRightInd w:val="0"/>
        <w:snapToGrid w:val="0"/>
        <w:spacing w:line="360" w:lineRule="auto"/>
        <w:ind w:firstLine="480" w:firstLineChars="200"/>
        <w:rPr>
          <w:rFonts w:hint="eastAsia" w:ascii="Times New Roman" w:hAnsi="Times New Roman" w:eastAsia="仿宋" w:cs="Times New Roman"/>
          <w:sz w:val="24"/>
          <w:szCs w:val="24"/>
        </w:rPr>
      </w:pPr>
      <w:r>
        <w:rPr>
          <w:rFonts w:ascii="Times New Roman" w:hAnsi="Times New Roman" w:eastAsia="仿宋" w:cs="Times New Roman"/>
          <w:sz w:val="24"/>
          <w:szCs w:val="24"/>
        </w:rPr>
        <w:t>学校审核：学院将公示后的推免生名单汇总表</w:t>
      </w:r>
      <w:r>
        <w:rPr>
          <w:rFonts w:hint="eastAsia" w:ascii="Times New Roman" w:hAnsi="Times New Roman" w:eastAsia="仿宋" w:cs="Times New Roman"/>
          <w:sz w:val="24"/>
          <w:szCs w:val="24"/>
        </w:rPr>
        <w:t>，</w:t>
      </w:r>
      <w:r>
        <w:rPr>
          <w:rFonts w:ascii="Times New Roman" w:hAnsi="Times New Roman" w:eastAsia="仿宋" w:cs="Times New Roman"/>
          <w:sz w:val="24"/>
          <w:szCs w:val="24"/>
        </w:rPr>
        <w:t>由</w:t>
      </w:r>
      <w:r>
        <w:rPr>
          <w:rFonts w:hint="eastAsia" w:ascii="Times New Roman" w:hAnsi="Times New Roman" w:eastAsia="仿宋" w:cs="Times New Roman"/>
          <w:sz w:val="24"/>
          <w:szCs w:val="24"/>
        </w:rPr>
        <w:t>学院主要领导</w:t>
      </w:r>
      <w:r>
        <w:rPr>
          <w:rFonts w:ascii="Times New Roman" w:hAnsi="Times New Roman" w:eastAsia="仿宋" w:cs="Times New Roman"/>
          <w:sz w:val="24"/>
          <w:szCs w:val="24"/>
        </w:rPr>
        <w:t>签字</w:t>
      </w:r>
      <w:r>
        <w:rPr>
          <w:rFonts w:hint="eastAsia" w:ascii="Times New Roman" w:hAnsi="Times New Roman" w:eastAsia="仿宋" w:cs="Times New Roman"/>
          <w:sz w:val="24"/>
          <w:szCs w:val="24"/>
        </w:rPr>
        <w:t>并</w:t>
      </w:r>
      <w:r>
        <w:rPr>
          <w:rFonts w:ascii="Times New Roman" w:hAnsi="Times New Roman" w:eastAsia="仿宋" w:cs="Times New Roman"/>
          <w:sz w:val="24"/>
          <w:szCs w:val="24"/>
        </w:rPr>
        <w:t>加盖学院公章后，连同推免生的相关材料报学校推荐免试工作组</w:t>
      </w:r>
      <w:r>
        <w:rPr>
          <w:rFonts w:hint="eastAsia" w:ascii="Times New Roman" w:hAnsi="Times New Roman" w:eastAsia="仿宋" w:cs="Times New Roman"/>
          <w:sz w:val="24"/>
          <w:szCs w:val="24"/>
        </w:rPr>
        <w:t>（一学生一文件夹，以学号+姓名命名，材料扫描为pdf格式，以材料内容命名，如成绩单命名为“2021210000张三成绩单”，纸质版材料由学院妥善保管4年备查）。</w:t>
      </w:r>
      <w:r>
        <w:rPr>
          <w:rFonts w:hint="default" w:ascii="Times New Roman" w:hAnsi="Times New Roman" w:eastAsia="仿宋" w:cs="Times New Roman"/>
          <w:sz w:val="24"/>
          <w:szCs w:val="24"/>
        </w:rPr>
        <w:t>学校推荐免试工作组审核后将推免生名单进行公示，</w:t>
      </w:r>
      <w:bookmarkStart w:id="0" w:name="_Hlk176707044"/>
      <w:r>
        <w:rPr>
          <w:rFonts w:hint="default" w:ascii="Times New Roman" w:hAnsi="Times New Roman" w:eastAsia="仿宋" w:cs="Times New Roman"/>
          <w:sz w:val="24"/>
          <w:szCs w:val="24"/>
        </w:rPr>
        <w:t>公示时间不少于</w:t>
      </w:r>
      <w:r>
        <w:rPr>
          <w:rFonts w:ascii="Times New Roman" w:hAnsi="Times New Roman" w:eastAsia="仿宋" w:cs="Times New Roman"/>
          <w:sz w:val="24"/>
          <w:szCs w:val="24"/>
        </w:rPr>
        <w:t>7</w:t>
      </w:r>
      <w:r>
        <w:rPr>
          <w:rFonts w:hint="default" w:ascii="Times New Roman" w:hAnsi="Times New Roman" w:eastAsia="仿宋" w:cs="Times New Roman"/>
          <w:sz w:val="24"/>
          <w:szCs w:val="24"/>
        </w:rPr>
        <w:t>天</w:t>
      </w:r>
      <w:bookmarkEnd w:id="0"/>
      <w:r>
        <w:rPr>
          <w:rFonts w:hint="default" w:ascii="Times New Roman" w:hAnsi="Times New Roman" w:eastAsia="仿宋" w:cs="Times New Roman"/>
          <w:sz w:val="24"/>
          <w:szCs w:val="24"/>
        </w:rPr>
        <w:t>。</w:t>
      </w:r>
      <w:bookmarkStart w:id="1" w:name="_Hlk176707077"/>
      <w:r>
        <w:rPr>
          <w:rFonts w:hint="default" w:ascii="Times New Roman" w:hAnsi="Times New Roman" w:eastAsia="仿宋" w:cs="Times New Roman"/>
          <w:sz w:val="24"/>
          <w:szCs w:val="24"/>
        </w:rPr>
        <w:t>学校通过“推免服务系统”，</w:t>
      </w:r>
      <w:bookmarkEnd w:id="1"/>
      <w:r>
        <w:rPr>
          <w:rFonts w:hint="default" w:ascii="Times New Roman" w:hAnsi="Times New Roman" w:eastAsia="仿宋" w:cs="Times New Roman"/>
          <w:sz w:val="24"/>
          <w:szCs w:val="24"/>
        </w:rPr>
        <w:t>将推免生名单报上级审核备案</w:t>
      </w:r>
      <w:r>
        <w:rPr>
          <w:rFonts w:hint="eastAsia" w:ascii="Times New Roman" w:hAnsi="Times New Roman" w:eastAsia="仿宋" w:cs="Times New Roman"/>
          <w:sz w:val="24"/>
          <w:szCs w:val="24"/>
          <w:lang w:eastAsia="zh-CN"/>
        </w:rPr>
        <w:t>。</w:t>
      </w:r>
    </w:p>
    <w:p w14:paraId="0915F8A2">
      <w:pPr>
        <w:numPr>
          <w:ilvl w:val="0"/>
          <w:numId w:val="1"/>
        </w:numPr>
        <w:adjustRightInd w:val="0"/>
        <w:snapToGrid w:val="0"/>
        <w:spacing w:line="360" w:lineRule="auto"/>
        <w:ind w:firstLine="480" w:firstLineChars="200"/>
        <w:rPr>
          <w:rFonts w:hint="eastAsia" w:ascii="Times New Roman" w:hAnsi="Times New Roman" w:eastAsia="仿宋" w:cs="Times New Roman"/>
          <w:sz w:val="24"/>
          <w:szCs w:val="24"/>
        </w:rPr>
      </w:pPr>
      <w:r>
        <w:rPr>
          <w:rFonts w:hint="eastAsia" w:ascii="Times New Roman" w:hAnsi="Times New Roman" w:eastAsia="仿宋" w:cs="Times New Roman"/>
          <w:sz w:val="24"/>
          <w:szCs w:val="24"/>
        </w:rPr>
        <w:t>推免生可通过“推免服务系统”查询推免生招生单位的招收章程和专业目录，填写报考志愿，接收并确认招生单位的复试及待录取通知。</w:t>
      </w:r>
    </w:p>
    <w:p w14:paraId="7D2D516D">
      <w:pPr>
        <w:numPr>
          <w:ilvl w:val="-1"/>
          <w:numId w:val="0"/>
        </w:numPr>
        <w:adjustRightInd w:val="0"/>
        <w:snapToGrid w:val="0"/>
        <w:spacing w:line="360" w:lineRule="auto"/>
        <w:ind w:firstLine="0" w:firstLineChars="0"/>
        <w:rPr>
          <w:rFonts w:hint="eastAsia" w:ascii="Times New Roman" w:hAnsi="Times New Roman" w:eastAsia="仿宋" w:cs="Times New Roman"/>
          <w:sz w:val="24"/>
          <w:szCs w:val="24"/>
        </w:rPr>
      </w:pPr>
    </w:p>
    <w:p w14:paraId="2906668B">
      <w:pPr>
        <w:pStyle w:val="13"/>
        <w:adjustRightInd w:val="0"/>
        <w:snapToGrid w:val="0"/>
        <w:spacing w:before="156" w:beforeLines="50" w:after="78" w:afterLines="25" w:line="360" w:lineRule="auto"/>
        <w:ind w:left="-2" w:leftChars="-1" w:firstLine="532" w:firstLineChars="221"/>
        <w:rPr>
          <w:rFonts w:ascii="Times New Roman" w:hAnsi="Times New Roman" w:eastAsia="黑体" w:cs="Times New Roman"/>
          <w:b/>
          <w:bCs/>
          <w:sz w:val="24"/>
          <w:szCs w:val="24"/>
        </w:rPr>
      </w:pPr>
      <w:r>
        <w:rPr>
          <w:rFonts w:ascii="Times New Roman" w:hAnsi="Times New Roman" w:eastAsia="黑体" w:cs="Times New Roman"/>
          <w:b/>
          <w:bCs/>
          <w:sz w:val="24"/>
          <w:szCs w:val="24"/>
        </w:rPr>
        <w:t>五、附则</w:t>
      </w:r>
    </w:p>
    <w:p w14:paraId="086C245B">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 xml:space="preserve">1. </w:t>
      </w:r>
      <w:r>
        <w:rPr>
          <w:rFonts w:hint="eastAsia" w:ascii="Times New Roman" w:hAnsi="Times New Roman" w:eastAsia="仿宋" w:cs="Times New Roman"/>
          <w:sz w:val="24"/>
          <w:szCs w:val="24"/>
        </w:rPr>
        <w:t>学生申请材料必须在材料提交日，2025年9月6日（含）前正式取得并提交，逾期的不予认可。</w:t>
      </w:r>
    </w:p>
    <w:p w14:paraId="48193F05">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2. 实行回避制度。推免相关工作人员如有直系亲属或其他利益相关者报名参加学校当年度推免的，应主动申请回避；如有非直系亲属等报名参加学校当年度推免的，应主动向学校报备。学校教职工特别是领导干部，若子女在本年度参加学校推免时，应主动向学校报备，相关领导干部要全程回避。</w:t>
      </w:r>
    </w:p>
    <w:p w14:paraId="7598A6E7">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 xml:space="preserve">3. </w:t>
      </w:r>
      <w:r>
        <w:rPr>
          <w:rFonts w:ascii="Times New Roman" w:hAnsi="Times New Roman" w:eastAsia="仿宋" w:cs="Times New Roman"/>
          <w:sz w:val="24"/>
          <w:szCs w:val="24"/>
        </w:rPr>
        <w:t>在推免工作中违反国家有关法律法规和招生管理规定行为的工作人员，按《普通高等学校招生违规行为处理暂行办法》(教育部令第36号)严肃处理，并追究直接责任人员的责任，造成严重后果和恶劣影响的，将按规定对相关责任人实行问责。</w:t>
      </w:r>
    </w:p>
    <w:p w14:paraId="7F3FE339">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4</w:t>
      </w:r>
      <w:r>
        <w:rPr>
          <w:rFonts w:ascii="Times New Roman" w:hAnsi="Times New Roman" w:eastAsia="仿宋" w:cs="Times New Roman"/>
          <w:sz w:val="24"/>
          <w:szCs w:val="24"/>
        </w:rPr>
        <w:t xml:space="preserve">. </w:t>
      </w:r>
      <w:r>
        <w:rPr>
          <w:rFonts w:hint="eastAsia" w:ascii="Times New Roman" w:hAnsi="Times New Roman" w:eastAsia="仿宋" w:cs="Times New Roman"/>
          <w:sz w:val="24"/>
          <w:szCs w:val="24"/>
        </w:rPr>
        <w:t>实行复议制度。学生如对推免结果有异议，可在公示期间书面向学院推荐免试工作小组进行申诉。学院将进行核查、处理，切实保障学生合法权益。属于对政策执行存在异议的，及时书面或口头答复申诉人。学生对学院作出的答复不服的，可向上级主管部门申请复查。</w:t>
      </w:r>
    </w:p>
    <w:p w14:paraId="7C47E5E6">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 xml:space="preserve">5. </w:t>
      </w:r>
      <w:r>
        <w:rPr>
          <w:rFonts w:ascii="Times New Roman" w:hAnsi="Times New Roman" w:eastAsia="仿宋" w:cs="Times New Roman"/>
          <w:sz w:val="24"/>
          <w:szCs w:val="24"/>
        </w:rPr>
        <w:t>在申请推免过程中弄虚作假的学生，取消其推免生资格。</w:t>
      </w:r>
    </w:p>
    <w:p w14:paraId="2C5C1F8B">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6. 本办法由学院推荐免试工作小组负责解释，自发文之日起执行，原有关办法废止。</w:t>
      </w:r>
    </w:p>
    <w:p w14:paraId="4105E1C4">
      <w:pPr>
        <w:adjustRightInd w:val="0"/>
        <w:snapToGrid w:val="0"/>
        <w:spacing w:line="360" w:lineRule="auto"/>
        <w:rPr>
          <w:rFonts w:ascii="Times New Roman" w:hAnsi="Times New Roman" w:eastAsia="仿宋" w:cs="Times New Roman"/>
          <w:sz w:val="24"/>
          <w:szCs w:val="24"/>
        </w:rPr>
      </w:pPr>
    </w:p>
    <w:p w14:paraId="574FB2C3">
      <w:pPr>
        <w:pStyle w:val="13"/>
        <w:adjustRightInd w:val="0"/>
        <w:snapToGrid w:val="0"/>
        <w:spacing w:line="360" w:lineRule="auto"/>
        <w:ind w:right="480" w:firstLine="5640" w:firstLineChars="2350"/>
        <w:rPr>
          <w:rFonts w:ascii="Times New Roman" w:hAnsi="Times New Roman" w:eastAsia="仿宋" w:cs="Times New Roman"/>
          <w:sz w:val="24"/>
          <w:szCs w:val="24"/>
        </w:rPr>
      </w:pPr>
    </w:p>
    <w:p w14:paraId="19B2FA64">
      <w:pPr>
        <w:pStyle w:val="13"/>
        <w:adjustRightInd w:val="0"/>
        <w:snapToGrid w:val="0"/>
        <w:spacing w:line="360" w:lineRule="auto"/>
        <w:ind w:right="480" w:firstLine="5640" w:firstLineChars="2350"/>
        <w:rPr>
          <w:rFonts w:ascii="Times New Roman" w:hAnsi="Times New Roman" w:eastAsia="仿宋" w:cs="Times New Roman"/>
          <w:sz w:val="24"/>
          <w:szCs w:val="24"/>
        </w:rPr>
      </w:pPr>
      <w:r>
        <w:rPr>
          <w:rFonts w:ascii="Times New Roman" w:hAnsi="Times New Roman" w:eastAsia="仿宋" w:cs="Times New Roman"/>
          <w:sz w:val="24"/>
          <w:szCs w:val="24"/>
        </w:rPr>
        <w:t>食品科学与工程学院</w:t>
      </w:r>
    </w:p>
    <w:p w14:paraId="023C8E2C">
      <w:pPr>
        <w:pStyle w:val="13"/>
        <w:adjustRightInd w:val="0"/>
        <w:snapToGrid w:val="0"/>
        <w:spacing w:line="360" w:lineRule="auto"/>
        <w:ind w:right="480" w:firstLine="5668" w:firstLineChars="2362"/>
        <w:rPr>
          <w:rFonts w:ascii="Times New Roman" w:hAnsi="Times New Roman" w:eastAsia="仿宋" w:cs="Times New Roman"/>
          <w:sz w:val="24"/>
          <w:szCs w:val="24"/>
        </w:rPr>
      </w:pPr>
      <w:r>
        <w:rPr>
          <w:rFonts w:hint="eastAsia" w:ascii="Times New Roman" w:hAnsi="Times New Roman" w:eastAsia="仿宋" w:cs="Times New Roman"/>
          <w:sz w:val="24"/>
          <w:szCs w:val="24"/>
        </w:rPr>
        <w:t>二O二五年九</w:t>
      </w:r>
      <w:r>
        <w:rPr>
          <w:rFonts w:ascii="Times New Roman" w:hAnsi="Times New Roman" w:eastAsia="仿宋" w:cs="Times New Roman"/>
          <w:sz w:val="24"/>
          <w:szCs w:val="24"/>
        </w:rPr>
        <w:t>月</w:t>
      </w:r>
      <w:r>
        <w:rPr>
          <w:rFonts w:hint="eastAsia" w:ascii="Times New Roman" w:hAnsi="Times New Roman" w:eastAsia="仿宋" w:cs="Times New Roman"/>
          <w:sz w:val="24"/>
          <w:szCs w:val="24"/>
        </w:rPr>
        <w:t>二</w:t>
      </w:r>
      <w:r>
        <w:rPr>
          <w:rFonts w:ascii="Times New Roman" w:hAnsi="Times New Roman" w:eastAsia="仿宋" w:cs="Times New Roman"/>
          <w:sz w:val="24"/>
          <w:szCs w:val="24"/>
        </w:rPr>
        <w:t>日</w:t>
      </w:r>
    </w:p>
    <w:p w14:paraId="03867223">
      <w:pPr>
        <w:pStyle w:val="13"/>
        <w:adjustRightInd w:val="0"/>
        <w:snapToGrid w:val="0"/>
        <w:spacing w:line="560" w:lineRule="exact"/>
        <w:ind w:firstLine="0" w:firstLineChars="0"/>
        <w:rPr>
          <w:rFonts w:ascii="Times New Roman" w:hAnsi="Times New Roman" w:eastAsia="仿宋" w:cs="Times New Roman"/>
          <w:sz w:val="24"/>
          <w:szCs w:val="24"/>
        </w:rPr>
      </w:pPr>
      <w:r>
        <w:rPr>
          <w:rFonts w:ascii="Times New Roman" w:hAnsi="Times New Roman" w:eastAsia="仿宋" w:cs="Times New Roman"/>
          <w:sz w:val="24"/>
          <w:szCs w:val="24"/>
        </w:rPr>
        <w:br w:type="page"/>
      </w:r>
      <w:r>
        <w:rPr>
          <w:rFonts w:ascii="Times New Roman" w:hAnsi="Times New Roman" w:eastAsia="仿宋" w:cs="Times New Roman"/>
          <w:sz w:val="24"/>
          <w:szCs w:val="24"/>
        </w:rPr>
        <w:t>附一：综合素质及创新能力考查指标体系</w:t>
      </w:r>
    </w:p>
    <w:p w14:paraId="6EDEE3A4">
      <w:pPr>
        <w:pStyle w:val="13"/>
        <w:adjustRightInd w:val="0"/>
        <w:snapToGrid w:val="0"/>
        <w:spacing w:before="156" w:beforeLines="50" w:line="360" w:lineRule="exact"/>
        <w:ind w:firstLine="489"/>
        <w:jc w:val="center"/>
        <w:rPr>
          <w:rFonts w:ascii="Times New Roman" w:hAnsi="Times New Roman" w:eastAsia="黑体" w:cs="Times New Roman"/>
          <w:b/>
          <w:bCs/>
          <w:color w:val="000000"/>
          <w:kern w:val="0"/>
          <w:sz w:val="24"/>
          <w:szCs w:val="24"/>
        </w:rPr>
      </w:pPr>
      <w:r>
        <w:rPr>
          <w:rFonts w:ascii="Times New Roman" w:hAnsi="Times New Roman" w:eastAsia="黑体" w:cs="Times New Roman"/>
          <w:b/>
          <w:bCs/>
          <w:color w:val="000000"/>
          <w:kern w:val="0"/>
          <w:sz w:val="24"/>
          <w:szCs w:val="24"/>
        </w:rPr>
        <w:t>综合素质考查指标体系</w:t>
      </w:r>
    </w:p>
    <w:p w14:paraId="6B00BA24">
      <w:pPr>
        <w:pStyle w:val="13"/>
        <w:adjustRightInd w:val="0"/>
        <w:snapToGrid w:val="0"/>
        <w:spacing w:line="360" w:lineRule="exact"/>
        <w:ind w:firstLine="44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综合素质针对学生在德育、美育、体育、劳育等方面的表现及参军入伍服兵役、参加志愿服务、到国际组织实习</w:t>
      </w:r>
      <w:r>
        <w:rPr>
          <w:rFonts w:hint="eastAsia" w:ascii="Times New Roman" w:hAnsi="Times New Roman" w:eastAsia="宋体" w:cs="Times New Roman"/>
          <w:color w:val="000000"/>
          <w:kern w:val="0"/>
          <w:sz w:val="22"/>
        </w:rPr>
        <w:t>、参与乡村振兴驿站等</w:t>
      </w:r>
      <w:r>
        <w:rPr>
          <w:rFonts w:ascii="Times New Roman" w:hAnsi="Times New Roman" w:eastAsia="宋体" w:cs="Times New Roman"/>
          <w:color w:val="000000"/>
          <w:kern w:val="0"/>
          <w:sz w:val="22"/>
        </w:rPr>
        <w:t>情况进行考核。本部分占排序成绩15%。</w:t>
      </w:r>
    </w:p>
    <w:tbl>
      <w:tblPr>
        <w:tblStyle w:val="8"/>
        <w:tblW w:w="5000" w:type="pct"/>
        <w:tblInd w:w="0" w:type="dxa"/>
        <w:tblLayout w:type="fixed"/>
        <w:tblCellMar>
          <w:top w:w="0" w:type="dxa"/>
          <w:left w:w="108" w:type="dxa"/>
          <w:bottom w:w="0" w:type="dxa"/>
          <w:right w:w="108" w:type="dxa"/>
        </w:tblCellMar>
      </w:tblPr>
      <w:tblGrid>
        <w:gridCol w:w="980"/>
        <w:gridCol w:w="2505"/>
        <w:gridCol w:w="728"/>
        <w:gridCol w:w="3925"/>
        <w:gridCol w:w="807"/>
      </w:tblGrid>
      <w:tr w14:paraId="4E1349AD">
        <w:tblPrEx>
          <w:tblCellMar>
            <w:top w:w="0" w:type="dxa"/>
            <w:left w:w="108" w:type="dxa"/>
            <w:bottom w:w="0" w:type="dxa"/>
            <w:right w:w="108" w:type="dxa"/>
          </w:tblCellMar>
        </w:tblPrEx>
        <w:trPr>
          <w:trHeight w:val="810" w:hRule="atLeast"/>
        </w:trPr>
        <w:tc>
          <w:tcPr>
            <w:tcW w:w="548" w:type="pct"/>
            <w:tcBorders>
              <w:top w:val="single" w:color="auto" w:sz="4" w:space="0"/>
              <w:left w:val="single" w:color="auto" w:sz="4" w:space="0"/>
              <w:bottom w:val="single" w:color="auto" w:sz="4" w:space="0"/>
              <w:right w:val="single" w:color="auto" w:sz="4" w:space="0"/>
            </w:tcBorders>
            <w:vAlign w:val="center"/>
          </w:tcPr>
          <w:p w14:paraId="130B7392">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类别</w:t>
            </w:r>
          </w:p>
        </w:tc>
        <w:tc>
          <w:tcPr>
            <w:tcW w:w="1400" w:type="pct"/>
            <w:tcBorders>
              <w:top w:val="single" w:color="auto" w:sz="4" w:space="0"/>
              <w:left w:val="nil"/>
              <w:bottom w:val="single" w:color="auto" w:sz="4" w:space="0"/>
              <w:right w:val="single" w:color="auto" w:sz="4" w:space="0"/>
            </w:tcBorders>
            <w:vAlign w:val="center"/>
          </w:tcPr>
          <w:p w14:paraId="395D5200">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评价内容</w:t>
            </w:r>
          </w:p>
        </w:tc>
        <w:tc>
          <w:tcPr>
            <w:tcW w:w="407" w:type="pct"/>
            <w:tcBorders>
              <w:top w:val="single" w:color="auto" w:sz="4" w:space="0"/>
              <w:left w:val="nil"/>
              <w:bottom w:val="single" w:color="auto" w:sz="4" w:space="0"/>
              <w:right w:val="single" w:color="auto" w:sz="4" w:space="0"/>
            </w:tcBorders>
            <w:vAlign w:val="center"/>
          </w:tcPr>
          <w:p w14:paraId="4C1F990D">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权重（%）</w:t>
            </w:r>
          </w:p>
        </w:tc>
        <w:tc>
          <w:tcPr>
            <w:tcW w:w="2194" w:type="pct"/>
            <w:tcBorders>
              <w:top w:val="single" w:color="auto" w:sz="4" w:space="0"/>
              <w:left w:val="nil"/>
              <w:bottom w:val="single" w:color="auto" w:sz="4" w:space="0"/>
              <w:right w:val="single" w:color="auto" w:sz="4" w:space="0"/>
            </w:tcBorders>
            <w:vAlign w:val="center"/>
          </w:tcPr>
          <w:p w14:paraId="733F5366">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评价指标</w:t>
            </w:r>
          </w:p>
        </w:tc>
        <w:tc>
          <w:tcPr>
            <w:tcW w:w="451" w:type="pct"/>
            <w:tcBorders>
              <w:top w:val="single" w:color="auto" w:sz="4" w:space="0"/>
              <w:left w:val="nil"/>
              <w:bottom w:val="single" w:color="auto" w:sz="4" w:space="0"/>
              <w:right w:val="single" w:color="auto" w:sz="4" w:space="0"/>
            </w:tcBorders>
            <w:vAlign w:val="center"/>
          </w:tcPr>
          <w:p w14:paraId="5F6F5B6D">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分值</w:t>
            </w:r>
          </w:p>
        </w:tc>
      </w:tr>
      <w:tr w14:paraId="54F82F0F">
        <w:tblPrEx>
          <w:tblCellMar>
            <w:top w:w="0" w:type="dxa"/>
            <w:left w:w="108" w:type="dxa"/>
            <w:bottom w:w="0" w:type="dxa"/>
            <w:right w:w="108" w:type="dxa"/>
          </w:tblCellMar>
        </w:tblPrEx>
        <w:trPr>
          <w:trHeight w:val="270" w:hRule="atLeast"/>
        </w:trPr>
        <w:tc>
          <w:tcPr>
            <w:tcW w:w="548" w:type="pct"/>
            <w:tcBorders>
              <w:top w:val="nil"/>
              <w:left w:val="single" w:color="auto" w:sz="4" w:space="0"/>
              <w:bottom w:val="single" w:color="auto" w:sz="4" w:space="0"/>
              <w:right w:val="single" w:color="auto" w:sz="4" w:space="0"/>
            </w:tcBorders>
            <w:noWrap/>
            <w:vAlign w:val="center"/>
          </w:tcPr>
          <w:p w14:paraId="6568241A">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综合</w:t>
            </w:r>
          </w:p>
          <w:p w14:paraId="54FE4CF6">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表现</w:t>
            </w:r>
          </w:p>
        </w:tc>
        <w:tc>
          <w:tcPr>
            <w:tcW w:w="1400" w:type="pct"/>
            <w:tcBorders>
              <w:top w:val="nil"/>
              <w:left w:val="nil"/>
              <w:bottom w:val="single" w:color="auto" w:sz="4" w:space="0"/>
              <w:right w:val="single" w:color="auto" w:sz="4" w:space="0"/>
            </w:tcBorders>
            <w:vAlign w:val="center"/>
          </w:tcPr>
          <w:p w14:paraId="0A5BF235">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德育、美育、体育、劳育等方面的表现情况</w:t>
            </w:r>
          </w:p>
        </w:tc>
        <w:tc>
          <w:tcPr>
            <w:tcW w:w="407" w:type="pct"/>
            <w:tcBorders>
              <w:top w:val="nil"/>
              <w:left w:val="nil"/>
              <w:bottom w:val="single" w:color="auto" w:sz="4" w:space="0"/>
              <w:right w:val="single" w:color="auto" w:sz="4" w:space="0"/>
            </w:tcBorders>
            <w:noWrap/>
            <w:vAlign w:val="center"/>
          </w:tcPr>
          <w:p w14:paraId="0467897D">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70</w:t>
            </w:r>
          </w:p>
        </w:tc>
        <w:tc>
          <w:tcPr>
            <w:tcW w:w="2194" w:type="pct"/>
            <w:tcBorders>
              <w:top w:val="nil"/>
              <w:left w:val="nil"/>
              <w:bottom w:val="single" w:color="auto" w:sz="4" w:space="0"/>
              <w:right w:val="single" w:color="auto" w:sz="4" w:space="0"/>
            </w:tcBorders>
            <w:noWrap/>
            <w:vAlign w:val="center"/>
          </w:tcPr>
          <w:p w14:paraId="131236A9">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学生在校期间德育、美育、体育、劳育</w:t>
            </w:r>
            <w:r>
              <w:rPr>
                <w:rFonts w:hint="eastAsia" w:ascii="Times New Roman" w:hAnsi="Times New Roman" w:eastAsia="宋体" w:cs="Times New Roman"/>
                <w:color w:val="000000"/>
                <w:kern w:val="0"/>
                <w:sz w:val="22"/>
              </w:rPr>
              <w:t>及参与乡村振兴驿站等</w:t>
            </w:r>
            <w:r>
              <w:rPr>
                <w:rFonts w:ascii="Times New Roman" w:hAnsi="Times New Roman" w:eastAsia="宋体" w:cs="Times New Roman"/>
                <w:color w:val="000000"/>
                <w:kern w:val="0"/>
                <w:sz w:val="22"/>
              </w:rPr>
              <w:t>综合表现</w:t>
            </w:r>
          </w:p>
        </w:tc>
        <w:tc>
          <w:tcPr>
            <w:tcW w:w="451" w:type="pct"/>
            <w:tcBorders>
              <w:top w:val="nil"/>
              <w:left w:val="nil"/>
              <w:bottom w:val="single" w:color="auto" w:sz="4" w:space="0"/>
              <w:right w:val="single" w:color="auto" w:sz="4" w:space="0"/>
            </w:tcBorders>
            <w:noWrap/>
            <w:vAlign w:val="center"/>
          </w:tcPr>
          <w:p w14:paraId="3CC7B85A">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549D24C8">
        <w:tblPrEx>
          <w:tblCellMar>
            <w:top w:w="0" w:type="dxa"/>
            <w:left w:w="108" w:type="dxa"/>
            <w:bottom w:w="0" w:type="dxa"/>
            <w:right w:w="108" w:type="dxa"/>
          </w:tblCellMar>
        </w:tblPrEx>
        <w:trPr>
          <w:trHeight w:val="439" w:hRule="atLeast"/>
        </w:trPr>
        <w:tc>
          <w:tcPr>
            <w:tcW w:w="548" w:type="pct"/>
            <w:vMerge w:val="restart"/>
            <w:tcBorders>
              <w:top w:val="nil"/>
              <w:left w:val="single" w:color="auto" w:sz="4" w:space="0"/>
              <w:right w:val="single" w:color="auto" w:sz="4" w:space="0"/>
            </w:tcBorders>
            <w:noWrap/>
            <w:vAlign w:val="center"/>
          </w:tcPr>
          <w:p w14:paraId="50322E89">
            <w:pPr>
              <w:widowControl/>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其它</w:t>
            </w:r>
          </w:p>
        </w:tc>
        <w:tc>
          <w:tcPr>
            <w:tcW w:w="1400" w:type="pct"/>
            <w:tcBorders>
              <w:top w:val="nil"/>
              <w:left w:val="single" w:color="auto" w:sz="4" w:space="0"/>
              <w:bottom w:val="single" w:color="auto" w:sz="4" w:space="0"/>
              <w:right w:val="single" w:color="auto" w:sz="4" w:space="0"/>
            </w:tcBorders>
            <w:vAlign w:val="center"/>
          </w:tcPr>
          <w:p w14:paraId="303020AD">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参军入伍服兵役</w:t>
            </w:r>
          </w:p>
        </w:tc>
        <w:tc>
          <w:tcPr>
            <w:tcW w:w="407" w:type="pct"/>
            <w:tcBorders>
              <w:top w:val="nil"/>
              <w:left w:val="single" w:color="auto" w:sz="4" w:space="0"/>
              <w:bottom w:val="single" w:color="auto" w:sz="4" w:space="0"/>
              <w:right w:val="single" w:color="auto" w:sz="4" w:space="0"/>
            </w:tcBorders>
            <w:noWrap/>
            <w:vAlign w:val="center"/>
          </w:tcPr>
          <w:p w14:paraId="41625DB2">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15</w:t>
            </w:r>
          </w:p>
        </w:tc>
        <w:tc>
          <w:tcPr>
            <w:tcW w:w="2194" w:type="pct"/>
            <w:tcBorders>
              <w:top w:val="nil"/>
              <w:left w:val="nil"/>
              <w:bottom w:val="single" w:color="auto" w:sz="4" w:space="0"/>
              <w:right w:val="single" w:color="auto" w:sz="4" w:space="0"/>
            </w:tcBorders>
            <w:noWrap/>
            <w:vAlign w:val="center"/>
          </w:tcPr>
          <w:p w14:paraId="75B14F20">
            <w:pPr>
              <w:widowControl/>
              <w:jc w:val="left"/>
              <w:rPr>
                <w:rFonts w:ascii="Times New Roman" w:hAnsi="Times New Roman" w:eastAsia="宋体" w:cs="Times New Roman"/>
                <w:color w:val="000000"/>
                <w:kern w:val="0"/>
                <w:sz w:val="22"/>
              </w:rPr>
            </w:pPr>
          </w:p>
        </w:tc>
        <w:tc>
          <w:tcPr>
            <w:tcW w:w="451" w:type="pct"/>
            <w:tcBorders>
              <w:top w:val="nil"/>
              <w:left w:val="nil"/>
              <w:bottom w:val="single" w:color="auto" w:sz="4" w:space="0"/>
              <w:right w:val="single" w:color="auto" w:sz="4" w:space="0"/>
            </w:tcBorders>
            <w:noWrap/>
            <w:vAlign w:val="center"/>
          </w:tcPr>
          <w:p w14:paraId="2E357A2F">
            <w:pPr>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2F1F6571">
        <w:tblPrEx>
          <w:tblCellMar>
            <w:top w:w="0" w:type="dxa"/>
            <w:left w:w="108" w:type="dxa"/>
            <w:bottom w:w="0" w:type="dxa"/>
            <w:right w:w="108" w:type="dxa"/>
          </w:tblCellMar>
        </w:tblPrEx>
        <w:trPr>
          <w:trHeight w:val="439" w:hRule="atLeast"/>
        </w:trPr>
        <w:tc>
          <w:tcPr>
            <w:tcW w:w="548" w:type="pct"/>
            <w:vMerge w:val="continue"/>
            <w:tcBorders>
              <w:left w:val="single" w:color="auto" w:sz="4" w:space="0"/>
              <w:right w:val="single" w:color="auto" w:sz="4" w:space="0"/>
            </w:tcBorders>
            <w:noWrap/>
            <w:vAlign w:val="center"/>
          </w:tcPr>
          <w:p w14:paraId="20E94039">
            <w:pPr>
              <w:widowControl/>
              <w:rPr>
                <w:rFonts w:ascii="Times New Roman" w:hAnsi="Times New Roman" w:eastAsia="宋体" w:cs="Times New Roman"/>
                <w:color w:val="000000"/>
                <w:kern w:val="0"/>
                <w:sz w:val="22"/>
              </w:rPr>
            </w:pPr>
          </w:p>
        </w:tc>
        <w:tc>
          <w:tcPr>
            <w:tcW w:w="1400" w:type="pct"/>
            <w:tcBorders>
              <w:top w:val="nil"/>
              <w:left w:val="single" w:color="auto" w:sz="4" w:space="0"/>
              <w:bottom w:val="single" w:color="auto" w:sz="4" w:space="0"/>
              <w:right w:val="single" w:color="auto" w:sz="4" w:space="0"/>
            </w:tcBorders>
            <w:vAlign w:val="center"/>
          </w:tcPr>
          <w:p w14:paraId="2F518C45">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志愿服务</w:t>
            </w:r>
          </w:p>
        </w:tc>
        <w:tc>
          <w:tcPr>
            <w:tcW w:w="407" w:type="pct"/>
            <w:tcBorders>
              <w:top w:val="nil"/>
              <w:left w:val="single" w:color="auto" w:sz="4" w:space="0"/>
              <w:bottom w:val="single" w:color="auto" w:sz="4" w:space="0"/>
              <w:right w:val="single" w:color="auto" w:sz="4" w:space="0"/>
            </w:tcBorders>
            <w:noWrap/>
            <w:vAlign w:val="center"/>
          </w:tcPr>
          <w:p w14:paraId="667F0A6E">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w:t>
            </w:r>
          </w:p>
        </w:tc>
        <w:tc>
          <w:tcPr>
            <w:tcW w:w="2194" w:type="pct"/>
            <w:tcBorders>
              <w:top w:val="nil"/>
              <w:left w:val="nil"/>
              <w:bottom w:val="single" w:color="auto" w:sz="4" w:space="0"/>
              <w:right w:val="single" w:color="auto" w:sz="4" w:space="0"/>
            </w:tcBorders>
            <w:noWrap/>
            <w:vAlign w:val="center"/>
          </w:tcPr>
          <w:p w14:paraId="32C01639">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　</w:t>
            </w:r>
          </w:p>
        </w:tc>
        <w:tc>
          <w:tcPr>
            <w:tcW w:w="451" w:type="pct"/>
            <w:tcBorders>
              <w:top w:val="nil"/>
              <w:left w:val="nil"/>
              <w:bottom w:val="single" w:color="auto" w:sz="4" w:space="0"/>
              <w:right w:val="single" w:color="auto" w:sz="4" w:space="0"/>
            </w:tcBorders>
            <w:noWrap/>
            <w:vAlign w:val="center"/>
          </w:tcPr>
          <w:p w14:paraId="0E2150A4">
            <w:pPr>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65DC1657">
        <w:tblPrEx>
          <w:tblCellMar>
            <w:top w:w="0" w:type="dxa"/>
            <w:left w:w="108" w:type="dxa"/>
            <w:bottom w:w="0" w:type="dxa"/>
            <w:right w:w="108" w:type="dxa"/>
          </w:tblCellMar>
        </w:tblPrEx>
        <w:trPr>
          <w:trHeight w:val="439" w:hRule="atLeast"/>
        </w:trPr>
        <w:tc>
          <w:tcPr>
            <w:tcW w:w="548" w:type="pct"/>
            <w:vMerge w:val="continue"/>
            <w:tcBorders>
              <w:left w:val="single" w:color="auto" w:sz="4" w:space="0"/>
              <w:bottom w:val="single" w:color="auto" w:sz="4" w:space="0"/>
              <w:right w:val="single" w:color="auto" w:sz="4" w:space="0"/>
            </w:tcBorders>
            <w:noWrap/>
            <w:vAlign w:val="center"/>
          </w:tcPr>
          <w:p w14:paraId="55CC27E0">
            <w:pPr>
              <w:widowControl/>
              <w:rPr>
                <w:rFonts w:ascii="Times New Roman" w:hAnsi="Times New Roman" w:eastAsia="宋体" w:cs="Times New Roman"/>
                <w:color w:val="000000"/>
                <w:kern w:val="0"/>
                <w:sz w:val="22"/>
              </w:rPr>
            </w:pPr>
          </w:p>
        </w:tc>
        <w:tc>
          <w:tcPr>
            <w:tcW w:w="1400" w:type="pct"/>
            <w:tcBorders>
              <w:top w:val="nil"/>
              <w:left w:val="single" w:color="auto" w:sz="4" w:space="0"/>
              <w:bottom w:val="single" w:color="auto" w:sz="4" w:space="0"/>
              <w:right w:val="single" w:color="auto" w:sz="4" w:space="0"/>
            </w:tcBorders>
            <w:vAlign w:val="center"/>
          </w:tcPr>
          <w:p w14:paraId="14229013">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赴国际组织实习</w:t>
            </w:r>
          </w:p>
        </w:tc>
        <w:tc>
          <w:tcPr>
            <w:tcW w:w="407" w:type="pct"/>
            <w:tcBorders>
              <w:top w:val="nil"/>
              <w:left w:val="single" w:color="auto" w:sz="4" w:space="0"/>
              <w:bottom w:val="single" w:color="auto" w:sz="4" w:space="0"/>
              <w:right w:val="single" w:color="auto" w:sz="4" w:space="0"/>
            </w:tcBorders>
            <w:noWrap/>
            <w:vAlign w:val="center"/>
          </w:tcPr>
          <w:p w14:paraId="0CFDD843">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w:t>
            </w:r>
          </w:p>
        </w:tc>
        <w:tc>
          <w:tcPr>
            <w:tcW w:w="2194" w:type="pct"/>
            <w:tcBorders>
              <w:top w:val="nil"/>
              <w:left w:val="nil"/>
              <w:bottom w:val="single" w:color="auto" w:sz="4" w:space="0"/>
              <w:right w:val="single" w:color="auto" w:sz="4" w:space="0"/>
            </w:tcBorders>
            <w:noWrap/>
            <w:vAlign w:val="center"/>
          </w:tcPr>
          <w:p w14:paraId="015E2E07">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　</w:t>
            </w:r>
          </w:p>
        </w:tc>
        <w:tc>
          <w:tcPr>
            <w:tcW w:w="451" w:type="pct"/>
            <w:tcBorders>
              <w:top w:val="nil"/>
              <w:left w:val="nil"/>
              <w:bottom w:val="single" w:color="auto" w:sz="4" w:space="0"/>
              <w:right w:val="single" w:color="auto" w:sz="4" w:space="0"/>
            </w:tcBorders>
            <w:noWrap/>
            <w:vAlign w:val="center"/>
          </w:tcPr>
          <w:p w14:paraId="1518720D">
            <w:pPr>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bl>
    <w:p w14:paraId="4907B64B">
      <w:pPr>
        <w:pStyle w:val="13"/>
        <w:adjustRightInd w:val="0"/>
        <w:snapToGrid w:val="0"/>
        <w:spacing w:line="360" w:lineRule="exact"/>
        <w:ind w:firstLine="44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综合表现需提交德育、美育、体育、劳育等方面表现的个人自评总结材料（1000字内）并附佐证材料。其它材料同时提供佐证材料。</w:t>
      </w:r>
    </w:p>
    <w:p w14:paraId="098C7C89">
      <w:pPr>
        <w:pStyle w:val="13"/>
        <w:adjustRightInd w:val="0"/>
        <w:snapToGrid w:val="0"/>
        <w:spacing w:before="156" w:beforeLines="50" w:line="360" w:lineRule="exact"/>
        <w:ind w:firstLine="489"/>
        <w:jc w:val="center"/>
        <w:rPr>
          <w:rFonts w:ascii="Times New Roman" w:hAnsi="Times New Roman" w:eastAsia="黑体" w:cs="Times New Roman"/>
          <w:b/>
          <w:bCs/>
          <w:color w:val="000000"/>
          <w:kern w:val="0"/>
          <w:sz w:val="24"/>
          <w:szCs w:val="24"/>
        </w:rPr>
      </w:pPr>
      <w:bookmarkStart w:id="2" w:name="OLE_LINK14"/>
      <w:bookmarkStart w:id="3" w:name="OLE_LINK13"/>
      <w:r>
        <w:rPr>
          <w:rFonts w:ascii="Times New Roman" w:hAnsi="Times New Roman" w:eastAsia="黑体" w:cs="Times New Roman"/>
          <w:b/>
          <w:bCs/>
          <w:color w:val="000000"/>
          <w:kern w:val="0"/>
          <w:sz w:val="24"/>
          <w:szCs w:val="24"/>
        </w:rPr>
        <w:t>创新能力考查</w:t>
      </w:r>
      <w:bookmarkEnd w:id="2"/>
      <w:bookmarkEnd w:id="3"/>
      <w:r>
        <w:rPr>
          <w:rFonts w:ascii="Times New Roman" w:hAnsi="Times New Roman" w:eastAsia="黑体" w:cs="Times New Roman"/>
          <w:b/>
          <w:bCs/>
          <w:color w:val="000000"/>
          <w:kern w:val="0"/>
          <w:sz w:val="24"/>
          <w:szCs w:val="24"/>
        </w:rPr>
        <w:t>指标体系</w:t>
      </w:r>
    </w:p>
    <w:p w14:paraId="6D925B66">
      <w:pPr>
        <w:pStyle w:val="13"/>
        <w:adjustRightInd w:val="0"/>
        <w:snapToGrid w:val="0"/>
        <w:spacing w:line="360" w:lineRule="exact"/>
        <w:ind w:firstLine="0"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创新能力考查包括创新潜质、专业素质能力等。本部分占排序成绩单25%。</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164"/>
        <w:gridCol w:w="875"/>
        <w:gridCol w:w="5671"/>
        <w:gridCol w:w="659"/>
      </w:tblGrid>
      <w:tr w14:paraId="4C28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322" w:type="pct"/>
            <w:vAlign w:val="center"/>
          </w:tcPr>
          <w:p w14:paraId="22C94AC6">
            <w:pPr>
              <w:widowControl/>
              <w:jc w:val="center"/>
              <w:rPr>
                <w:rFonts w:ascii="Times New Roman" w:hAnsi="Times New Roman" w:eastAsia="宋体" w:cs="Times New Roman"/>
                <w:color w:val="000000"/>
                <w:kern w:val="0"/>
                <w:sz w:val="22"/>
              </w:rPr>
            </w:pPr>
            <w:bookmarkStart w:id="4" w:name="OLE_LINK15"/>
            <w:bookmarkStart w:id="5" w:name="OLE_LINK16"/>
            <w:r>
              <w:rPr>
                <w:rFonts w:ascii="Times New Roman" w:hAnsi="Times New Roman" w:eastAsia="宋体" w:cs="Times New Roman"/>
                <w:color w:val="000000"/>
                <w:kern w:val="0"/>
                <w:sz w:val="22"/>
              </w:rPr>
              <w:t>类别</w:t>
            </w:r>
          </w:p>
        </w:tc>
        <w:tc>
          <w:tcPr>
            <w:tcW w:w="651" w:type="pct"/>
            <w:vAlign w:val="center"/>
          </w:tcPr>
          <w:p w14:paraId="1F464501">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评价内容</w:t>
            </w:r>
          </w:p>
        </w:tc>
        <w:tc>
          <w:tcPr>
            <w:tcW w:w="489" w:type="pct"/>
            <w:vAlign w:val="center"/>
          </w:tcPr>
          <w:p w14:paraId="65D1FE3E">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权重（%）</w:t>
            </w:r>
          </w:p>
        </w:tc>
        <w:tc>
          <w:tcPr>
            <w:tcW w:w="3170" w:type="pct"/>
            <w:vAlign w:val="center"/>
          </w:tcPr>
          <w:p w14:paraId="44138A4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评价指标</w:t>
            </w:r>
          </w:p>
        </w:tc>
        <w:tc>
          <w:tcPr>
            <w:tcW w:w="369" w:type="pct"/>
            <w:vAlign w:val="center"/>
          </w:tcPr>
          <w:p w14:paraId="3CACCC5D">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分值</w:t>
            </w:r>
          </w:p>
        </w:tc>
      </w:tr>
      <w:tr w14:paraId="2B41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noWrap/>
            <w:vAlign w:val="center"/>
          </w:tcPr>
          <w:p w14:paraId="594B6DCB">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创新潜质</w:t>
            </w:r>
          </w:p>
        </w:tc>
        <w:tc>
          <w:tcPr>
            <w:tcW w:w="651" w:type="pct"/>
            <w:vAlign w:val="center"/>
          </w:tcPr>
          <w:p w14:paraId="3DBFF2D1">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创新意识</w:t>
            </w:r>
          </w:p>
          <w:p w14:paraId="07D30F40">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创新潜质</w:t>
            </w:r>
          </w:p>
        </w:tc>
        <w:tc>
          <w:tcPr>
            <w:tcW w:w="489" w:type="pct"/>
            <w:noWrap/>
            <w:vAlign w:val="center"/>
          </w:tcPr>
          <w:p w14:paraId="46FCBD20">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50</w:t>
            </w:r>
          </w:p>
        </w:tc>
        <w:tc>
          <w:tcPr>
            <w:tcW w:w="3170" w:type="pct"/>
            <w:noWrap/>
            <w:vAlign w:val="center"/>
          </w:tcPr>
          <w:p w14:paraId="68F05B46">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诚实守信程度、学风品行表现、科研态度、培养潜质等</w:t>
            </w:r>
          </w:p>
        </w:tc>
        <w:tc>
          <w:tcPr>
            <w:tcW w:w="369" w:type="pct"/>
            <w:noWrap/>
            <w:vAlign w:val="center"/>
          </w:tcPr>
          <w:p w14:paraId="67EA86C9">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25CD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22" w:type="pct"/>
            <w:vMerge w:val="restart"/>
            <w:noWrap/>
            <w:vAlign w:val="center"/>
          </w:tcPr>
          <w:p w14:paraId="143A4E9A">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专业素质能力</w:t>
            </w:r>
          </w:p>
        </w:tc>
        <w:tc>
          <w:tcPr>
            <w:tcW w:w="651" w:type="pct"/>
            <w:vAlign w:val="center"/>
          </w:tcPr>
          <w:p w14:paraId="1BE61AF3">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学术论文</w:t>
            </w:r>
          </w:p>
        </w:tc>
        <w:tc>
          <w:tcPr>
            <w:tcW w:w="489" w:type="pct"/>
            <w:noWrap/>
            <w:vAlign w:val="center"/>
          </w:tcPr>
          <w:p w14:paraId="65A4AE2C">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12</w:t>
            </w:r>
          </w:p>
        </w:tc>
        <w:tc>
          <w:tcPr>
            <w:tcW w:w="3170" w:type="pct"/>
            <w:noWrap/>
            <w:vAlign w:val="center"/>
          </w:tcPr>
          <w:p w14:paraId="79BABC47">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本专业领域SCI</w:t>
            </w:r>
            <w:bookmarkStart w:id="6" w:name="OLE_LINK11"/>
            <w:r>
              <w:rPr>
                <w:rFonts w:ascii="Times New Roman" w:hAnsi="Times New Roman" w:eastAsia="宋体" w:cs="Times New Roman"/>
                <w:color w:val="000000"/>
                <w:kern w:val="0"/>
                <w:sz w:val="22"/>
              </w:rPr>
              <w:t>、EI</w:t>
            </w:r>
            <w:bookmarkEnd w:id="6"/>
            <w:r>
              <w:rPr>
                <w:rFonts w:ascii="Times New Roman" w:hAnsi="Times New Roman" w:eastAsia="宋体" w:cs="Times New Roman"/>
                <w:color w:val="000000"/>
                <w:kern w:val="0"/>
                <w:sz w:val="22"/>
              </w:rPr>
              <w:t>、国内核心期刊、非核心期刊第一作者论文。由专家评价打分。</w:t>
            </w:r>
          </w:p>
        </w:tc>
        <w:tc>
          <w:tcPr>
            <w:tcW w:w="369" w:type="pct"/>
            <w:noWrap/>
            <w:vAlign w:val="center"/>
          </w:tcPr>
          <w:p w14:paraId="0BD5D806">
            <w:pPr>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0BCF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noWrap/>
            <w:vAlign w:val="center"/>
          </w:tcPr>
          <w:p w14:paraId="2CD7C29A">
            <w:pPr>
              <w:widowControl/>
              <w:jc w:val="center"/>
              <w:rPr>
                <w:rFonts w:ascii="Times New Roman" w:hAnsi="Times New Roman" w:eastAsia="宋体" w:cs="Times New Roman"/>
                <w:color w:val="000000"/>
                <w:kern w:val="0"/>
                <w:sz w:val="22"/>
              </w:rPr>
            </w:pPr>
          </w:p>
        </w:tc>
        <w:tc>
          <w:tcPr>
            <w:tcW w:w="651" w:type="pct"/>
            <w:vAlign w:val="center"/>
          </w:tcPr>
          <w:p w14:paraId="6C5156A0">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发明专利</w:t>
            </w:r>
          </w:p>
        </w:tc>
        <w:tc>
          <w:tcPr>
            <w:tcW w:w="489" w:type="pct"/>
            <w:noWrap/>
            <w:vAlign w:val="center"/>
          </w:tcPr>
          <w:p w14:paraId="07753050">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w:t>
            </w:r>
          </w:p>
        </w:tc>
        <w:tc>
          <w:tcPr>
            <w:tcW w:w="3170" w:type="pct"/>
            <w:noWrap/>
            <w:vAlign w:val="center"/>
          </w:tcPr>
          <w:p w14:paraId="35CB2E07">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授权国际、国内专利第一位</w:t>
            </w:r>
          </w:p>
        </w:tc>
        <w:tc>
          <w:tcPr>
            <w:tcW w:w="369" w:type="pct"/>
            <w:noWrap/>
            <w:vAlign w:val="center"/>
          </w:tcPr>
          <w:p w14:paraId="4EB18887">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4D8A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noWrap/>
            <w:vAlign w:val="center"/>
          </w:tcPr>
          <w:p w14:paraId="2FF712CB">
            <w:pPr>
              <w:widowControl/>
              <w:jc w:val="center"/>
              <w:rPr>
                <w:rFonts w:ascii="Times New Roman" w:hAnsi="Times New Roman" w:eastAsia="宋体" w:cs="Times New Roman"/>
                <w:color w:val="000000"/>
                <w:kern w:val="0"/>
                <w:sz w:val="22"/>
              </w:rPr>
            </w:pPr>
          </w:p>
        </w:tc>
        <w:tc>
          <w:tcPr>
            <w:tcW w:w="651" w:type="pct"/>
            <w:vAlign w:val="center"/>
          </w:tcPr>
          <w:p w14:paraId="3498D3C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实用新型专利</w:t>
            </w:r>
          </w:p>
        </w:tc>
        <w:tc>
          <w:tcPr>
            <w:tcW w:w="489" w:type="pct"/>
            <w:noWrap/>
            <w:vAlign w:val="center"/>
          </w:tcPr>
          <w:p w14:paraId="660177EB">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w:t>
            </w:r>
          </w:p>
        </w:tc>
        <w:tc>
          <w:tcPr>
            <w:tcW w:w="3170" w:type="pct"/>
            <w:noWrap/>
            <w:vAlign w:val="center"/>
          </w:tcPr>
          <w:p w14:paraId="61627186">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授权国内实用新型专利第一位</w:t>
            </w:r>
          </w:p>
        </w:tc>
        <w:tc>
          <w:tcPr>
            <w:tcW w:w="369" w:type="pct"/>
            <w:noWrap/>
            <w:vAlign w:val="center"/>
          </w:tcPr>
          <w:p w14:paraId="18AA04E3">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0AA7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noWrap/>
            <w:vAlign w:val="center"/>
          </w:tcPr>
          <w:p w14:paraId="4B98EDA2">
            <w:pPr>
              <w:widowControl/>
              <w:jc w:val="center"/>
              <w:rPr>
                <w:rFonts w:ascii="Times New Roman" w:hAnsi="Times New Roman" w:eastAsia="宋体" w:cs="Times New Roman"/>
                <w:color w:val="000000"/>
                <w:kern w:val="0"/>
                <w:sz w:val="22"/>
              </w:rPr>
            </w:pPr>
          </w:p>
        </w:tc>
        <w:tc>
          <w:tcPr>
            <w:tcW w:w="651" w:type="pct"/>
            <w:vMerge w:val="restart"/>
            <w:vAlign w:val="center"/>
          </w:tcPr>
          <w:p w14:paraId="44E1368B">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科研项目</w:t>
            </w:r>
          </w:p>
        </w:tc>
        <w:tc>
          <w:tcPr>
            <w:tcW w:w="489" w:type="pct"/>
            <w:vMerge w:val="restart"/>
            <w:noWrap/>
            <w:vAlign w:val="center"/>
          </w:tcPr>
          <w:p w14:paraId="0EF6526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8</w:t>
            </w:r>
          </w:p>
        </w:tc>
        <w:tc>
          <w:tcPr>
            <w:tcW w:w="3170" w:type="pct"/>
            <w:noWrap/>
            <w:vAlign w:val="center"/>
          </w:tcPr>
          <w:p w14:paraId="1AC42671">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主持国家级科研项目或创新创业训练计划</w:t>
            </w:r>
          </w:p>
        </w:tc>
        <w:tc>
          <w:tcPr>
            <w:tcW w:w="369" w:type="pct"/>
            <w:noWrap/>
            <w:vAlign w:val="center"/>
          </w:tcPr>
          <w:p w14:paraId="72037B8A">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08D8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4EC35FDF">
            <w:pPr>
              <w:widowControl/>
              <w:jc w:val="left"/>
              <w:rPr>
                <w:rFonts w:ascii="Times New Roman" w:hAnsi="Times New Roman" w:eastAsia="宋体" w:cs="Times New Roman"/>
                <w:color w:val="000000"/>
                <w:kern w:val="0"/>
                <w:sz w:val="22"/>
              </w:rPr>
            </w:pPr>
          </w:p>
        </w:tc>
        <w:tc>
          <w:tcPr>
            <w:tcW w:w="651" w:type="pct"/>
            <w:vMerge w:val="continue"/>
            <w:vAlign w:val="center"/>
          </w:tcPr>
          <w:p w14:paraId="3841D3EA">
            <w:pPr>
              <w:widowControl/>
              <w:jc w:val="left"/>
              <w:rPr>
                <w:rFonts w:ascii="Times New Roman" w:hAnsi="Times New Roman" w:eastAsia="宋体" w:cs="Times New Roman"/>
                <w:color w:val="000000"/>
                <w:kern w:val="0"/>
                <w:sz w:val="22"/>
              </w:rPr>
            </w:pPr>
          </w:p>
        </w:tc>
        <w:tc>
          <w:tcPr>
            <w:tcW w:w="489" w:type="pct"/>
            <w:vMerge w:val="continue"/>
            <w:vAlign w:val="center"/>
          </w:tcPr>
          <w:p w14:paraId="506B930C">
            <w:pPr>
              <w:widowControl/>
              <w:jc w:val="left"/>
              <w:rPr>
                <w:rFonts w:ascii="Times New Roman" w:hAnsi="Times New Roman" w:eastAsia="宋体" w:cs="Times New Roman"/>
                <w:color w:val="000000"/>
                <w:kern w:val="0"/>
                <w:sz w:val="22"/>
              </w:rPr>
            </w:pPr>
          </w:p>
        </w:tc>
        <w:tc>
          <w:tcPr>
            <w:tcW w:w="3170" w:type="pct"/>
            <w:noWrap/>
            <w:vAlign w:val="center"/>
          </w:tcPr>
          <w:p w14:paraId="49F5016F">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主持省级科研项目或创新创业训练计划</w:t>
            </w:r>
          </w:p>
        </w:tc>
        <w:tc>
          <w:tcPr>
            <w:tcW w:w="369" w:type="pct"/>
            <w:noWrap/>
            <w:vAlign w:val="center"/>
          </w:tcPr>
          <w:p w14:paraId="5744E381">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80</w:t>
            </w:r>
          </w:p>
        </w:tc>
      </w:tr>
      <w:tr w14:paraId="0DA5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798225C2">
            <w:pPr>
              <w:widowControl/>
              <w:jc w:val="left"/>
              <w:rPr>
                <w:rFonts w:ascii="Times New Roman" w:hAnsi="Times New Roman" w:eastAsia="宋体" w:cs="Times New Roman"/>
                <w:color w:val="000000"/>
                <w:kern w:val="0"/>
                <w:sz w:val="22"/>
              </w:rPr>
            </w:pPr>
          </w:p>
        </w:tc>
        <w:tc>
          <w:tcPr>
            <w:tcW w:w="651" w:type="pct"/>
            <w:vMerge w:val="continue"/>
            <w:vAlign w:val="center"/>
          </w:tcPr>
          <w:p w14:paraId="10EF8568">
            <w:pPr>
              <w:widowControl/>
              <w:jc w:val="left"/>
              <w:rPr>
                <w:rFonts w:ascii="Times New Roman" w:hAnsi="Times New Roman" w:eastAsia="宋体" w:cs="Times New Roman"/>
                <w:color w:val="000000"/>
                <w:kern w:val="0"/>
                <w:sz w:val="22"/>
              </w:rPr>
            </w:pPr>
          </w:p>
        </w:tc>
        <w:tc>
          <w:tcPr>
            <w:tcW w:w="489" w:type="pct"/>
            <w:vMerge w:val="continue"/>
            <w:vAlign w:val="center"/>
          </w:tcPr>
          <w:p w14:paraId="4FDD990F">
            <w:pPr>
              <w:widowControl/>
              <w:jc w:val="left"/>
              <w:rPr>
                <w:rFonts w:ascii="Times New Roman" w:hAnsi="Times New Roman" w:eastAsia="宋体" w:cs="Times New Roman"/>
                <w:color w:val="000000"/>
                <w:kern w:val="0"/>
                <w:sz w:val="22"/>
              </w:rPr>
            </w:pPr>
          </w:p>
        </w:tc>
        <w:tc>
          <w:tcPr>
            <w:tcW w:w="3170" w:type="pct"/>
            <w:noWrap/>
            <w:vAlign w:val="center"/>
          </w:tcPr>
          <w:p w14:paraId="0345A9B9">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主持</w:t>
            </w:r>
            <w:bookmarkStart w:id="7" w:name="OLE_LINK12"/>
            <w:r>
              <w:rPr>
                <w:rFonts w:ascii="Times New Roman" w:hAnsi="Times New Roman" w:eastAsia="宋体" w:cs="Times New Roman"/>
                <w:color w:val="000000"/>
                <w:kern w:val="0"/>
                <w:sz w:val="22"/>
              </w:rPr>
              <w:t>校级及以下科研项目或创新创业训练计划</w:t>
            </w:r>
            <w:bookmarkEnd w:id="7"/>
          </w:p>
        </w:tc>
        <w:tc>
          <w:tcPr>
            <w:tcW w:w="369" w:type="pct"/>
            <w:noWrap/>
            <w:vAlign w:val="center"/>
          </w:tcPr>
          <w:p w14:paraId="228CC672">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50</w:t>
            </w:r>
          </w:p>
        </w:tc>
      </w:tr>
      <w:tr w14:paraId="5A25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2C826DAE">
            <w:pPr>
              <w:widowControl/>
              <w:jc w:val="left"/>
              <w:rPr>
                <w:rFonts w:ascii="Times New Roman" w:hAnsi="Times New Roman" w:eastAsia="宋体" w:cs="Times New Roman"/>
                <w:color w:val="000000"/>
                <w:kern w:val="0"/>
                <w:sz w:val="22"/>
              </w:rPr>
            </w:pPr>
          </w:p>
        </w:tc>
        <w:tc>
          <w:tcPr>
            <w:tcW w:w="651" w:type="pct"/>
            <w:vMerge w:val="continue"/>
            <w:vAlign w:val="center"/>
          </w:tcPr>
          <w:p w14:paraId="22B685E7">
            <w:pPr>
              <w:widowControl/>
              <w:jc w:val="left"/>
              <w:rPr>
                <w:rFonts w:ascii="Times New Roman" w:hAnsi="Times New Roman" w:eastAsia="宋体" w:cs="Times New Roman"/>
                <w:color w:val="000000"/>
                <w:kern w:val="0"/>
                <w:sz w:val="22"/>
              </w:rPr>
            </w:pPr>
          </w:p>
        </w:tc>
        <w:tc>
          <w:tcPr>
            <w:tcW w:w="489" w:type="pct"/>
            <w:vMerge w:val="continue"/>
            <w:vAlign w:val="center"/>
          </w:tcPr>
          <w:p w14:paraId="4F3BB2A7">
            <w:pPr>
              <w:widowControl/>
              <w:jc w:val="left"/>
              <w:rPr>
                <w:rFonts w:ascii="Times New Roman" w:hAnsi="Times New Roman" w:eastAsia="宋体" w:cs="Times New Roman"/>
                <w:color w:val="000000"/>
                <w:kern w:val="0"/>
                <w:sz w:val="22"/>
              </w:rPr>
            </w:pPr>
          </w:p>
        </w:tc>
        <w:tc>
          <w:tcPr>
            <w:tcW w:w="3170" w:type="pct"/>
            <w:noWrap/>
            <w:vAlign w:val="center"/>
          </w:tcPr>
          <w:p w14:paraId="4041924D">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参加国家级科研项目或创新创业训练计划</w:t>
            </w:r>
          </w:p>
        </w:tc>
        <w:tc>
          <w:tcPr>
            <w:tcW w:w="369" w:type="pct"/>
            <w:noWrap/>
            <w:vAlign w:val="center"/>
          </w:tcPr>
          <w:p w14:paraId="2E966173">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50</w:t>
            </w:r>
          </w:p>
        </w:tc>
      </w:tr>
      <w:tr w14:paraId="6F0F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63D1153A">
            <w:pPr>
              <w:widowControl/>
              <w:jc w:val="left"/>
              <w:rPr>
                <w:rFonts w:ascii="Times New Roman" w:hAnsi="Times New Roman" w:eastAsia="宋体" w:cs="Times New Roman"/>
                <w:color w:val="000000"/>
                <w:kern w:val="0"/>
                <w:sz w:val="22"/>
              </w:rPr>
            </w:pPr>
          </w:p>
        </w:tc>
        <w:tc>
          <w:tcPr>
            <w:tcW w:w="651" w:type="pct"/>
            <w:vMerge w:val="continue"/>
            <w:vAlign w:val="center"/>
          </w:tcPr>
          <w:p w14:paraId="67282F34">
            <w:pPr>
              <w:widowControl/>
              <w:jc w:val="left"/>
              <w:rPr>
                <w:rFonts w:ascii="Times New Roman" w:hAnsi="Times New Roman" w:eastAsia="宋体" w:cs="Times New Roman"/>
                <w:color w:val="000000"/>
                <w:kern w:val="0"/>
                <w:sz w:val="22"/>
              </w:rPr>
            </w:pPr>
          </w:p>
        </w:tc>
        <w:tc>
          <w:tcPr>
            <w:tcW w:w="489" w:type="pct"/>
            <w:vMerge w:val="continue"/>
            <w:vAlign w:val="center"/>
          </w:tcPr>
          <w:p w14:paraId="0BA7D5A1">
            <w:pPr>
              <w:widowControl/>
              <w:jc w:val="left"/>
              <w:rPr>
                <w:rFonts w:ascii="Times New Roman" w:hAnsi="Times New Roman" w:eastAsia="宋体" w:cs="Times New Roman"/>
                <w:color w:val="000000"/>
                <w:kern w:val="0"/>
                <w:sz w:val="22"/>
              </w:rPr>
            </w:pPr>
          </w:p>
        </w:tc>
        <w:tc>
          <w:tcPr>
            <w:tcW w:w="3170" w:type="pct"/>
            <w:noWrap/>
            <w:vAlign w:val="center"/>
          </w:tcPr>
          <w:p w14:paraId="40BB3F01">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参加省级科研项目或创新创业训练计划</w:t>
            </w:r>
          </w:p>
        </w:tc>
        <w:tc>
          <w:tcPr>
            <w:tcW w:w="369" w:type="pct"/>
            <w:noWrap/>
            <w:vAlign w:val="center"/>
          </w:tcPr>
          <w:p w14:paraId="6A6CE812">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40</w:t>
            </w:r>
          </w:p>
        </w:tc>
      </w:tr>
      <w:tr w14:paraId="3938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50BD3798">
            <w:pPr>
              <w:widowControl/>
              <w:jc w:val="left"/>
              <w:rPr>
                <w:rFonts w:ascii="Times New Roman" w:hAnsi="Times New Roman" w:eastAsia="宋体" w:cs="Times New Roman"/>
                <w:color w:val="000000"/>
                <w:kern w:val="0"/>
                <w:sz w:val="22"/>
              </w:rPr>
            </w:pPr>
          </w:p>
        </w:tc>
        <w:tc>
          <w:tcPr>
            <w:tcW w:w="651" w:type="pct"/>
            <w:vMerge w:val="continue"/>
            <w:vAlign w:val="center"/>
          </w:tcPr>
          <w:p w14:paraId="060AA8F3">
            <w:pPr>
              <w:widowControl/>
              <w:jc w:val="left"/>
              <w:rPr>
                <w:rFonts w:ascii="Times New Roman" w:hAnsi="Times New Roman" w:eastAsia="宋体" w:cs="Times New Roman"/>
                <w:color w:val="000000"/>
                <w:kern w:val="0"/>
                <w:sz w:val="22"/>
              </w:rPr>
            </w:pPr>
          </w:p>
        </w:tc>
        <w:tc>
          <w:tcPr>
            <w:tcW w:w="489" w:type="pct"/>
            <w:vMerge w:val="continue"/>
            <w:vAlign w:val="center"/>
          </w:tcPr>
          <w:p w14:paraId="620026E0">
            <w:pPr>
              <w:widowControl/>
              <w:jc w:val="left"/>
              <w:rPr>
                <w:rFonts w:ascii="Times New Roman" w:hAnsi="Times New Roman" w:eastAsia="宋体" w:cs="Times New Roman"/>
                <w:color w:val="000000"/>
                <w:kern w:val="0"/>
                <w:sz w:val="22"/>
              </w:rPr>
            </w:pPr>
          </w:p>
        </w:tc>
        <w:tc>
          <w:tcPr>
            <w:tcW w:w="3170" w:type="pct"/>
            <w:noWrap/>
            <w:vAlign w:val="center"/>
          </w:tcPr>
          <w:p w14:paraId="3AE04CD9">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参加校级及以下科研项目或创新创业训练计划</w:t>
            </w:r>
          </w:p>
        </w:tc>
        <w:tc>
          <w:tcPr>
            <w:tcW w:w="369" w:type="pct"/>
            <w:noWrap/>
            <w:vAlign w:val="center"/>
          </w:tcPr>
          <w:p w14:paraId="49F0E2C5">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30</w:t>
            </w:r>
          </w:p>
        </w:tc>
      </w:tr>
      <w:tr w14:paraId="218A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noWrap/>
            <w:vAlign w:val="center"/>
          </w:tcPr>
          <w:p w14:paraId="45B066CD">
            <w:pPr>
              <w:widowControl/>
              <w:jc w:val="center"/>
              <w:rPr>
                <w:rFonts w:ascii="Times New Roman" w:hAnsi="Times New Roman" w:eastAsia="宋体" w:cs="Times New Roman"/>
                <w:color w:val="000000"/>
                <w:kern w:val="0"/>
                <w:sz w:val="22"/>
              </w:rPr>
            </w:pPr>
          </w:p>
        </w:tc>
        <w:tc>
          <w:tcPr>
            <w:tcW w:w="651" w:type="pct"/>
            <w:vMerge w:val="restart"/>
            <w:vAlign w:val="center"/>
          </w:tcPr>
          <w:p w14:paraId="1B64904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学术竞赛奖励</w:t>
            </w:r>
          </w:p>
        </w:tc>
        <w:tc>
          <w:tcPr>
            <w:tcW w:w="489" w:type="pct"/>
            <w:vMerge w:val="restart"/>
            <w:noWrap/>
            <w:vAlign w:val="center"/>
          </w:tcPr>
          <w:p w14:paraId="7BFFCA6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15</w:t>
            </w:r>
          </w:p>
        </w:tc>
        <w:tc>
          <w:tcPr>
            <w:tcW w:w="3170" w:type="pct"/>
            <w:noWrap/>
            <w:vAlign w:val="center"/>
          </w:tcPr>
          <w:p w14:paraId="1F04F716">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国家级学术竞赛一等奖（金奖）第一位</w:t>
            </w:r>
          </w:p>
        </w:tc>
        <w:tc>
          <w:tcPr>
            <w:tcW w:w="369" w:type="pct"/>
            <w:noWrap/>
            <w:vAlign w:val="center"/>
          </w:tcPr>
          <w:p w14:paraId="1C87D1D9">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100</w:t>
            </w:r>
          </w:p>
        </w:tc>
      </w:tr>
      <w:tr w14:paraId="02B8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4E699AFB">
            <w:pPr>
              <w:widowControl/>
              <w:jc w:val="left"/>
              <w:rPr>
                <w:rFonts w:ascii="Times New Roman" w:hAnsi="Times New Roman" w:eastAsia="宋体" w:cs="Times New Roman"/>
                <w:color w:val="000000"/>
                <w:kern w:val="0"/>
                <w:sz w:val="22"/>
              </w:rPr>
            </w:pPr>
          </w:p>
        </w:tc>
        <w:tc>
          <w:tcPr>
            <w:tcW w:w="651" w:type="pct"/>
            <w:vMerge w:val="continue"/>
            <w:vAlign w:val="center"/>
          </w:tcPr>
          <w:p w14:paraId="446B5F35">
            <w:pPr>
              <w:widowControl/>
              <w:jc w:val="left"/>
              <w:rPr>
                <w:rFonts w:ascii="Times New Roman" w:hAnsi="Times New Roman" w:eastAsia="宋体" w:cs="Times New Roman"/>
                <w:color w:val="000000"/>
                <w:kern w:val="0"/>
                <w:sz w:val="22"/>
              </w:rPr>
            </w:pPr>
          </w:p>
        </w:tc>
        <w:tc>
          <w:tcPr>
            <w:tcW w:w="489" w:type="pct"/>
            <w:vMerge w:val="continue"/>
            <w:vAlign w:val="center"/>
          </w:tcPr>
          <w:p w14:paraId="66304DCB">
            <w:pPr>
              <w:widowControl/>
              <w:jc w:val="left"/>
              <w:rPr>
                <w:rFonts w:ascii="Times New Roman" w:hAnsi="Times New Roman" w:eastAsia="宋体" w:cs="Times New Roman"/>
                <w:color w:val="000000"/>
                <w:kern w:val="0"/>
                <w:sz w:val="22"/>
              </w:rPr>
            </w:pPr>
          </w:p>
        </w:tc>
        <w:tc>
          <w:tcPr>
            <w:tcW w:w="3170" w:type="pct"/>
            <w:noWrap/>
            <w:vAlign w:val="center"/>
          </w:tcPr>
          <w:p w14:paraId="662540E8">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国家级学术竞赛二等奖（银奖）第一位、一等奖（金奖）成员</w:t>
            </w:r>
          </w:p>
        </w:tc>
        <w:tc>
          <w:tcPr>
            <w:tcW w:w="369" w:type="pct"/>
            <w:noWrap/>
            <w:vAlign w:val="center"/>
          </w:tcPr>
          <w:p w14:paraId="3E37EE2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90</w:t>
            </w:r>
          </w:p>
        </w:tc>
      </w:tr>
      <w:tr w14:paraId="5DC2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71AC5AD0">
            <w:pPr>
              <w:widowControl/>
              <w:jc w:val="left"/>
              <w:rPr>
                <w:rFonts w:ascii="Times New Roman" w:hAnsi="Times New Roman" w:eastAsia="宋体" w:cs="Times New Roman"/>
                <w:color w:val="000000"/>
                <w:kern w:val="0"/>
                <w:sz w:val="22"/>
              </w:rPr>
            </w:pPr>
          </w:p>
        </w:tc>
        <w:tc>
          <w:tcPr>
            <w:tcW w:w="651" w:type="pct"/>
            <w:vMerge w:val="continue"/>
            <w:vAlign w:val="center"/>
          </w:tcPr>
          <w:p w14:paraId="7C24D599">
            <w:pPr>
              <w:widowControl/>
              <w:jc w:val="left"/>
              <w:rPr>
                <w:rFonts w:ascii="Times New Roman" w:hAnsi="Times New Roman" w:eastAsia="宋体" w:cs="Times New Roman"/>
                <w:color w:val="000000"/>
                <w:kern w:val="0"/>
                <w:sz w:val="22"/>
              </w:rPr>
            </w:pPr>
          </w:p>
        </w:tc>
        <w:tc>
          <w:tcPr>
            <w:tcW w:w="489" w:type="pct"/>
            <w:vMerge w:val="continue"/>
            <w:vAlign w:val="center"/>
          </w:tcPr>
          <w:p w14:paraId="2C233F0D">
            <w:pPr>
              <w:widowControl/>
              <w:jc w:val="left"/>
              <w:rPr>
                <w:rFonts w:ascii="Times New Roman" w:hAnsi="Times New Roman" w:eastAsia="宋体" w:cs="Times New Roman"/>
                <w:color w:val="000000"/>
                <w:kern w:val="0"/>
                <w:sz w:val="22"/>
              </w:rPr>
            </w:pPr>
          </w:p>
        </w:tc>
        <w:tc>
          <w:tcPr>
            <w:tcW w:w="3170" w:type="pct"/>
            <w:noWrap/>
            <w:vAlign w:val="center"/>
          </w:tcPr>
          <w:p w14:paraId="5F36A1EC">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国家级学术竞赛三等奖（铜奖）第一位、二等奖（银奖）成员，省级“挑战杯”、互联网+、创青春、大学生科技创新大赛等竞赛一等奖（金奖）第一位</w:t>
            </w:r>
          </w:p>
        </w:tc>
        <w:tc>
          <w:tcPr>
            <w:tcW w:w="369" w:type="pct"/>
            <w:noWrap/>
            <w:vAlign w:val="center"/>
          </w:tcPr>
          <w:p w14:paraId="4DEED085">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80</w:t>
            </w:r>
          </w:p>
        </w:tc>
      </w:tr>
      <w:tr w14:paraId="492B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57D9D4EE">
            <w:pPr>
              <w:widowControl/>
              <w:jc w:val="left"/>
              <w:rPr>
                <w:rFonts w:ascii="Times New Roman" w:hAnsi="Times New Roman" w:eastAsia="宋体" w:cs="Times New Roman"/>
                <w:color w:val="000000"/>
                <w:kern w:val="0"/>
                <w:sz w:val="22"/>
              </w:rPr>
            </w:pPr>
          </w:p>
        </w:tc>
        <w:tc>
          <w:tcPr>
            <w:tcW w:w="651" w:type="pct"/>
            <w:vMerge w:val="continue"/>
            <w:vAlign w:val="center"/>
          </w:tcPr>
          <w:p w14:paraId="5ACA944A">
            <w:pPr>
              <w:widowControl/>
              <w:jc w:val="left"/>
              <w:rPr>
                <w:rFonts w:ascii="Times New Roman" w:hAnsi="Times New Roman" w:eastAsia="宋体" w:cs="Times New Roman"/>
                <w:color w:val="000000"/>
                <w:kern w:val="0"/>
                <w:sz w:val="22"/>
              </w:rPr>
            </w:pPr>
          </w:p>
        </w:tc>
        <w:tc>
          <w:tcPr>
            <w:tcW w:w="489" w:type="pct"/>
            <w:vMerge w:val="continue"/>
            <w:vAlign w:val="center"/>
          </w:tcPr>
          <w:p w14:paraId="28A7AEF4">
            <w:pPr>
              <w:widowControl/>
              <w:jc w:val="left"/>
              <w:rPr>
                <w:rFonts w:ascii="Times New Roman" w:hAnsi="Times New Roman" w:eastAsia="宋体" w:cs="Times New Roman"/>
                <w:color w:val="000000"/>
                <w:kern w:val="0"/>
                <w:sz w:val="22"/>
              </w:rPr>
            </w:pPr>
          </w:p>
        </w:tc>
        <w:tc>
          <w:tcPr>
            <w:tcW w:w="3170" w:type="pct"/>
            <w:noWrap/>
            <w:vAlign w:val="center"/>
          </w:tcPr>
          <w:p w14:paraId="43EF98D6">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其它省级创新大赛等竞赛一等奖（金奖）第一位</w:t>
            </w:r>
          </w:p>
        </w:tc>
        <w:tc>
          <w:tcPr>
            <w:tcW w:w="369" w:type="pct"/>
            <w:noWrap/>
            <w:vAlign w:val="center"/>
          </w:tcPr>
          <w:p w14:paraId="59C72D8C">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60</w:t>
            </w:r>
          </w:p>
        </w:tc>
      </w:tr>
      <w:tr w14:paraId="1A95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06D62483">
            <w:pPr>
              <w:widowControl/>
              <w:jc w:val="left"/>
              <w:rPr>
                <w:rFonts w:ascii="Times New Roman" w:hAnsi="Times New Roman" w:eastAsia="宋体" w:cs="Times New Roman"/>
                <w:color w:val="000000"/>
                <w:kern w:val="0"/>
                <w:sz w:val="22"/>
              </w:rPr>
            </w:pPr>
          </w:p>
        </w:tc>
        <w:tc>
          <w:tcPr>
            <w:tcW w:w="651" w:type="pct"/>
            <w:vMerge w:val="continue"/>
            <w:vAlign w:val="center"/>
          </w:tcPr>
          <w:p w14:paraId="6043761A">
            <w:pPr>
              <w:widowControl/>
              <w:jc w:val="left"/>
              <w:rPr>
                <w:rFonts w:ascii="Times New Roman" w:hAnsi="Times New Roman" w:eastAsia="宋体" w:cs="Times New Roman"/>
                <w:color w:val="000000"/>
                <w:kern w:val="0"/>
                <w:sz w:val="22"/>
              </w:rPr>
            </w:pPr>
          </w:p>
        </w:tc>
        <w:tc>
          <w:tcPr>
            <w:tcW w:w="489" w:type="pct"/>
            <w:vMerge w:val="continue"/>
            <w:vAlign w:val="center"/>
          </w:tcPr>
          <w:p w14:paraId="1716AC59">
            <w:pPr>
              <w:widowControl/>
              <w:jc w:val="left"/>
              <w:rPr>
                <w:rFonts w:ascii="Times New Roman" w:hAnsi="Times New Roman" w:eastAsia="宋体" w:cs="Times New Roman"/>
                <w:color w:val="000000"/>
                <w:kern w:val="0"/>
                <w:sz w:val="22"/>
              </w:rPr>
            </w:pPr>
          </w:p>
        </w:tc>
        <w:tc>
          <w:tcPr>
            <w:tcW w:w="3170" w:type="pct"/>
            <w:noWrap/>
            <w:vAlign w:val="center"/>
          </w:tcPr>
          <w:p w14:paraId="5BDE9132">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国家级学术竞赛三等奖（铜奖）成员，省级学术竞赛一等奖（金奖）成员、二等奖（银奖）第一位</w:t>
            </w:r>
          </w:p>
        </w:tc>
        <w:tc>
          <w:tcPr>
            <w:tcW w:w="369" w:type="pct"/>
            <w:noWrap/>
            <w:vAlign w:val="center"/>
          </w:tcPr>
          <w:p w14:paraId="0475143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50</w:t>
            </w:r>
          </w:p>
        </w:tc>
      </w:tr>
      <w:tr w14:paraId="064F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6CFC2F76">
            <w:pPr>
              <w:widowControl/>
              <w:jc w:val="left"/>
              <w:rPr>
                <w:rFonts w:ascii="Times New Roman" w:hAnsi="Times New Roman" w:eastAsia="宋体" w:cs="Times New Roman"/>
                <w:color w:val="000000"/>
                <w:kern w:val="0"/>
                <w:sz w:val="22"/>
              </w:rPr>
            </w:pPr>
          </w:p>
        </w:tc>
        <w:tc>
          <w:tcPr>
            <w:tcW w:w="651" w:type="pct"/>
            <w:vMerge w:val="continue"/>
            <w:vAlign w:val="center"/>
          </w:tcPr>
          <w:p w14:paraId="21B5B5C9">
            <w:pPr>
              <w:widowControl/>
              <w:jc w:val="left"/>
              <w:rPr>
                <w:rFonts w:ascii="Times New Roman" w:hAnsi="Times New Roman" w:eastAsia="宋体" w:cs="Times New Roman"/>
                <w:color w:val="000000"/>
                <w:kern w:val="0"/>
                <w:sz w:val="22"/>
              </w:rPr>
            </w:pPr>
          </w:p>
        </w:tc>
        <w:tc>
          <w:tcPr>
            <w:tcW w:w="489" w:type="pct"/>
            <w:vMerge w:val="continue"/>
            <w:vAlign w:val="center"/>
          </w:tcPr>
          <w:p w14:paraId="530B937F">
            <w:pPr>
              <w:widowControl/>
              <w:jc w:val="left"/>
              <w:rPr>
                <w:rFonts w:ascii="Times New Roman" w:hAnsi="Times New Roman" w:eastAsia="宋体" w:cs="Times New Roman"/>
                <w:color w:val="000000"/>
                <w:kern w:val="0"/>
                <w:sz w:val="22"/>
              </w:rPr>
            </w:pPr>
          </w:p>
        </w:tc>
        <w:tc>
          <w:tcPr>
            <w:tcW w:w="3170" w:type="pct"/>
            <w:noWrap/>
            <w:vAlign w:val="center"/>
          </w:tcPr>
          <w:p w14:paraId="7E2640CE">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省级学术竞赛二等奖（银奖）成员、三等奖（铜奖）第一位，校级学术竞赛一等奖（金奖）第一位</w:t>
            </w:r>
          </w:p>
        </w:tc>
        <w:tc>
          <w:tcPr>
            <w:tcW w:w="369" w:type="pct"/>
            <w:noWrap/>
            <w:vAlign w:val="center"/>
          </w:tcPr>
          <w:p w14:paraId="1C911E97">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30</w:t>
            </w:r>
          </w:p>
        </w:tc>
      </w:tr>
      <w:tr w14:paraId="5222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2C82B241">
            <w:pPr>
              <w:widowControl/>
              <w:jc w:val="left"/>
              <w:rPr>
                <w:rFonts w:ascii="Times New Roman" w:hAnsi="Times New Roman" w:eastAsia="宋体" w:cs="Times New Roman"/>
                <w:color w:val="000000"/>
                <w:kern w:val="0"/>
                <w:sz w:val="22"/>
              </w:rPr>
            </w:pPr>
          </w:p>
        </w:tc>
        <w:tc>
          <w:tcPr>
            <w:tcW w:w="651" w:type="pct"/>
            <w:vMerge w:val="continue"/>
            <w:vAlign w:val="center"/>
          </w:tcPr>
          <w:p w14:paraId="2CFD2F79">
            <w:pPr>
              <w:widowControl/>
              <w:jc w:val="left"/>
              <w:rPr>
                <w:rFonts w:ascii="Times New Roman" w:hAnsi="Times New Roman" w:eastAsia="宋体" w:cs="Times New Roman"/>
                <w:color w:val="000000"/>
                <w:kern w:val="0"/>
                <w:sz w:val="22"/>
              </w:rPr>
            </w:pPr>
          </w:p>
        </w:tc>
        <w:tc>
          <w:tcPr>
            <w:tcW w:w="489" w:type="pct"/>
            <w:vMerge w:val="continue"/>
            <w:vAlign w:val="center"/>
          </w:tcPr>
          <w:p w14:paraId="0812EFDB">
            <w:pPr>
              <w:widowControl/>
              <w:jc w:val="left"/>
              <w:rPr>
                <w:rFonts w:ascii="Times New Roman" w:hAnsi="Times New Roman" w:eastAsia="宋体" w:cs="Times New Roman"/>
                <w:color w:val="000000"/>
                <w:kern w:val="0"/>
                <w:sz w:val="22"/>
              </w:rPr>
            </w:pPr>
          </w:p>
        </w:tc>
        <w:tc>
          <w:tcPr>
            <w:tcW w:w="3170" w:type="pct"/>
            <w:noWrap/>
            <w:vAlign w:val="center"/>
          </w:tcPr>
          <w:p w14:paraId="59884F31">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省级学术竞赛三等奖（铜奖）成员，校级学术竞赛二等奖（银奖）第一位</w:t>
            </w:r>
          </w:p>
        </w:tc>
        <w:tc>
          <w:tcPr>
            <w:tcW w:w="369" w:type="pct"/>
            <w:noWrap/>
            <w:vAlign w:val="center"/>
          </w:tcPr>
          <w:p w14:paraId="5D52F233">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20</w:t>
            </w:r>
          </w:p>
        </w:tc>
      </w:tr>
      <w:tr w14:paraId="3E60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2" w:type="pct"/>
            <w:vMerge w:val="continue"/>
            <w:vAlign w:val="center"/>
          </w:tcPr>
          <w:p w14:paraId="10DC03DA">
            <w:pPr>
              <w:jc w:val="center"/>
              <w:rPr>
                <w:rFonts w:ascii="Times New Roman" w:hAnsi="Times New Roman" w:eastAsia="宋体" w:cs="Times New Roman"/>
                <w:color w:val="000000"/>
                <w:kern w:val="0"/>
                <w:sz w:val="22"/>
              </w:rPr>
            </w:pPr>
          </w:p>
        </w:tc>
        <w:tc>
          <w:tcPr>
            <w:tcW w:w="651" w:type="pct"/>
            <w:vMerge w:val="continue"/>
            <w:vAlign w:val="center"/>
          </w:tcPr>
          <w:p w14:paraId="638C8781">
            <w:pPr>
              <w:jc w:val="center"/>
              <w:rPr>
                <w:rFonts w:ascii="Times New Roman" w:hAnsi="Times New Roman" w:eastAsia="宋体" w:cs="Times New Roman"/>
                <w:color w:val="000000"/>
                <w:kern w:val="0"/>
                <w:sz w:val="22"/>
              </w:rPr>
            </w:pPr>
          </w:p>
        </w:tc>
        <w:tc>
          <w:tcPr>
            <w:tcW w:w="489" w:type="pct"/>
            <w:vMerge w:val="continue"/>
            <w:vAlign w:val="center"/>
          </w:tcPr>
          <w:p w14:paraId="21373A61">
            <w:pPr>
              <w:jc w:val="center"/>
              <w:rPr>
                <w:rFonts w:ascii="Times New Roman" w:hAnsi="Times New Roman" w:eastAsia="宋体" w:cs="Times New Roman"/>
                <w:color w:val="000000"/>
                <w:kern w:val="0"/>
                <w:sz w:val="22"/>
              </w:rPr>
            </w:pPr>
          </w:p>
        </w:tc>
        <w:tc>
          <w:tcPr>
            <w:tcW w:w="3170" w:type="pct"/>
            <w:noWrap/>
            <w:vAlign w:val="center"/>
          </w:tcPr>
          <w:p w14:paraId="5EC75EE6">
            <w:pPr>
              <w:widowControl/>
              <w:jc w:val="lef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其他学术竞赛奖励（第一位）</w:t>
            </w:r>
          </w:p>
        </w:tc>
        <w:tc>
          <w:tcPr>
            <w:tcW w:w="369" w:type="pct"/>
            <w:noWrap/>
            <w:vAlign w:val="center"/>
          </w:tcPr>
          <w:p w14:paraId="21907838">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10</w:t>
            </w:r>
          </w:p>
        </w:tc>
      </w:tr>
      <w:bookmarkEnd w:id="4"/>
      <w:bookmarkEnd w:id="5"/>
    </w:tbl>
    <w:p w14:paraId="55FA8E86">
      <w:pPr>
        <w:widowControl/>
        <w:spacing w:before="312" w:beforeLines="100"/>
        <w:jc w:val="left"/>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说明：</w:t>
      </w:r>
    </w:p>
    <w:p w14:paraId="55E4744A">
      <w:pPr>
        <w:pStyle w:val="13"/>
        <w:widowControl/>
        <w:numPr>
          <w:ilvl w:val="0"/>
          <w:numId w:val="2"/>
        </w:numPr>
        <w:spacing w:line="300" w:lineRule="auto"/>
        <w:ind w:left="0" w:right="-59" w:rightChars="-28" w:firstLine="425"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学生在某项评价内容中有多项加分情况时，只取最高一项。所有项目仅限定本专业领域内。</w:t>
      </w:r>
    </w:p>
    <w:p w14:paraId="384E1373">
      <w:pPr>
        <w:pStyle w:val="13"/>
        <w:widowControl/>
        <w:numPr>
          <w:ilvl w:val="0"/>
          <w:numId w:val="2"/>
        </w:numPr>
        <w:spacing w:line="300" w:lineRule="auto"/>
        <w:ind w:left="0" w:right="-59" w:rightChars="-28" w:firstLine="425"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科研创新潜质需提交不超过3分钟全身视频，包括个人简介、科研创新经历、创新思路等。</w:t>
      </w:r>
    </w:p>
    <w:p w14:paraId="264CF114">
      <w:pPr>
        <w:pStyle w:val="13"/>
        <w:widowControl/>
        <w:numPr>
          <w:ilvl w:val="0"/>
          <w:numId w:val="2"/>
        </w:numPr>
        <w:spacing w:line="300" w:lineRule="auto"/>
        <w:ind w:left="0" w:right="-59" w:rightChars="-28" w:firstLine="425"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发表论文评分由专家根据论文水平评分。</w:t>
      </w:r>
    </w:p>
    <w:p w14:paraId="70C95EFC">
      <w:pPr>
        <w:pStyle w:val="13"/>
        <w:widowControl/>
        <w:numPr>
          <w:ilvl w:val="0"/>
          <w:numId w:val="2"/>
        </w:numPr>
        <w:spacing w:line="300" w:lineRule="auto"/>
        <w:ind w:left="0" w:right="-59" w:rightChars="-28" w:firstLine="425"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专利第一位指专利署名排序第一，导师第一学生第二位等同排序第一。</w:t>
      </w:r>
    </w:p>
    <w:p w14:paraId="4CF51097">
      <w:pPr>
        <w:adjustRightInd w:val="0"/>
        <w:snapToGrid w:val="0"/>
        <w:spacing w:line="300" w:lineRule="auto"/>
        <w:ind w:right="-59" w:rightChars="-28" w:firstLine="425"/>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大赛获奖：“挑战杯”、</w:t>
      </w:r>
      <w:r>
        <w:rPr>
          <w:rFonts w:hint="eastAsia" w:ascii="Times New Roman" w:hAnsi="Times New Roman" w:eastAsia="宋体" w:cs="Times New Roman"/>
          <w:color w:val="000000"/>
          <w:kern w:val="0"/>
          <w:sz w:val="22"/>
        </w:rPr>
        <w:t>“</w:t>
      </w:r>
      <w:r>
        <w:rPr>
          <w:rFonts w:ascii="Times New Roman" w:hAnsi="Times New Roman" w:eastAsia="宋体" w:cs="Times New Roman"/>
          <w:color w:val="000000"/>
          <w:kern w:val="0"/>
          <w:sz w:val="22"/>
        </w:rPr>
        <w:t>互联网+</w:t>
      </w:r>
      <w:r>
        <w:rPr>
          <w:rFonts w:hint="eastAsia" w:ascii="Times New Roman" w:hAnsi="Times New Roman" w:eastAsia="宋体" w:cs="Times New Roman"/>
          <w:color w:val="000000"/>
          <w:kern w:val="0"/>
          <w:sz w:val="22"/>
        </w:rPr>
        <w:t>”/大学生创新大赛、</w:t>
      </w:r>
      <w:r>
        <w:rPr>
          <w:rFonts w:ascii="Times New Roman" w:hAnsi="Times New Roman" w:eastAsia="宋体" w:cs="Times New Roman"/>
          <w:color w:val="000000"/>
          <w:kern w:val="0"/>
          <w:sz w:val="22"/>
        </w:rPr>
        <w:t>创青春最高奖项为国家级；省级部门、全国行业学会/协会举办的创新创业类比赛最高奖项为省级；市、学校、省级学会/协会等其他单位组织的创新创业类比赛最高奖项为校级。</w:t>
      </w:r>
    </w:p>
    <w:p w14:paraId="593BB431">
      <w:pPr>
        <w:pStyle w:val="13"/>
        <w:widowControl/>
        <w:numPr>
          <w:ilvl w:val="0"/>
          <w:numId w:val="2"/>
        </w:numPr>
        <w:spacing w:line="300" w:lineRule="auto"/>
        <w:ind w:left="0" w:right="-59" w:rightChars="-28" w:firstLine="425"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能够体现科研创新能力、以上未列入的评价内容，由考核小组审核认定。</w:t>
      </w:r>
    </w:p>
    <w:p w14:paraId="627C9304">
      <w:pPr>
        <w:pStyle w:val="13"/>
        <w:widowControl/>
        <w:numPr>
          <w:ilvl w:val="0"/>
          <w:numId w:val="2"/>
        </w:numPr>
        <w:spacing w:line="300" w:lineRule="auto"/>
        <w:ind w:left="0" w:right="-59" w:rightChars="-28" w:firstLine="425" w:firstLineChars="0"/>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学术论文、发明专利、实用新型专利、科研项目、学术竞赛奖励分值可累加计算，该项目得分最高者超过100分时，以该项目得分最高者为基准计算。</w:t>
      </w:r>
    </w:p>
    <w:p w14:paraId="21EAAC8B">
      <w:pPr>
        <w:adjustRightInd w:val="0"/>
        <w:snapToGrid w:val="0"/>
        <w:spacing w:line="600" w:lineRule="exact"/>
        <w:ind w:right="-59" w:rightChars="-28" w:firstLine="440" w:firstLineChars="200"/>
        <w:rPr>
          <w:rFonts w:ascii="Times New Roman" w:hAnsi="Times New Roman" w:eastAsia="仿宋" w:cs="Times New Roman"/>
          <w:sz w:val="24"/>
          <w:szCs w:val="24"/>
        </w:rPr>
      </w:pPr>
      <w:r>
        <w:rPr>
          <w:rFonts w:ascii="Times New Roman" w:hAnsi="Times New Roman" w:eastAsia="宋体" w:cs="Times New Roman"/>
          <w:color w:val="000000"/>
          <w:kern w:val="0"/>
          <w:sz w:val="22"/>
        </w:rPr>
        <w:t>示例：项目得分</w:t>
      </w:r>
      <w:r>
        <w:rPr>
          <w:rFonts w:ascii="Times New Roman" w:hAnsi="Times New Roman" w:eastAsia="宋体" w:cs="Times New Roman"/>
          <w:color w:val="000000"/>
          <w:kern w:val="0"/>
          <w:sz w:val="24"/>
          <w:szCs w:val="24"/>
        </w:rPr>
        <w:t>=</w:t>
      </w:r>
      <m:oMath>
        <m:f>
          <m:fPr>
            <m:ctrlPr>
              <w:rPr>
                <w:rFonts w:ascii="Cambria Math" w:hAnsi="Cambria Math" w:eastAsia="宋体" w:cs="Times New Roman"/>
                <w:i/>
                <w:color w:val="000000"/>
                <w:kern w:val="0"/>
                <w:sz w:val="24"/>
                <w:szCs w:val="24"/>
              </w:rPr>
            </m:ctrlPr>
          </m:fPr>
          <m:num>
            <m:r>
              <m:rPr>
                <m:sty m:val="p"/>
              </m:rPr>
              <w:rPr>
                <w:rFonts w:ascii="Cambria Math" w:hAnsi="Cambria Math" w:eastAsia="宋体" w:cs="Times New Roman"/>
                <w:color w:val="000000"/>
                <w:kern w:val="0"/>
                <w:sz w:val="24"/>
                <w:szCs w:val="24"/>
              </w:rPr>
              <m:t>申请人实际得分</m:t>
            </m:r>
            <m:ctrlPr>
              <w:rPr>
                <w:rFonts w:ascii="Cambria Math" w:hAnsi="Cambria Math" w:eastAsia="宋体" w:cs="Times New Roman"/>
                <w:i/>
                <w:color w:val="000000"/>
                <w:kern w:val="0"/>
                <w:sz w:val="24"/>
                <w:szCs w:val="24"/>
              </w:rPr>
            </m:ctrlPr>
          </m:num>
          <m:den>
            <m:r>
              <m:rPr>
                <m:sty m:val="p"/>
              </m:rPr>
              <w:rPr>
                <w:rFonts w:ascii="Cambria Math" w:hAnsi="Cambria Math" w:eastAsia="宋体" w:cs="Times New Roman"/>
                <w:color w:val="000000"/>
                <w:kern w:val="0"/>
                <w:sz w:val="24"/>
                <w:szCs w:val="24"/>
              </w:rPr>
              <m:t>该项目所有申请人最高得分</m:t>
            </m:r>
            <m:ctrlPr>
              <w:rPr>
                <w:rFonts w:ascii="Cambria Math" w:hAnsi="Cambria Math" w:eastAsia="宋体" w:cs="Times New Roman"/>
                <w:i/>
                <w:color w:val="000000"/>
                <w:kern w:val="0"/>
                <w:sz w:val="24"/>
                <w:szCs w:val="24"/>
              </w:rPr>
            </m:ctrlPr>
          </m:den>
        </m:f>
        <m:r>
          <m:rPr/>
          <w:rPr>
            <w:rFonts w:ascii="Cambria Math" w:hAnsi="Cambria Math" w:eastAsia="宋体" w:cs="Times New Roman"/>
            <w:color w:val="000000"/>
            <w:kern w:val="0"/>
            <w:sz w:val="24"/>
            <w:szCs w:val="24"/>
          </w:rPr>
          <m:t>∗100</m:t>
        </m:r>
      </m:oMath>
    </w:p>
    <w:sectPr>
      <w:footerReference r:id="rId3" w:type="default"/>
      <w:footerReference r:id="rId4" w:type="even"/>
      <w:pgSz w:w="11906" w:h="16838"/>
      <w:pgMar w:top="1134" w:right="1588" w:bottom="1134" w:left="158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1"/>
      </w:rPr>
      <w:id w:val="-381106109"/>
      <w:docPartObj>
        <w:docPartGallery w:val="autotext"/>
      </w:docPartObj>
    </w:sdtPr>
    <w:sdtEndPr>
      <w:rPr>
        <w:rStyle w:val="11"/>
      </w:rPr>
    </w:sdtEndPr>
    <w:sdtContent>
      <w:p w14:paraId="1F917C3E">
        <w:pPr>
          <w:pStyle w:val="5"/>
          <w:framePr w:wrap="auto" w:vAnchor="text" w:hAnchor="margin" w:xAlign="center" w:y="1"/>
          <w:rPr>
            <w:rStyle w:val="11"/>
          </w:rPr>
        </w:pPr>
        <w:r>
          <w:rPr>
            <w:rStyle w:val="11"/>
          </w:rPr>
          <w:fldChar w:fldCharType="begin"/>
        </w:r>
        <w:r>
          <w:rPr>
            <w:rStyle w:val="11"/>
          </w:rPr>
          <w:instrText xml:space="preserve"> PAGE </w:instrText>
        </w:r>
        <w:r>
          <w:rPr>
            <w:rStyle w:val="11"/>
          </w:rPr>
          <w:fldChar w:fldCharType="separate"/>
        </w:r>
        <w:r>
          <w:rPr>
            <w:rStyle w:val="11"/>
          </w:rPr>
          <w:t>4</w:t>
        </w:r>
        <w:r>
          <w:rPr>
            <w:rStyle w:val="11"/>
          </w:rPr>
          <w:fldChar w:fldCharType="end"/>
        </w:r>
      </w:p>
    </w:sdtContent>
  </w:sdt>
  <w:p w14:paraId="3CB5A54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1"/>
      </w:rPr>
      <w:id w:val="1603305782"/>
      <w:docPartObj>
        <w:docPartGallery w:val="autotext"/>
      </w:docPartObj>
    </w:sdtPr>
    <w:sdtEndPr>
      <w:rPr>
        <w:rStyle w:val="11"/>
      </w:rPr>
    </w:sdtEndPr>
    <w:sdtContent>
      <w:p w14:paraId="58DC34CA">
        <w:pPr>
          <w:pStyle w:val="5"/>
          <w:framePr w:wrap="auto" w:vAnchor="text" w:hAnchor="margin" w:xAlign="center" w:y="1"/>
          <w:rPr>
            <w:rStyle w:val="11"/>
          </w:rPr>
        </w:pPr>
        <w:r>
          <w:rPr>
            <w:rStyle w:val="11"/>
          </w:rPr>
          <w:fldChar w:fldCharType="begin"/>
        </w:r>
        <w:r>
          <w:rPr>
            <w:rStyle w:val="11"/>
          </w:rPr>
          <w:instrText xml:space="preserve"> PAGE </w:instrText>
        </w:r>
        <w:r>
          <w:rPr>
            <w:rStyle w:val="11"/>
          </w:rPr>
          <w:fldChar w:fldCharType="separate"/>
        </w:r>
        <w:r>
          <w:rPr>
            <w:rStyle w:val="11"/>
          </w:rPr>
          <w:fldChar w:fldCharType="end"/>
        </w:r>
      </w:p>
    </w:sdtContent>
  </w:sdt>
  <w:p w14:paraId="70FDEF8F">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D9545A"/>
    <w:multiLevelType w:val="singleLevel"/>
    <w:tmpl w:val="8DD9545A"/>
    <w:lvl w:ilvl="0" w:tentative="0">
      <w:start w:val="6"/>
      <w:numFmt w:val="decimal"/>
      <w:suff w:val="space"/>
      <w:lvlText w:val="%1."/>
      <w:lvlJc w:val="left"/>
    </w:lvl>
  </w:abstractNum>
  <w:abstractNum w:abstractNumId="1">
    <w:nsid w:val="44DC60B0"/>
    <w:multiLevelType w:val="multilevel"/>
    <w:tmpl w:val="44DC60B0"/>
    <w:lvl w:ilvl="0" w:tentative="0">
      <w:start w:val="1"/>
      <w:numFmt w:val="decimal"/>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10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mZDVjZDczZTk2M2I4YmE1MTdlMzZkZTNlYWUwZDcifQ=="/>
  </w:docVars>
  <w:rsids>
    <w:rsidRoot w:val="00002769"/>
    <w:rsid w:val="00002769"/>
    <w:rsid w:val="0001050F"/>
    <w:rsid w:val="000670EB"/>
    <w:rsid w:val="00082898"/>
    <w:rsid w:val="00097961"/>
    <w:rsid w:val="000A6DE8"/>
    <w:rsid w:val="000C2706"/>
    <w:rsid w:val="000C57CF"/>
    <w:rsid w:val="000C688A"/>
    <w:rsid w:val="000D524E"/>
    <w:rsid w:val="000D562A"/>
    <w:rsid w:val="000F7042"/>
    <w:rsid w:val="00112471"/>
    <w:rsid w:val="00113842"/>
    <w:rsid w:val="00127194"/>
    <w:rsid w:val="00157DA9"/>
    <w:rsid w:val="001618B7"/>
    <w:rsid w:val="0018321D"/>
    <w:rsid w:val="001922F8"/>
    <w:rsid w:val="001C5C0B"/>
    <w:rsid w:val="001D5D4E"/>
    <w:rsid w:val="001F4889"/>
    <w:rsid w:val="00203894"/>
    <w:rsid w:val="00231B0E"/>
    <w:rsid w:val="00234805"/>
    <w:rsid w:val="00234AED"/>
    <w:rsid w:val="002430A2"/>
    <w:rsid w:val="00256678"/>
    <w:rsid w:val="00261B7F"/>
    <w:rsid w:val="0027426A"/>
    <w:rsid w:val="002A3A4B"/>
    <w:rsid w:val="002A7FF0"/>
    <w:rsid w:val="002B4B3A"/>
    <w:rsid w:val="002C3A66"/>
    <w:rsid w:val="002D03F2"/>
    <w:rsid w:val="00307B33"/>
    <w:rsid w:val="00330392"/>
    <w:rsid w:val="00331A83"/>
    <w:rsid w:val="00344749"/>
    <w:rsid w:val="00353831"/>
    <w:rsid w:val="00364554"/>
    <w:rsid w:val="003D6831"/>
    <w:rsid w:val="003E2FC2"/>
    <w:rsid w:val="003E3E42"/>
    <w:rsid w:val="00404704"/>
    <w:rsid w:val="0040639B"/>
    <w:rsid w:val="00423D2B"/>
    <w:rsid w:val="004A417C"/>
    <w:rsid w:val="004C6788"/>
    <w:rsid w:val="004E5E67"/>
    <w:rsid w:val="004E72CB"/>
    <w:rsid w:val="004F159E"/>
    <w:rsid w:val="00500BCD"/>
    <w:rsid w:val="005118F2"/>
    <w:rsid w:val="00516F94"/>
    <w:rsid w:val="0053021F"/>
    <w:rsid w:val="005377EC"/>
    <w:rsid w:val="0055725C"/>
    <w:rsid w:val="00557FD1"/>
    <w:rsid w:val="005669F6"/>
    <w:rsid w:val="005838F8"/>
    <w:rsid w:val="005A7A02"/>
    <w:rsid w:val="005B295E"/>
    <w:rsid w:val="005C0DE5"/>
    <w:rsid w:val="005C31AA"/>
    <w:rsid w:val="006151F5"/>
    <w:rsid w:val="00654D21"/>
    <w:rsid w:val="00660620"/>
    <w:rsid w:val="00661C0E"/>
    <w:rsid w:val="006A27B3"/>
    <w:rsid w:val="006B57C4"/>
    <w:rsid w:val="006E0E16"/>
    <w:rsid w:val="006F7159"/>
    <w:rsid w:val="007168BC"/>
    <w:rsid w:val="00725422"/>
    <w:rsid w:val="00743B56"/>
    <w:rsid w:val="00745ACF"/>
    <w:rsid w:val="00752ECB"/>
    <w:rsid w:val="00791151"/>
    <w:rsid w:val="007A3D6D"/>
    <w:rsid w:val="007C3FC4"/>
    <w:rsid w:val="007E680F"/>
    <w:rsid w:val="008225E4"/>
    <w:rsid w:val="00823B75"/>
    <w:rsid w:val="00826B7A"/>
    <w:rsid w:val="00842792"/>
    <w:rsid w:val="00873703"/>
    <w:rsid w:val="0088007D"/>
    <w:rsid w:val="008B756F"/>
    <w:rsid w:val="008D4A15"/>
    <w:rsid w:val="008F1706"/>
    <w:rsid w:val="008F44C8"/>
    <w:rsid w:val="008F6BBB"/>
    <w:rsid w:val="00910618"/>
    <w:rsid w:val="009275C7"/>
    <w:rsid w:val="00930D91"/>
    <w:rsid w:val="0094576D"/>
    <w:rsid w:val="00946F7D"/>
    <w:rsid w:val="009523AF"/>
    <w:rsid w:val="00953E95"/>
    <w:rsid w:val="00967D64"/>
    <w:rsid w:val="00976B5E"/>
    <w:rsid w:val="0097700C"/>
    <w:rsid w:val="009B7887"/>
    <w:rsid w:val="009C0A27"/>
    <w:rsid w:val="009C2D48"/>
    <w:rsid w:val="009D2BE8"/>
    <w:rsid w:val="009D6516"/>
    <w:rsid w:val="009F6D1B"/>
    <w:rsid w:val="00A065A0"/>
    <w:rsid w:val="00A07F27"/>
    <w:rsid w:val="00A14271"/>
    <w:rsid w:val="00A348D5"/>
    <w:rsid w:val="00A35686"/>
    <w:rsid w:val="00A3713A"/>
    <w:rsid w:val="00A37B30"/>
    <w:rsid w:val="00A4253A"/>
    <w:rsid w:val="00A425C4"/>
    <w:rsid w:val="00A43EB5"/>
    <w:rsid w:val="00A67194"/>
    <w:rsid w:val="00A74A60"/>
    <w:rsid w:val="00A87289"/>
    <w:rsid w:val="00A96A44"/>
    <w:rsid w:val="00AA3D83"/>
    <w:rsid w:val="00AA515D"/>
    <w:rsid w:val="00AB2660"/>
    <w:rsid w:val="00AE4F4A"/>
    <w:rsid w:val="00AF7424"/>
    <w:rsid w:val="00B01BC9"/>
    <w:rsid w:val="00B0776D"/>
    <w:rsid w:val="00B11DB8"/>
    <w:rsid w:val="00B45292"/>
    <w:rsid w:val="00B57A14"/>
    <w:rsid w:val="00B75A1D"/>
    <w:rsid w:val="00B765B0"/>
    <w:rsid w:val="00B84AA8"/>
    <w:rsid w:val="00B921E5"/>
    <w:rsid w:val="00BB7194"/>
    <w:rsid w:val="00BC413E"/>
    <w:rsid w:val="00BD21F3"/>
    <w:rsid w:val="00BD6BBF"/>
    <w:rsid w:val="00C004D2"/>
    <w:rsid w:val="00C030A3"/>
    <w:rsid w:val="00C106B3"/>
    <w:rsid w:val="00C11AB3"/>
    <w:rsid w:val="00C2516F"/>
    <w:rsid w:val="00C40DC6"/>
    <w:rsid w:val="00C5054A"/>
    <w:rsid w:val="00C51FEC"/>
    <w:rsid w:val="00C7039C"/>
    <w:rsid w:val="00C7632F"/>
    <w:rsid w:val="00C77F39"/>
    <w:rsid w:val="00C82716"/>
    <w:rsid w:val="00C84BB6"/>
    <w:rsid w:val="00C91698"/>
    <w:rsid w:val="00CA0933"/>
    <w:rsid w:val="00CA226E"/>
    <w:rsid w:val="00CA310B"/>
    <w:rsid w:val="00CA6038"/>
    <w:rsid w:val="00CA6D88"/>
    <w:rsid w:val="00CC2CEF"/>
    <w:rsid w:val="00CD7016"/>
    <w:rsid w:val="00D20D1A"/>
    <w:rsid w:val="00D21B6D"/>
    <w:rsid w:val="00D24378"/>
    <w:rsid w:val="00D250D7"/>
    <w:rsid w:val="00D26A69"/>
    <w:rsid w:val="00D30EF0"/>
    <w:rsid w:val="00D341B5"/>
    <w:rsid w:val="00D427C5"/>
    <w:rsid w:val="00D477DB"/>
    <w:rsid w:val="00D559EF"/>
    <w:rsid w:val="00D56169"/>
    <w:rsid w:val="00D76535"/>
    <w:rsid w:val="00D93E11"/>
    <w:rsid w:val="00DB127C"/>
    <w:rsid w:val="00DB42AB"/>
    <w:rsid w:val="00DB64FF"/>
    <w:rsid w:val="00DC602C"/>
    <w:rsid w:val="00DD1459"/>
    <w:rsid w:val="00DD5AB6"/>
    <w:rsid w:val="00DE15A4"/>
    <w:rsid w:val="00DF4DB9"/>
    <w:rsid w:val="00E05E9E"/>
    <w:rsid w:val="00E40BB9"/>
    <w:rsid w:val="00E762C3"/>
    <w:rsid w:val="00E93AD7"/>
    <w:rsid w:val="00EA5106"/>
    <w:rsid w:val="00EB3CC5"/>
    <w:rsid w:val="00EB5428"/>
    <w:rsid w:val="00EB7493"/>
    <w:rsid w:val="00EF7A43"/>
    <w:rsid w:val="00F0314B"/>
    <w:rsid w:val="00F11D72"/>
    <w:rsid w:val="00F24748"/>
    <w:rsid w:val="00F55247"/>
    <w:rsid w:val="00F712CB"/>
    <w:rsid w:val="00F90866"/>
    <w:rsid w:val="00F93E5C"/>
    <w:rsid w:val="00FE6F72"/>
    <w:rsid w:val="079717AB"/>
    <w:rsid w:val="156F7EEB"/>
    <w:rsid w:val="220A103D"/>
    <w:rsid w:val="2E9D0E17"/>
    <w:rsid w:val="425A6445"/>
    <w:rsid w:val="44B31EE6"/>
    <w:rsid w:val="4BE0398E"/>
    <w:rsid w:val="4F2E6138"/>
    <w:rsid w:val="5126254C"/>
    <w:rsid w:val="519136D9"/>
    <w:rsid w:val="51B11144"/>
    <w:rsid w:val="59727BE1"/>
    <w:rsid w:val="64CA0CC8"/>
    <w:rsid w:val="6584271E"/>
    <w:rsid w:val="65B86C24"/>
    <w:rsid w:val="68C04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9"/>
    <w:semiHidden/>
    <w:unhideWhenUsed/>
    <w:qFormat/>
    <w:uiPriority w:val="0"/>
    <w:pPr>
      <w:keepNext/>
      <w:keepLines/>
      <w:spacing w:before="260" w:after="26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semiHidden/>
    <w:unhideWhenUsed/>
    <w:uiPriority w:val="99"/>
  </w:style>
  <w:style w:type="character" w:styleId="12">
    <w:name w:val="annotation reference"/>
    <w:basedOn w:val="10"/>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字符"/>
    <w:basedOn w:val="10"/>
    <w:link w:val="6"/>
    <w:uiPriority w:val="99"/>
    <w:rPr>
      <w:kern w:val="2"/>
      <w:sz w:val="18"/>
      <w:szCs w:val="18"/>
    </w:rPr>
  </w:style>
  <w:style w:type="character" w:customStyle="1" w:styleId="15">
    <w:name w:val="页脚 字符"/>
    <w:basedOn w:val="10"/>
    <w:link w:val="5"/>
    <w:qFormat/>
    <w:uiPriority w:val="99"/>
    <w:rPr>
      <w:kern w:val="2"/>
      <w:sz w:val="18"/>
      <w:szCs w:val="18"/>
    </w:rPr>
  </w:style>
  <w:style w:type="character" w:customStyle="1" w:styleId="16">
    <w:name w:val="批注框文本 字符"/>
    <w:basedOn w:val="10"/>
    <w:link w:val="4"/>
    <w:semiHidden/>
    <w:qFormat/>
    <w:uiPriority w:val="99"/>
    <w:rPr>
      <w:kern w:val="2"/>
      <w:sz w:val="18"/>
      <w:szCs w:val="18"/>
    </w:rPr>
  </w:style>
  <w:style w:type="character" w:customStyle="1" w:styleId="17">
    <w:name w:val="批注文字 字符"/>
    <w:basedOn w:val="10"/>
    <w:link w:val="3"/>
    <w:semiHidden/>
    <w:qFormat/>
    <w:uiPriority w:val="99"/>
    <w:rPr>
      <w:kern w:val="2"/>
      <w:sz w:val="21"/>
      <w:szCs w:val="22"/>
    </w:rPr>
  </w:style>
  <w:style w:type="character" w:customStyle="1" w:styleId="18">
    <w:name w:val="批注主题 字符"/>
    <w:basedOn w:val="17"/>
    <w:link w:val="7"/>
    <w:semiHidden/>
    <w:qFormat/>
    <w:uiPriority w:val="99"/>
    <w:rPr>
      <w:b/>
      <w:bCs/>
      <w:kern w:val="2"/>
      <w:sz w:val="21"/>
      <w:szCs w:val="22"/>
    </w:rPr>
  </w:style>
  <w:style w:type="character" w:customStyle="1" w:styleId="19">
    <w:name w:val="标题 3 字符"/>
    <w:link w:val="2"/>
    <w:qFormat/>
    <w:uiPriority w:val="0"/>
    <w:rPr>
      <w:b/>
      <w:sz w:val="32"/>
    </w:rPr>
  </w:style>
  <w:style w:type="paragraph" w:customStyle="1" w:styleId="2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styleId="21">
    <w:name w:val="Placeholder Text"/>
    <w:basedOn w:val="10"/>
    <w:semiHidden/>
    <w:qFormat/>
    <w:uiPriority w:val="99"/>
    <w:rPr>
      <w:color w:val="808080"/>
    </w:rPr>
  </w:style>
  <w:style w:type="paragraph" w:customStyle="1" w:styleId="22">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4175</Words>
  <Characters>4401</Characters>
  <Lines>32</Lines>
  <Paragraphs>9</Paragraphs>
  <TotalTime>3</TotalTime>
  <ScaleCrop>false</ScaleCrop>
  <LinksUpToDate>false</LinksUpToDate>
  <CharactersWithSpaces>4426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2022-09-14T09:49:00Z</dcterms:created>
  <dc:creator>刘 之广</dc:creator>
  <cp:lastModifiedBy>王</cp:lastModifiedBy>
  <dcterms:modified xsi:type="dcterms:W3CDTF">2025-09-04T07:04:23Z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D582B178C74D4114ADC2299ECDD0A0B0_12</vt:lpwstr>
  </property>
  <property fmtid="{D5CDD505-2E9C-101B-9397-08002B2CF9AE}" pid="4" name="KSOTemplateDocerSaveRecord">
    <vt:lpwstr>eyJoZGlkIjoiZjQzNDhiYzM5NjRmN2I5YmM5MjI5OWRkZmE4OTBkMGQifQ==</vt:lpwstr>
  </property>
</Properties>
</file>