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B1CBE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inline distT="0" distB="0" distL="0" distR="0">
            <wp:extent cx="1558290" cy="314325"/>
            <wp:effectExtent l="0" t="0" r="0" b="8890"/>
            <wp:docPr id="102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143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48FC1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安徽财经大学金融学院</w:t>
      </w:r>
    </w:p>
    <w:p w14:paraId="653A6096">
      <w:pPr>
        <w:keepNext w:val="0"/>
        <w:keepLines w:val="0"/>
        <w:widowControl/>
        <w:suppressLineNumbers w:val="0"/>
        <w:jc w:val="center"/>
        <w:rPr>
          <w:rFonts w:hint="default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  <w:t>金融工程（FRM方向班）简介</w:t>
      </w:r>
    </w:p>
    <w:p w14:paraId="39D73FEC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</w:p>
    <w:p w14:paraId="4893783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人工智能、大数据等前沿科技的飞速发展，正深刻影响金融行业，加速传统业态转型。 这使得企业对人才的需求不再局限于理论知识，更渴求具备实务操作、创新思维及高效 风险管理能力的复合型人才。因此，如何帮助大学生顺应时代潮流，掌握未来核心竞争 力，实现自我价值，已成为高校与学生共同面临的关键课题。</w:t>
      </w:r>
    </w:p>
    <w:p w14:paraId="38A1908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结合以上背景，我院开设FRM方向班，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采用“学历+国际职业资格 ”相结合的培养方式，使用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中英双语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教材，通过双语教学，聚焦于数字技术赋能金融教育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，帮助学生掌握金融领域权威的职业资格证书的知识体系，让学生在未来升学或就业时能够脱颖而出！</w:t>
      </w:r>
    </w:p>
    <w:p w14:paraId="2FAE5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一、培养目标</w:t>
      </w:r>
    </w:p>
    <w:p w14:paraId="4F9F569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旨在培养金融领域的高端职业人才——涉及商业银行、投资银行/证券公司、基金公司、互联网金融、财富管理企业等核心行业，并深入培养具有前瞻视野的企业经营管理、金融、投资、融资等职业高手，助力学员实现高质量就业。</w:t>
      </w:r>
    </w:p>
    <w:p w14:paraId="2277D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知识架构</w:t>
      </w:r>
    </w:p>
    <w:p w14:paraId="57DEE9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FRM方向班是一个集考证课程、职业技能以及 AI 项目实践于一体的综合性培养方案，目前金融领域的核心业务离不开投资人才，而大学生进入投资岗位前需要具备风险管理（FRM）的本领。</w:t>
      </w:r>
    </w:p>
    <w:p w14:paraId="3A9AE1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关于FRM（金融风险管理师）</w:t>
      </w:r>
    </w:p>
    <w:p w14:paraId="67E7E1D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FRM是“金融风险管理师”的简称，是全球公认的风险管理行业最高等级证书，是重量级商业银行、投资银行、保险等顶尖金融机构风险管理人员必备证书。</w:t>
      </w:r>
    </w:p>
    <w:p w14:paraId="7A807F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FRM考试一级侧重于金融基础的搭建，二级侧重于风险的具体应用:</w:t>
      </w:r>
    </w:p>
    <w:tbl>
      <w:tblPr>
        <w:tblStyle w:val="5"/>
        <w:tblW w:w="76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3015"/>
        <w:gridCol w:w="3000"/>
      </w:tblGrid>
      <w:tr w14:paraId="4F413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8DA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 w:firstLineChars="2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C8C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 w:firstLineChars="2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科目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10F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 w:firstLineChars="2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科目（英文）</w:t>
            </w:r>
          </w:p>
        </w:tc>
      </w:tr>
      <w:tr w14:paraId="4D58D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2DF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680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定量分析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4FE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Quantitative Analysis</w:t>
            </w:r>
          </w:p>
        </w:tc>
      </w:tr>
      <w:tr w14:paraId="11462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BC1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C5C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估值和风险模型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5CC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Valuation and Risk Models</w:t>
            </w:r>
          </w:p>
        </w:tc>
      </w:tr>
      <w:tr w14:paraId="74B51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E90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D29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金融市场和产品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B08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Financial Markets and Products</w:t>
            </w:r>
          </w:p>
        </w:tc>
      </w:tr>
      <w:tr w14:paraId="37C1E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D85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0E9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风险管理概念基础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604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Foundations of Risk Management Concepts</w:t>
            </w:r>
          </w:p>
        </w:tc>
      </w:tr>
      <w:tr w14:paraId="180DC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073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03D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当前金融市场的问题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F9A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 issues in Financial Markets</w:t>
            </w:r>
          </w:p>
        </w:tc>
      </w:tr>
      <w:tr w14:paraId="770C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4B3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EF7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信用风险管理与测量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4C9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Credit Risk Measurement and Management</w:t>
            </w:r>
          </w:p>
        </w:tc>
      </w:tr>
      <w:tr w14:paraId="6C36F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7EE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317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操作和综合风险管理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C82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Operational and integrated Risk Management</w:t>
            </w:r>
          </w:p>
        </w:tc>
      </w:tr>
      <w:tr w14:paraId="1A01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018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4A4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市场风险的度量和管理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F86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Market Risk Measurement and Management</w:t>
            </w:r>
          </w:p>
        </w:tc>
      </w:tr>
      <w:tr w14:paraId="09836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DD5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A4C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风险管理和投资管理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6B50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Risk Management and investment Management</w:t>
            </w:r>
          </w:p>
        </w:tc>
      </w:tr>
      <w:tr w14:paraId="17940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1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A20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B8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流动性风险管理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BE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Liquidity and Treasury Risk Measurement and Management</w:t>
            </w:r>
          </w:p>
        </w:tc>
      </w:tr>
    </w:tbl>
    <w:p w14:paraId="0313804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both"/>
        <w:textAlignment w:val="auto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3151DD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jc w:val="both"/>
        <w:textAlignment w:val="auto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F5A4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三、就业方向</w:t>
      </w:r>
    </w:p>
    <w:p w14:paraId="67D4992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本科或研究生毕业后，可优先考虑对FRM认可的相关单位——涉及银行（外资银行/内资银行），投资/基金（公募基金/私募基金/风险投资），互联网金融（互联网融资/互联网支付），投行/券商，保险、咨询，会计师事务所/律师事务所，等行业；岗位方向主要为：证券分析师、基金经理、风控经理、投行经理、财富规划师、管理咨询师、职业经理人、投资家、客户经理、财经作家等岗位。</w:t>
      </w:r>
    </w:p>
    <w:tbl>
      <w:tblPr>
        <w:tblStyle w:val="5"/>
        <w:tblW w:w="70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4395"/>
      </w:tblGrid>
      <w:tr w14:paraId="4368B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973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 w:firstLineChars="2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6BE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2" w:firstLineChars="2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</w:tr>
      <w:tr w14:paraId="2F0D6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939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1F0DE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外资：汇丰银行、花旗银行、兴业银行、渣打银行等</w:t>
            </w:r>
          </w:p>
        </w:tc>
      </w:tr>
      <w:tr w14:paraId="0F58D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6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8AD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A7CD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内资：中国工商银行、中国建设银行、招商银行、民生银行等</w:t>
            </w:r>
          </w:p>
        </w:tc>
      </w:tr>
      <w:tr w14:paraId="0A4E1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6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2FD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</w:t>
            </w:r>
            <w:r>
              <w:rPr>
                <w:rStyle w:val="9"/>
                <w:lang w:val="en-US" w:eastAsia="zh-CN" w:bidi="ar"/>
              </w:rPr>
              <w:t>/基金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48257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公募基金：天弘基金、招商基金、博时基金、华夏基金等</w:t>
            </w:r>
          </w:p>
        </w:tc>
      </w:tr>
      <w:tr w14:paraId="0E26D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6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8E2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70FF2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私募基金：高瓴资本、老虎基金、九鼎投资、复星资本等</w:t>
            </w:r>
          </w:p>
        </w:tc>
      </w:tr>
      <w:tr w14:paraId="27AD1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6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DE4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92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风险投资：红杉资本、经纬中国、</w:t>
            </w:r>
            <w:r>
              <w:rPr>
                <w:rStyle w:val="9"/>
                <w:lang w:val="en-US" w:eastAsia="zh-CN" w:bidi="ar"/>
              </w:rPr>
              <w:t>IDG资本、软银中国等</w:t>
            </w:r>
          </w:p>
        </w:tc>
      </w:tr>
      <w:tr w14:paraId="58C1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E1C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互联网金融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 w14:paraId="6EBA0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互联网融资：蚂蚁金服、京东金融、百度金融、宜信等</w:t>
            </w:r>
          </w:p>
        </w:tc>
      </w:tr>
      <w:tr w14:paraId="782FA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DB3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076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互联网支付：支付宝、银联、财付通、美银宝等</w:t>
            </w:r>
          </w:p>
        </w:tc>
      </w:tr>
      <w:tr w14:paraId="5C577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1DD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投行</w:t>
            </w:r>
            <w:r>
              <w:rPr>
                <w:rStyle w:val="9"/>
                <w:lang w:val="en-US" w:eastAsia="zh-CN" w:bidi="ar"/>
              </w:rPr>
              <w:t>/券商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419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摩根士丹利、高盛集团、中信证券、华泰证券等</w:t>
            </w:r>
          </w:p>
        </w:tc>
      </w:tr>
      <w:tr w14:paraId="7A14C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2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F0F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424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友邦保险、中国人寿保险、中国平安保险、中国太平保险等</w:t>
            </w:r>
          </w:p>
        </w:tc>
      </w:tr>
      <w:tr w14:paraId="7DAC3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E55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咨询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2A3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麦肯锡、贝恩、埃森哲、美世等</w:t>
            </w:r>
          </w:p>
        </w:tc>
      </w:tr>
      <w:tr w14:paraId="5B4A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862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会计师事务所</w:t>
            </w:r>
          </w:p>
        </w:tc>
        <w:tc>
          <w:tcPr>
            <w:tcW w:w="4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DF8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普华永道、德勤、安永、毕马威等</w:t>
            </w:r>
          </w:p>
        </w:tc>
      </w:tr>
    </w:tbl>
    <w:p w14:paraId="59D0B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</w:p>
    <w:p w14:paraId="00F2C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四、教学管理特色</w:t>
      </w:r>
    </w:p>
    <w:p w14:paraId="4425A9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48" w:afterAutospacing="0" w:line="240" w:lineRule="auto"/>
        <w:ind w:left="0" w:right="0" w:firstLine="562" w:firstLineChars="200"/>
        <w:jc w:val="left"/>
        <w:rPr>
          <w:rFonts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1.系统全面的课程体系</w:t>
      </w:r>
    </w:p>
    <w:p w14:paraId="1995B28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课程包含：前导课、专业基础课程、串讲课程、模拟考试、模拟考试讲解、考前直播冲刺、押题预测等，给学生提供循序渐进的学习规划和学习指导，有利于学生夯实专业基础。</w:t>
      </w:r>
    </w:p>
    <w:p w14:paraId="2DA50C7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48" w:afterAutospacing="0" w:line="240" w:lineRule="auto"/>
        <w:ind w:left="0" w:right="0" w:firstLine="562" w:firstLineChars="20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2.特色的教学管理模式</w:t>
      </w:r>
    </w:p>
    <w:p w14:paraId="18C365A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（1）顶级师资团队—授课老师拥有FRM会员资格（必备）、海外留学经验及世界500强中高层从业经验的讲师为学生授课；</w:t>
      </w:r>
    </w:p>
    <w:p w14:paraId="3E22DA3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（2）配备专属学服老师答疑以及助教老师辅导学生学习；</w:t>
      </w:r>
    </w:p>
    <w:p w14:paraId="050331B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（3）配套提供专业的教材和独家学习讲义；</w:t>
      </w:r>
    </w:p>
    <w:p w14:paraId="221BFE2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（4）提供注册、报考指导服务；</w:t>
      </w:r>
    </w:p>
    <w:p w14:paraId="71F68E1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（5）赠送金融行业从业资格证书（四选一）标准网课；</w:t>
      </w:r>
    </w:p>
    <w:p w14:paraId="7F63E7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（6）考研咨询&amp;职业规划相关辅导；</w:t>
      </w:r>
    </w:p>
    <w:p w14:paraId="007AB61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（7）不定期推送实习/招聘等就业信息。</w:t>
      </w:r>
    </w:p>
    <w:p w14:paraId="3AE4F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专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业学制、毕业学位授予</w:t>
      </w:r>
    </w:p>
    <w:p w14:paraId="7A2812C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学制：4年。</w:t>
      </w:r>
    </w:p>
    <w:p w14:paraId="4568FD0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毕业授予：金融工程本科毕业证书和经济学学士学位。</w:t>
      </w:r>
    </w:p>
    <w:p w14:paraId="7EBBF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六、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选拔标准</w:t>
      </w:r>
    </w:p>
    <w:p w14:paraId="659186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该方向班拟面向全校从转专业学生中选拔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30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名优秀学生，参选学生应满足以下条件：</w:t>
      </w:r>
    </w:p>
    <w:p w14:paraId="2F86BC7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1.应遵守学校各项规章制度，未受过纪律处分，符合学校专业分流基本原则；</w:t>
      </w:r>
    </w:p>
    <w:p w14:paraId="19285F3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2.申请转入学生应该修读完第一学期培养方案规定的全部课程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，平均学分绩点≥3.8；</w:t>
      </w:r>
    </w:p>
    <w:p w14:paraId="7D80C03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.若报名人数大于接收人数，则按平均学分绩点择优录取；若最后一位平均学分绩点相同，则依次按照数学类课程、英语精读（1）、英语听说（1）、专业课等科目期末考试成绩排序择优录取。</w:t>
      </w:r>
    </w:p>
    <w:p w14:paraId="72AD7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七、收费标准</w:t>
      </w:r>
    </w:p>
    <w:p w14:paraId="60747AD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1.大学本科学费、住宿费等依据安徽省和学校规定执行；</w:t>
      </w:r>
    </w:p>
    <w:p w14:paraId="1D7F4CC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FRM方向班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课程培训费共计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：人民币3.8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万元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（由合作单位代收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)；</w:t>
      </w:r>
    </w:p>
    <w:p w14:paraId="900D988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560" w:firstLineChars="200"/>
        <w:jc w:val="both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FRM考试费用自理。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13DA"/>
    <w:rsid w:val="01E06870"/>
    <w:rsid w:val="0D570D57"/>
    <w:rsid w:val="11911272"/>
    <w:rsid w:val="15D61111"/>
    <w:rsid w:val="274331F0"/>
    <w:rsid w:val="43D52B77"/>
    <w:rsid w:val="5DEF3127"/>
    <w:rsid w:val="61692A05"/>
    <w:rsid w:val="618D7AD4"/>
    <w:rsid w:val="7DF2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1769</Words>
  <Characters>2090</Characters>
  <Paragraphs>27</Paragraphs>
  <TotalTime>2</TotalTime>
  <ScaleCrop>false</ScaleCrop>
  <LinksUpToDate>false</LinksUpToDate>
  <CharactersWithSpaces>2133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2025-03-13T18:03:00Z</dcterms:created>
  <dc:creator>沙加</dc:creator>
  <cp:lastModifiedBy>醒言冫</cp:lastModifiedBy>
  <dcterms:modified xsi:type="dcterms:W3CDTF">2026-03-24T09:33:54Z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7B6A799C8C274AA4B2B36BCACF3E9909_13</vt:lpwstr>
  </property>
  <property fmtid="{D5CDD505-2E9C-101B-9397-08002B2CF9AE}" pid="4" name="KSOTemplateDocerSaveRecord">
    <vt:lpwstr>eyJoZGlkIjoiNGMzMTlhMTViYTk3MjhkNTU5YThkNzNhMmY5NjMwYjAiLCJ1c2VySWQiOiI1Nzg3ODU3NjQifQ==</vt:lpwstr>
  </property>
</Properties>
</file>