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F63B2">
      <w:pPr>
        <w:jc w:val="left"/>
        <w:rPr>
          <w:rFonts w:hint="eastAsia" w:ascii="微软雅黑" w:hAnsi="方正小标宋_GBK" w:eastAsia="微软雅黑" w:cs="方正小标宋_GBK"/>
          <w:b/>
          <w:bCs/>
          <w:sz w:val="40"/>
          <w:szCs w:val="40"/>
          <w:lang w:val="en-US" w:eastAsia="zh-CN"/>
        </w:rPr>
      </w:pPr>
      <w:r>
        <w:drawing>
          <wp:inline distT="0" distB="0" distL="114300" distR="114300">
            <wp:extent cx="1558290" cy="314325"/>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558290" cy="314325"/>
                    </a:xfrm>
                    <a:prstGeom prst="rect">
                      <a:avLst/>
                    </a:prstGeom>
                    <a:noFill/>
                    <a:ln>
                      <a:noFill/>
                    </a:ln>
                  </pic:spPr>
                </pic:pic>
              </a:graphicData>
            </a:graphic>
          </wp:inline>
        </w:drawing>
      </w:r>
    </w:p>
    <w:p w14:paraId="3364F4A2">
      <w:pPr>
        <w:keepNext w:val="0"/>
        <w:keepLines w:val="0"/>
        <w:widowControl/>
        <w:suppressLineNumbers w:val="0"/>
        <w:jc w:val="center"/>
        <w:rPr>
          <w:rFonts w:hint="eastAsia" w:asciiTheme="majorEastAsia" w:hAnsiTheme="majorEastAsia" w:eastAsiaTheme="majorEastAsia" w:cstheme="majorEastAsia"/>
          <w:b/>
          <w:bCs/>
          <w:color w:val="000000"/>
          <w:kern w:val="0"/>
          <w:sz w:val="44"/>
          <w:szCs w:val="44"/>
          <w:lang w:val="en-US" w:eastAsia="zh-CN" w:bidi="ar"/>
        </w:rPr>
      </w:pPr>
      <w:r>
        <w:rPr>
          <w:rFonts w:hint="eastAsia" w:asciiTheme="majorEastAsia" w:hAnsiTheme="majorEastAsia" w:eastAsiaTheme="majorEastAsia" w:cstheme="majorEastAsia"/>
          <w:b/>
          <w:bCs/>
          <w:color w:val="000000"/>
          <w:kern w:val="0"/>
          <w:sz w:val="44"/>
          <w:szCs w:val="44"/>
          <w:lang w:val="en-US" w:eastAsia="zh-CN" w:bidi="ar"/>
        </w:rPr>
        <w:t>安徽财经大学财政与公共管理学院</w:t>
      </w:r>
    </w:p>
    <w:p w14:paraId="5C131E3F">
      <w:pPr>
        <w:keepNext w:val="0"/>
        <w:keepLines w:val="0"/>
        <w:widowControl/>
        <w:suppressLineNumbers w:val="0"/>
        <w:jc w:val="center"/>
        <w:rPr>
          <w:rFonts w:hint="eastAsia" w:asciiTheme="majorEastAsia" w:hAnsiTheme="majorEastAsia" w:eastAsiaTheme="majorEastAsia" w:cstheme="majorEastAsia"/>
          <w:b/>
          <w:bCs/>
          <w:color w:val="000000"/>
          <w:kern w:val="0"/>
          <w:sz w:val="44"/>
          <w:szCs w:val="44"/>
          <w:lang w:val="en-US" w:eastAsia="zh-CN" w:bidi="ar"/>
        </w:rPr>
      </w:pPr>
      <w:r>
        <w:rPr>
          <w:rFonts w:hint="eastAsia" w:asciiTheme="majorEastAsia" w:hAnsiTheme="majorEastAsia" w:eastAsiaTheme="majorEastAsia" w:cstheme="majorEastAsia"/>
          <w:b/>
          <w:bCs/>
          <w:color w:val="000000"/>
          <w:kern w:val="0"/>
          <w:sz w:val="44"/>
          <w:szCs w:val="44"/>
          <w:lang w:val="en-US" w:eastAsia="zh-CN" w:bidi="ar"/>
        </w:rPr>
        <w:t>税收学（税务师方向实验班）简介</w:t>
      </w:r>
    </w:p>
    <w:p w14:paraId="75E95191">
      <w:pPr>
        <w:keepNext w:val="0"/>
        <w:keepLines w:val="0"/>
        <w:widowControl/>
        <w:suppressLineNumbers w:val="0"/>
        <w:jc w:val="center"/>
        <w:rPr>
          <w:rFonts w:hint="eastAsia" w:asciiTheme="majorEastAsia" w:hAnsiTheme="majorEastAsia" w:eastAsiaTheme="majorEastAsia" w:cstheme="majorEastAsia"/>
          <w:b/>
          <w:bCs/>
          <w:color w:val="000000"/>
          <w:kern w:val="0"/>
          <w:sz w:val="44"/>
          <w:szCs w:val="44"/>
          <w:lang w:val="en-US" w:eastAsia="zh-CN" w:bidi="ar"/>
        </w:rPr>
      </w:pPr>
    </w:p>
    <w:p w14:paraId="6C7573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bCs/>
          <w:sz w:val="28"/>
          <w:szCs w:val="28"/>
          <w:lang w:val="en-US" w:eastAsia="zh-CN"/>
        </w:rPr>
      </w:pPr>
      <w:r>
        <w:rPr>
          <w:rFonts w:hint="eastAsia"/>
          <w:sz w:val="28"/>
          <w:szCs w:val="28"/>
        </w:rPr>
        <w:t>在数字经济蓬勃发展与智慧税务全面推进的时代背景下，税收治理正加速迈入数字化、智能化与专业化新阶段，社会对兼具税收政策应用、数据分析与实务操作能力的高素质复合型人才需求持续攀升。顺应国家财税治理现代化和新财经人才培养趋势，安徽财经大学财政与公共管理学院依托强大的税收学科优势与行业协同资源，设立税收学（税务师方向实验班，简称CTA）。实验班着力培养具备扎实理论基础、突出实务能力、良好数智素养的高水平应用型税务人才，为学生抢占数智税收新赛道、实现高质量职业发展提供系统赋能。</w:t>
      </w:r>
    </w:p>
    <w:p w14:paraId="1BD332B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一、实验班定位</w:t>
      </w:r>
    </w:p>
    <w:p w14:paraId="489118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实验班坚持立德树人根本任务，紧扣财税行业高质量发展需求，实行小班化、精英化培养模式。在发展定位上，实验班聚焦</w:t>
      </w:r>
      <w:r>
        <w:rPr>
          <w:rFonts w:hint="eastAsia"/>
          <w:b/>
          <w:bCs/>
          <w:sz w:val="28"/>
          <w:szCs w:val="28"/>
        </w:rPr>
        <w:t>“数智税务师职业能力培养、税务系统公职能力提升、税务专硕升学深造”</w:t>
      </w:r>
      <w:r>
        <w:rPr>
          <w:rFonts w:hint="eastAsia"/>
          <w:sz w:val="28"/>
          <w:szCs w:val="28"/>
        </w:rPr>
        <w:t>三大核心方向，坚持理论教学与实践教学深度融合，实行“专业学习、职业资格、实务训练、发展规划”协同推进的育人机制。通过优质教育资源的集中配置与双导师的保驾护航，切实将课堂知识转化为实际职业能力，为学生搭建面向未来财税职业世界的高质量成长通道。</w:t>
      </w:r>
    </w:p>
    <w:p w14:paraId="742392C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二、培养特色</w:t>
      </w:r>
    </w:p>
    <w:p w14:paraId="5EFB10A4">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b/>
          <w:bCs/>
          <w:sz w:val="28"/>
          <w:szCs w:val="28"/>
        </w:rPr>
      </w:pPr>
      <w:r>
        <w:rPr>
          <w:rFonts w:hint="eastAsia"/>
          <w:b/>
          <w:bCs/>
          <w:sz w:val="28"/>
          <w:szCs w:val="28"/>
        </w:rPr>
        <w:t>（一）聚焦税务师职业能力培养，强化实务应用与考证衔接</w:t>
      </w:r>
    </w:p>
    <w:p w14:paraId="09E3E83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面向数字经济与智慧税务发展新形势，实验班紧密对标税务师职业资格考试标准，构建</w:t>
      </w:r>
      <w:r>
        <w:rPr>
          <w:rFonts w:hint="eastAsia"/>
          <w:b/>
          <w:bCs/>
          <w:sz w:val="28"/>
          <w:szCs w:val="28"/>
        </w:rPr>
        <w:t>“数智税收+专业实务+职业考证”</w:t>
      </w:r>
      <w:r>
        <w:rPr>
          <w:rFonts w:hint="eastAsia"/>
          <w:sz w:val="28"/>
          <w:szCs w:val="28"/>
        </w:rPr>
        <w:t>融合培养体系，将</w:t>
      </w:r>
      <w:r>
        <w:rPr>
          <w:rFonts w:hint="eastAsia"/>
          <w:sz w:val="28"/>
          <w:szCs w:val="28"/>
          <w:lang w:val="en-US" w:eastAsia="zh-CN"/>
        </w:rPr>
        <w:t>CTA</w:t>
      </w:r>
      <w:r>
        <w:rPr>
          <w:rFonts w:hint="eastAsia"/>
          <w:sz w:val="28"/>
          <w:szCs w:val="28"/>
        </w:rPr>
        <w:t>考试核心知识模块深度融入本科教学。培养过程全面强化涉税数据分析、电子税务处理等前沿应用，着力提升学生在税收智能化转型背景下的核心竞争力。实验班实行校企协同育人，引入资深行业专家（省内外一线税务事务所、知名税务师职业培训机构等）将企业涉税申报、</w:t>
      </w:r>
      <w:r>
        <w:rPr>
          <w:rFonts w:hint="eastAsia"/>
          <w:sz w:val="28"/>
          <w:szCs w:val="28"/>
          <w:lang w:val="en-US" w:eastAsia="zh-CN"/>
        </w:rPr>
        <w:t>税务合规</w:t>
      </w:r>
      <w:r>
        <w:rPr>
          <w:rFonts w:hint="eastAsia"/>
          <w:sz w:val="28"/>
          <w:szCs w:val="28"/>
        </w:rPr>
        <w:t>及风险管理等真实业务场景转化为课堂案例；同时，依托优质税务师事务所等合作网络，为学生提供高质量的顶岗实习平台。通过</w:t>
      </w:r>
      <w:r>
        <w:rPr>
          <w:rFonts w:hint="eastAsia"/>
          <w:b/>
          <w:bCs/>
          <w:sz w:val="28"/>
          <w:szCs w:val="28"/>
        </w:rPr>
        <w:t>“理论学习、实务训练、考证备考”</w:t>
      </w:r>
      <w:r>
        <w:rPr>
          <w:rFonts w:hint="eastAsia"/>
          <w:sz w:val="28"/>
          <w:szCs w:val="28"/>
        </w:rPr>
        <w:t>的闭环赋能，助力学生在真实岗位情境中全面积累实战经验，实现从专业认知到职业资格获取的高效衔接。</w:t>
      </w:r>
    </w:p>
    <w:p w14:paraId="72DA975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b/>
          <w:bCs/>
          <w:sz w:val="28"/>
          <w:szCs w:val="28"/>
        </w:rPr>
      </w:pPr>
      <w:r>
        <w:rPr>
          <w:rFonts w:hint="eastAsia"/>
          <w:b/>
          <w:bCs/>
          <w:sz w:val="28"/>
          <w:szCs w:val="28"/>
        </w:rPr>
        <w:t>（二）聚焦税务系统公职能力提升，夯实公共管理岗位素养</w:t>
      </w:r>
    </w:p>
    <w:p w14:paraId="5F61507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针对学生未来报考税务系统及相关政府部门的发展规划，实验班注重在日常培养中前置化融入公职岗位的综合能力要求，全力为学生的考公之路做好素质</w:t>
      </w:r>
      <w:r>
        <w:rPr>
          <w:rFonts w:hint="eastAsia"/>
          <w:sz w:val="28"/>
          <w:szCs w:val="28"/>
          <w:lang w:eastAsia="zh-CN"/>
        </w:rPr>
        <w:t>储备</w:t>
      </w:r>
      <w:r>
        <w:rPr>
          <w:rFonts w:hint="eastAsia"/>
          <w:sz w:val="28"/>
          <w:szCs w:val="28"/>
        </w:rPr>
        <w:t>。</w:t>
      </w:r>
      <w:r>
        <w:rPr>
          <w:rFonts w:hint="eastAsia"/>
          <w:b/>
          <w:bCs/>
          <w:sz w:val="28"/>
          <w:szCs w:val="28"/>
          <w:lang w:eastAsia="zh-CN"/>
        </w:rPr>
        <w:t>通过邀请</w:t>
      </w:r>
      <w:r>
        <w:rPr>
          <w:rFonts w:hint="eastAsia"/>
          <w:b/>
          <w:bCs/>
          <w:sz w:val="28"/>
          <w:szCs w:val="28"/>
        </w:rPr>
        <w:t>税务机关一线业务骨干开展专题讲座</w:t>
      </w:r>
      <w:r>
        <w:rPr>
          <w:rFonts w:hint="eastAsia"/>
          <w:b/>
          <w:bCs/>
          <w:sz w:val="28"/>
          <w:szCs w:val="28"/>
          <w:lang w:eastAsia="zh-CN"/>
        </w:rPr>
        <w:t>、</w:t>
      </w:r>
      <w:r>
        <w:rPr>
          <w:rFonts w:hint="eastAsia"/>
          <w:b/>
          <w:bCs/>
          <w:sz w:val="28"/>
          <w:szCs w:val="28"/>
          <w:lang w:val="en-US" w:eastAsia="zh-CN"/>
        </w:rPr>
        <w:t>系统授课等方式</w:t>
      </w:r>
      <w:r>
        <w:rPr>
          <w:rFonts w:hint="eastAsia"/>
          <w:b/>
          <w:bCs/>
          <w:sz w:val="28"/>
          <w:szCs w:val="28"/>
        </w:rPr>
        <w:t>，</w:t>
      </w:r>
      <w:r>
        <w:rPr>
          <w:rFonts w:hint="eastAsia"/>
          <w:sz w:val="28"/>
          <w:szCs w:val="28"/>
        </w:rPr>
        <w:t>帮助学生深入了解最新税收征管改革动态、基层执法规范及公共服务工作流程。此外，实验班积极拓展税务系统相关的实践平台，</w:t>
      </w:r>
      <w:r>
        <w:rPr>
          <w:rFonts w:hint="eastAsia"/>
          <w:sz w:val="28"/>
          <w:szCs w:val="28"/>
          <w:lang w:val="en-US" w:eastAsia="zh-CN"/>
        </w:rPr>
        <w:t>定期</w:t>
      </w:r>
      <w:r>
        <w:rPr>
          <w:rFonts w:hint="eastAsia"/>
          <w:sz w:val="28"/>
          <w:szCs w:val="28"/>
        </w:rPr>
        <w:t>组织学生</w:t>
      </w:r>
      <w:r>
        <w:rPr>
          <w:rFonts w:hint="eastAsia"/>
          <w:b/>
          <w:bCs/>
          <w:sz w:val="28"/>
          <w:szCs w:val="28"/>
          <w:lang w:val="en-US" w:eastAsia="zh-CN"/>
        </w:rPr>
        <w:t>全流程</w:t>
      </w:r>
      <w:r>
        <w:rPr>
          <w:rFonts w:hint="eastAsia"/>
          <w:b/>
          <w:bCs/>
          <w:sz w:val="28"/>
          <w:szCs w:val="28"/>
        </w:rPr>
        <w:t>参与</w:t>
      </w:r>
      <w:r>
        <w:rPr>
          <w:rFonts w:hint="eastAsia"/>
          <w:b/>
          <w:bCs/>
          <w:sz w:val="28"/>
          <w:szCs w:val="28"/>
          <w:lang w:val="en-US" w:eastAsia="zh-CN"/>
        </w:rPr>
        <w:t>一线税务管理实习实践</w:t>
      </w:r>
      <w:r>
        <w:rPr>
          <w:rFonts w:hint="eastAsia"/>
          <w:sz w:val="28"/>
          <w:szCs w:val="28"/>
          <w:lang w:val="en-US" w:eastAsia="zh-CN"/>
        </w:rPr>
        <w:t>活动</w:t>
      </w:r>
      <w:r>
        <w:rPr>
          <w:rFonts w:hint="eastAsia"/>
          <w:sz w:val="28"/>
          <w:szCs w:val="28"/>
        </w:rPr>
        <w:t>，全方位锻炼其</w:t>
      </w:r>
      <w:r>
        <w:rPr>
          <w:rFonts w:hint="eastAsia"/>
          <w:sz w:val="28"/>
          <w:szCs w:val="28"/>
          <w:lang w:val="en-US" w:eastAsia="zh-CN"/>
        </w:rPr>
        <w:t>税收</w:t>
      </w:r>
      <w:r>
        <w:rPr>
          <w:rFonts w:hint="eastAsia"/>
          <w:sz w:val="28"/>
          <w:szCs w:val="28"/>
        </w:rPr>
        <w:t>政策研判、</w:t>
      </w:r>
      <w:r>
        <w:rPr>
          <w:rFonts w:hint="eastAsia"/>
          <w:sz w:val="28"/>
          <w:szCs w:val="28"/>
          <w:lang w:val="en-US" w:eastAsia="zh-CN"/>
        </w:rPr>
        <w:t>税款征缴流程和纳税服务沟通等专业核心</w:t>
      </w:r>
      <w:r>
        <w:rPr>
          <w:rFonts w:hint="eastAsia"/>
          <w:sz w:val="28"/>
          <w:szCs w:val="28"/>
        </w:rPr>
        <w:t>能力，切实增强学生</w:t>
      </w:r>
      <w:r>
        <w:rPr>
          <w:rFonts w:hint="eastAsia"/>
          <w:sz w:val="28"/>
          <w:szCs w:val="28"/>
          <w:lang w:val="en-US" w:eastAsia="zh-CN"/>
        </w:rPr>
        <w:t>税收</w:t>
      </w:r>
      <w:r>
        <w:rPr>
          <w:rFonts w:hint="eastAsia"/>
          <w:sz w:val="28"/>
          <w:szCs w:val="28"/>
        </w:rPr>
        <w:t>公共事务管理素养，为其未来参与公职类选拔考试及胜任国家财税公共管理岗位打下坚实基础。</w:t>
      </w:r>
    </w:p>
    <w:p w14:paraId="0E2EDE60">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b/>
          <w:bCs/>
          <w:sz w:val="28"/>
          <w:szCs w:val="28"/>
        </w:rPr>
      </w:pPr>
      <w:r>
        <w:rPr>
          <w:rFonts w:hint="eastAsia"/>
          <w:b/>
          <w:bCs/>
          <w:sz w:val="28"/>
          <w:szCs w:val="28"/>
        </w:rPr>
        <w:t>（三）聚焦税务专硕升学深造，提升学术水平与升学竞争力</w:t>
      </w:r>
    </w:p>
    <w:p w14:paraId="27E7F9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lang w:val="en-US" w:eastAsia="zh-CN"/>
        </w:rPr>
      </w:pPr>
      <w:r>
        <w:rPr>
          <w:rFonts w:hint="eastAsia"/>
          <w:sz w:val="28"/>
          <w:szCs w:val="28"/>
        </w:rPr>
        <w:t>为满足学生攻读</w:t>
      </w:r>
      <w:r>
        <w:rPr>
          <w:rFonts w:hint="eastAsia"/>
          <w:sz w:val="28"/>
          <w:szCs w:val="28"/>
          <w:lang w:eastAsia="zh-CN"/>
        </w:rPr>
        <w:t>税务专硕</w:t>
      </w:r>
      <w:r>
        <w:rPr>
          <w:rFonts w:hint="eastAsia"/>
          <w:sz w:val="28"/>
          <w:szCs w:val="28"/>
        </w:rPr>
        <w:t>及相关财经类研究生的发展需求，实验班着力打造高起点、高标准的学术支持平台。依托学院优质师资力量，系统强化学生在财税理论、经济学及专业写作等方面的核心学术根基。</w:t>
      </w:r>
      <w:r>
        <w:rPr>
          <w:rFonts w:hint="eastAsia"/>
          <w:b/>
          <w:bCs/>
          <w:sz w:val="28"/>
          <w:szCs w:val="28"/>
        </w:rPr>
        <w:t>积极引入国内知名高校的权威专家学者开展前沿学术讲座与深度交流，</w:t>
      </w:r>
      <w:r>
        <w:rPr>
          <w:rFonts w:hint="eastAsia"/>
          <w:sz w:val="28"/>
          <w:szCs w:val="28"/>
        </w:rPr>
        <w:t>拓宽学生学术视野</w:t>
      </w:r>
      <w:r>
        <w:rPr>
          <w:rFonts w:hint="eastAsia"/>
          <w:sz w:val="28"/>
          <w:szCs w:val="28"/>
          <w:lang w:val="en-US" w:eastAsia="zh-CN"/>
        </w:rPr>
        <w:t>提升</w:t>
      </w:r>
      <w:r>
        <w:rPr>
          <w:rFonts w:hint="eastAsia"/>
          <w:sz w:val="28"/>
          <w:szCs w:val="28"/>
        </w:rPr>
        <w:t>专业</w:t>
      </w:r>
      <w:r>
        <w:rPr>
          <w:rFonts w:hint="eastAsia"/>
          <w:sz w:val="28"/>
          <w:szCs w:val="28"/>
          <w:lang w:val="en-US" w:eastAsia="zh-CN"/>
        </w:rPr>
        <w:t>素养</w:t>
      </w:r>
      <w:r>
        <w:rPr>
          <w:rFonts w:hint="eastAsia"/>
          <w:sz w:val="28"/>
          <w:szCs w:val="28"/>
        </w:rPr>
        <w:t>。结合“学业班主任+专业导师”的双导师机制，实验班为有志于继续深造的学生提供涵盖院校报考规划、专业课复习建议及学术论文训练的全过程精细化指导，助力学生在激烈升学竞争中积累底气与优势。</w:t>
      </w:r>
      <w:r>
        <w:rPr>
          <w:rFonts w:hint="eastAsia"/>
          <w:sz w:val="28"/>
          <w:szCs w:val="28"/>
          <w:lang w:val="en-US" w:eastAsia="zh-CN"/>
        </w:rPr>
        <w:t>同时帮助学生开阔国际视野、拓展职业边界。</w:t>
      </w:r>
      <w:r>
        <w:rPr>
          <w:rFonts w:hint="eastAsia"/>
          <w:b/>
          <w:bCs/>
          <w:sz w:val="28"/>
          <w:szCs w:val="28"/>
          <w:lang w:val="en-US" w:eastAsia="zh-CN"/>
        </w:rPr>
        <w:t>每年选拔优秀学生赴韩瑞大学、世宗大学、科克大学等国际知名高校，</w:t>
      </w:r>
      <w:r>
        <w:rPr>
          <w:rFonts w:hint="eastAsia"/>
          <w:sz w:val="28"/>
          <w:szCs w:val="28"/>
          <w:lang w:val="en-US" w:eastAsia="zh-CN"/>
        </w:rPr>
        <w:t>开展交流学习、联合培养或参与国际学术会议，提升国际就业竞争力。</w:t>
      </w:r>
    </w:p>
    <w:p w14:paraId="516D372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三、遴选机制</w:t>
      </w:r>
    </w:p>
    <w:p w14:paraId="5848D4E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lang w:val="en-US" w:eastAsia="zh-CN"/>
        </w:rPr>
      </w:pPr>
      <w:r>
        <w:rPr>
          <w:rFonts w:hint="eastAsia"/>
          <w:sz w:val="28"/>
          <w:szCs w:val="28"/>
        </w:rPr>
        <w:t>实验班遴选面向全校本科一年级学生（不含财政学类专业，该专业将在专业类内分流阶段组织遴选）。报名学生需满足思想品德端正、遵纪守法，入校以来无任何违纪处分记录；对财税专业具有浓厚兴趣，综合素养高且具备较大发展潜力；入学以来学习成绩优良，所修读课程无不及格情况，且第一学期须修读数学类课程等基本条件。选拔工作坚持“公开、公平、公正”的原则，计划遴选</w:t>
      </w:r>
      <w:r>
        <w:rPr>
          <w:rFonts w:hint="eastAsia"/>
          <w:sz w:val="28"/>
          <w:szCs w:val="28"/>
          <w:lang w:val="en-US" w:eastAsia="zh-CN"/>
        </w:rPr>
        <w:t>20</w:t>
      </w:r>
      <w:r>
        <w:rPr>
          <w:rFonts w:hint="eastAsia"/>
          <w:sz w:val="28"/>
          <w:szCs w:val="28"/>
        </w:rPr>
        <w:t>人。具体按平均学分绩点择优录取；若最后一名平均学分绩点相同，则依次参考数学</w:t>
      </w:r>
      <w:r>
        <w:rPr>
          <w:rFonts w:hint="eastAsia"/>
          <w:sz w:val="28"/>
          <w:szCs w:val="28"/>
          <w:lang w:val="en-US" w:eastAsia="zh-CN"/>
        </w:rPr>
        <w:t>类</w:t>
      </w:r>
      <w:r>
        <w:rPr>
          <w:rFonts w:hint="eastAsia"/>
          <w:sz w:val="28"/>
          <w:szCs w:val="28"/>
        </w:rPr>
        <w:t>、外语类及专业课等核心科目期末考试成绩排序择优录取，分数相同者数学成绩高者优先入选。</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embedRegular r:id="rId1" w:fontKey="{F54E0E6B-0D3A-4659-B994-DF088BF6CE20}"/>
  </w:font>
  <w:font w:name="方正小标宋_GBK">
    <w:panose1 w:val="03000509000000000000"/>
    <w:charset w:val="86"/>
    <w:family w:val="auto"/>
    <w:pitch w:val="default"/>
    <w:sig w:usb0="00000001" w:usb1="080E0000" w:usb2="00000000" w:usb3="00000000" w:csb0="00040000" w:csb1="00000000"/>
    <w:embedRegular r:id="rId2" w:fontKey="{65D11640-072C-4066-A332-73482730808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YjQ4MzQ2ZGU1ZjYwYjYyYzA5ZDZkMjg1YWZkYzIifQ=="/>
  </w:docVars>
  <w:rsids>
    <w:rsidRoot w:val="00F01B3F"/>
    <w:rsid w:val="00065626"/>
    <w:rsid w:val="006B68CA"/>
    <w:rsid w:val="009A015D"/>
    <w:rsid w:val="00C47F97"/>
    <w:rsid w:val="00CB1160"/>
    <w:rsid w:val="00E77BA4"/>
    <w:rsid w:val="00F01B3F"/>
    <w:rsid w:val="0103164E"/>
    <w:rsid w:val="029C4700"/>
    <w:rsid w:val="02DA018C"/>
    <w:rsid w:val="03333F88"/>
    <w:rsid w:val="037C446B"/>
    <w:rsid w:val="03CF274B"/>
    <w:rsid w:val="05C01001"/>
    <w:rsid w:val="061A5F76"/>
    <w:rsid w:val="0621683D"/>
    <w:rsid w:val="06956707"/>
    <w:rsid w:val="08903994"/>
    <w:rsid w:val="08DA732A"/>
    <w:rsid w:val="08E657D7"/>
    <w:rsid w:val="08E71A93"/>
    <w:rsid w:val="09596EEE"/>
    <w:rsid w:val="09C66894"/>
    <w:rsid w:val="0C8721DD"/>
    <w:rsid w:val="0CB1103A"/>
    <w:rsid w:val="0E3E38B3"/>
    <w:rsid w:val="0EC0481A"/>
    <w:rsid w:val="0F2C631A"/>
    <w:rsid w:val="0F533896"/>
    <w:rsid w:val="0FD50701"/>
    <w:rsid w:val="0FD77671"/>
    <w:rsid w:val="0FF27E3E"/>
    <w:rsid w:val="10563548"/>
    <w:rsid w:val="117F087D"/>
    <w:rsid w:val="128679E9"/>
    <w:rsid w:val="146135DC"/>
    <w:rsid w:val="15C972A1"/>
    <w:rsid w:val="15F5590C"/>
    <w:rsid w:val="15F829AC"/>
    <w:rsid w:val="185D743E"/>
    <w:rsid w:val="199302EE"/>
    <w:rsid w:val="1A675C0A"/>
    <w:rsid w:val="1B293607"/>
    <w:rsid w:val="1B846700"/>
    <w:rsid w:val="1C471391"/>
    <w:rsid w:val="1CE53EA4"/>
    <w:rsid w:val="1CFF1CA6"/>
    <w:rsid w:val="1DDC37F8"/>
    <w:rsid w:val="1E301B9F"/>
    <w:rsid w:val="21E47038"/>
    <w:rsid w:val="22BF5FA2"/>
    <w:rsid w:val="24CC3123"/>
    <w:rsid w:val="265B5E78"/>
    <w:rsid w:val="26CE158A"/>
    <w:rsid w:val="275F50C5"/>
    <w:rsid w:val="28F34981"/>
    <w:rsid w:val="294B6D27"/>
    <w:rsid w:val="2B9E22C0"/>
    <w:rsid w:val="2BEA6DA9"/>
    <w:rsid w:val="2CAB2CBA"/>
    <w:rsid w:val="2CB20151"/>
    <w:rsid w:val="2D391DD0"/>
    <w:rsid w:val="31064845"/>
    <w:rsid w:val="31D855AA"/>
    <w:rsid w:val="33590AD6"/>
    <w:rsid w:val="338278F5"/>
    <w:rsid w:val="33DF7028"/>
    <w:rsid w:val="34A22009"/>
    <w:rsid w:val="34F34F5A"/>
    <w:rsid w:val="35690D78"/>
    <w:rsid w:val="35E03525"/>
    <w:rsid w:val="36C31032"/>
    <w:rsid w:val="37503410"/>
    <w:rsid w:val="378239DB"/>
    <w:rsid w:val="38092FA0"/>
    <w:rsid w:val="39BE76C4"/>
    <w:rsid w:val="39D22F86"/>
    <w:rsid w:val="3E78202C"/>
    <w:rsid w:val="3FE32655"/>
    <w:rsid w:val="4070745F"/>
    <w:rsid w:val="4172782E"/>
    <w:rsid w:val="41944181"/>
    <w:rsid w:val="42B85881"/>
    <w:rsid w:val="44FF7003"/>
    <w:rsid w:val="45206B18"/>
    <w:rsid w:val="458F1EDD"/>
    <w:rsid w:val="4710374A"/>
    <w:rsid w:val="47195DE5"/>
    <w:rsid w:val="476F66C2"/>
    <w:rsid w:val="47754965"/>
    <w:rsid w:val="47E776D0"/>
    <w:rsid w:val="485122BC"/>
    <w:rsid w:val="49833AAB"/>
    <w:rsid w:val="4C04100F"/>
    <w:rsid w:val="4C2630C7"/>
    <w:rsid w:val="4CDD630E"/>
    <w:rsid w:val="4D697710"/>
    <w:rsid w:val="4EFA7BA9"/>
    <w:rsid w:val="4F1369E4"/>
    <w:rsid w:val="50143103"/>
    <w:rsid w:val="503B7548"/>
    <w:rsid w:val="5099207B"/>
    <w:rsid w:val="50D92763"/>
    <w:rsid w:val="5130769A"/>
    <w:rsid w:val="54C8216A"/>
    <w:rsid w:val="551F36D7"/>
    <w:rsid w:val="552503C0"/>
    <w:rsid w:val="565928AA"/>
    <w:rsid w:val="57F549C2"/>
    <w:rsid w:val="58705DF6"/>
    <w:rsid w:val="59673956"/>
    <w:rsid w:val="5A0E5487"/>
    <w:rsid w:val="5B286052"/>
    <w:rsid w:val="5D205439"/>
    <w:rsid w:val="5D595968"/>
    <w:rsid w:val="5DA54B0D"/>
    <w:rsid w:val="5EA427D2"/>
    <w:rsid w:val="5F274809"/>
    <w:rsid w:val="5F285532"/>
    <w:rsid w:val="60D506B9"/>
    <w:rsid w:val="617C797D"/>
    <w:rsid w:val="62774B4D"/>
    <w:rsid w:val="62BB2364"/>
    <w:rsid w:val="63360693"/>
    <w:rsid w:val="63E671FE"/>
    <w:rsid w:val="65A214B6"/>
    <w:rsid w:val="65A25A5D"/>
    <w:rsid w:val="66A82BFF"/>
    <w:rsid w:val="671F55B7"/>
    <w:rsid w:val="672C7F92"/>
    <w:rsid w:val="68334A03"/>
    <w:rsid w:val="68670447"/>
    <w:rsid w:val="68803B16"/>
    <w:rsid w:val="68E83A82"/>
    <w:rsid w:val="69E55F18"/>
    <w:rsid w:val="6A832F9A"/>
    <w:rsid w:val="6D1C08BE"/>
    <w:rsid w:val="6D6D06FE"/>
    <w:rsid w:val="6F3B6D06"/>
    <w:rsid w:val="6FE4739E"/>
    <w:rsid w:val="6FF330B2"/>
    <w:rsid w:val="6FFE7D34"/>
    <w:rsid w:val="70396783"/>
    <w:rsid w:val="736D72FE"/>
    <w:rsid w:val="73854EDB"/>
    <w:rsid w:val="73AA26AC"/>
    <w:rsid w:val="73C22D32"/>
    <w:rsid w:val="75E575B3"/>
    <w:rsid w:val="78577961"/>
    <w:rsid w:val="788C05D2"/>
    <w:rsid w:val="7AC85369"/>
    <w:rsid w:val="7B6E3FBF"/>
    <w:rsid w:val="7C9E6B26"/>
    <w:rsid w:val="7CDD764F"/>
    <w:rsid w:val="7CDE0189"/>
    <w:rsid w:val="7EF943CA"/>
    <w:rsid w:val="7F282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qFormat/>
    <w:uiPriority w:val="0"/>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批注框文本 字符"/>
    <w:basedOn w:val="6"/>
    <w:link w:val="3"/>
    <w:qFormat/>
    <w:uiPriority w:val="0"/>
    <w:rPr>
      <w:rFonts w:asciiTheme="minorHAnsi" w:hAnsiTheme="minorHAnsi" w:eastAsiaTheme="minorEastAsia" w:cstheme="minorBidi"/>
      <w:kern w:val="2"/>
      <w:sz w:val="18"/>
      <w:szCs w:val="18"/>
    </w:rPr>
  </w:style>
  <w:style w:type="paragraph" w:customStyle="1" w:styleId="10">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1699</Words>
  <Characters>1704</Characters>
  <Lines>9</Lines>
  <Paragraphs>2</Paragraphs>
  <TotalTime>0</TotalTime>
  <ScaleCrop>false</ScaleCrop>
  <LinksUpToDate>false</LinksUpToDate>
  <CharactersWithSpaces>1704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2021-09-26T00:46:00Z</dcterms:created>
  <dc:creator>WYX</dc:creator>
  <cp:lastModifiedBy>Hati1413946047</cp:lastModifiedBy>
  <cp:lastPrinted>2026-03-25T06:19:00Z</cp:lastPrinted>
  <dcterms:modified xsi:type="dcterms:W3CDTF">2026-03-25T08:43:36Z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55A6EEA358E94DBDA3D4E7F620511A69_13</vt:lpwstr>
  </property>
  <property fmtid="{D5CDD505-2E9C-101B-9397-08002B2CF9AE}" pid="4" name="KSOTemplateDocerSaveRecord">
    <vt:lpwstr>eyJoZGlkIjoiNjA5YWIwMzFiMTQwOWJjMDliNWNlOWRkYTA5MTZkYWQiLCJ1c2VySWQiOiIyMzUxMzAwMyJ9</vt:lpwstr>
  </property>
</Properties>
</file>