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41E49">
      <w:pPr>
        <w:rPr>
          <w:rFonts w:hint="eastAsia"/>
          <w:lang w:val="en-US" w:eastAsia="zh-CN"/>
        </w:rPr>
      </w:pPr>
      <w:r>
        <w:drawing>
          <wp:inline distT="0" distB="0" distL="114300" distR="114300">
            <wp:extent cx="1558290" cy="314325"/>
            <wp:effectExtent l="0" t="0" r="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1558290" cy="314325"/>
                    </a:xfrm>
                    <a:prstGeom prst="rect">
                      <a:avLst/>
                    </a:prstGeom>
                    <a:noFill/>
                    <a:ln>
                      <a:noFill/>
                    </a:ln>
                  </pic:spPr>
                </pic:pic>
              </a:graphicData>
            </a:graphic>
          </wp:inline>
        </w:drawing>
      </w:r>
    </w:p>
    <w:p w14:paraId="047DBC5A">
      <w:pPr>
        <w:keepNext w:val="0"/>
        <w:keepLines w:val="0"/>
        <w:widowControl/>
        <w:suppressLineNumbers w:val="0"/>
        <w:jc w:val="center"/>
        <w:rPr>
          <w:rFonts w:hint="eastAsia" w:asciiTheme="majorEastAsia" w:hAnsiTheme="majorEastAsia" w:eastAsiaTheme="majorEastAsia" w:cstheme="majorEastAsia"/>
          <w:b/>
          <w:bCs/>
          <w:color w:val="000000"/>
          <w:kern w:val="0"/>
          <w:sz w:val="44"/>
          <w:szCs w:val="44"/>
          <w:lang w:val="en-US" w:eastAsia="zh-CN" w:bidi="ar"/>
        </w:rPr>
      </w:pPr>
      <w:r>
        <w:rPr>
          <w:rFonts w:hint="eastAsia" w:asciiTheme="majorEastAsia" w:hAnsiTheme="majorEastAsia" w:eastAsiaTheme="majorEastAsia" w:cstheme="majorEastAsia"/>
          <w:b/>
          <w:bCs/>
          <w:color w:val="000000"/>
          <w:kern w:val="0"/>
          <w:sz w:val="44"/>
          <w:szCs w:val="44"/>
          <w:lang w:val="en-US" w:eastAsia="zh-CN" w:bidi="ar"/>
        </w:rPr>
        <w:t>安徽财经大学工商管理学院</w:t>
      </w:r>
    </w:p>
    <w:p w14:paraId="09E3BF1B">
      <w:pPr>
        <w:keepNext w:val="0"/>
        <w:keepLines w:val="0"/>
        <w:widowControl/>
        <w:suppressLineNumbers w:val="0"/>
        <w:jc w:val="center"/>
        <w:rPr>
          <w:rFonts w:hint="default" w:asciiTheme="majorEastAsia" w:hAnsiTheme="majorEastAsia" w:eastAsiaTheme="majorEastAsia" w:cstheme="majorEastAsia"/>
          <w:b/>
          <w:bCs/>
          <w:color w:val="000000"/>
          <w:kern w:val="0"/>
          <w:sz w:val="44"/>
          <w:szCs w:val="44"/>
          <w:lang w:val="en-US" w:eastAsia="zh-CN" w:bidi="ar"/>
        </w:rPr>
      </w:pPr>
      <w:r>
        <w:rPr>
          <w:rFonts w:hint="eastAsia" w:asciiTheme="majorEastAsia" w:hAnsiTheme="majorEastAsia" w:eastAsiaTheme="majorEastAsia" w:cstheme="majorEastAsia"/>
          <w:b/>
          <w:bCs/>
          <w:color w:val="000000"/>
          <w:kern w:val="0"/>
          <w:sz w:val="44"/>
          <w:szCs w:val="44"/>
          <w:lang w:val="en-US" w:eastAsia="zh-CN" w:bidi="ar"/>
        </w:rPr>
        <w:t>工商管理（数智工商管理卓越班）简介</w:t>
      </w:r>
    </w:p>
    <w:p w14:paraId="5BD5AF28">
      <w:pPr>
        <w:pStyle w:val="8"/>
        <w:keepNext w:val="0"/>
        <w:keepLines w:val="0"/>
        <w:widowControl/>
        <w:numPr>
          <w:ilvl w:val="0"/>
          <w:numId w:val="0"/>
        </w:numPr>
        <w:suppressLineNumbers w:val="0"/>
        <w:spacing w:before="0" w:beforeAutospacing="0" w:after="0" w:afterAutospacing="0"/>
        <w:ind w:right="0" w:rightChars="0" w:firstLine="560" w:firstLineChars="200"/>
        <w:jc w:val="both"/>
        <w:rPr>
          <w:rFonts w:hint="eastAsia" w:ascii="Times New Roman" w:hAnsi="Times New Roman" w:eastAsia="宋体" w:cs="Times New Roman"/>
          <w:kern w:val="2"/>
          <w:sz w:val="28"/>
          <w:szCs w:val="28"/>
          <w:lang w:val="en-US" w:eastAsia="zh-CN" w:bidi="ar-SA"/>
        </w:rPr>
      </w:pPr>
    </w:p>
    <w:p w14:paraId="2A45A96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一、指导思想</w:t>
      </w:r>
    </w:p>
    <w:p w14:paraId="78D425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依据学校人才培养总体部署与发展要求，参照《安徽财经大学推荐优秀应届本科毕业生免试攻读硕士学位研究生工作实施办法》文件，以习近平新时代中国特色社会主义思想为指导，全面落实立德树人根本任务，紧扣新文科、数智化建设要求，秉持“厚植管理根基、强化数智赋能、突出创新引领、聚焦升学深造”的培养理念，面向专业分流设立数智工商管理卓越班（工商管理专业），采用小班化、项目制、导师制培养模式，打造面向学术深造与高端管理研究的精英人才。</w:t>
      </w:r>
    </w:p>
    <w:p w14:paraId="5CC279B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二、培养目标</w:t>
      </w:r>
    </w:p>
    <w:p w14:paraId="0EF8F0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主动对接国家数字经济与智能管理人才战略需求，系统培养扎实掌握现代工商管理理论、熟练运用数智分析与智能决策技术、具备较高科研素养与全球视野、立志攻读硕士、博士研究生的创新型、复合型、学术型拔尖人才。</w:t>
      </w:r>
    </w:p>
    <w:p w14:paraId="7D8AE22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三、培养要求</w:t>
      </w:r>
    </w:p>
    <w:p w14:paraId="36120759">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数智工商管理卓越班毕业生应扎实掌握现代工商管理核心理论与数智化分析应用技术，具备突出的科研素养与学术研究潜力，能够独立分析、研究数智化背景下的企业管理现实问题，多数毕业生将进入工商管理及相关学科研究生阶段学习，成为工商管理理论教学、研究或企业高端数智化管理的拔尖人才。</w:t>
      </w:r>
    </w:p>
    <w:p w14:paraId="3639BCFC">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本卓越班毕业生应获得以下几方面的知识和能力：</w:t>
      </w:r>
    </w:p>
    <w:p w14:paraId="3146E068">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1.具有良好的思想政治素质，树立正确的世界观、人生观、价值观，恪守学术诚信，具备良好的职业道德、服务社会的奉献精神以及高度的社会责任感，拥有良好的心理素质和较高的综合人文素养。</w:t>
      </w:r>
    </w:p>
    <w:p w14:paraId="058C0BBD">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2.掌握管理学、经济学相关领域的基本理论与核心知识，熟悉国家营商环境、企业发展相关政策及数智化转型发展现状，精准把握工商管理学科的理论前沿、数智化发展动向与行业实践趋势。</w:t>
      </w:r>
    </w:p>
    <w:p w14:paraId="76E8EC29">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掌握现代工商管理研究与实践的基本工具，具有扎实的数学、统计学理论基础，熟练掌握AI大模型、数据分析、智能建模等前沿数智分析技术，具备熟练的英语跨文化交际能力和计算机及商业智能工具等的操作应用能力。</w:t>
      </w:r>
    </w:p>
    <w:p w14:paraId="7CBFB699">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4.掌握工商管理学科规范的研究方法和手段，熟练运用文献检索、资料查询、数据挖掘的基本方法，能够独立开展前期调研与初步科研活动，具备实证分析、学术写作的基础能力。</w:t>
      </w:r>
    </w:p>
    <w:p w14:paraId="352337A6">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5.具有较强的社会适应能力与行业实践适配能力，拥有突出的自主学习能力、书面写作能力与语言表达能力，具备良好的人际关系和沟通协调能力、团队协作能力和一定程度的研究创新与数智化实践创新能力。</w:t>
      </w:r>
    </w:p>
    <w:p w14:paraId="4E9FD6D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四、培养特色</w:t>
      </w:r>
    </w:p>
    <w:p w14:paraId="5743597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lang w:val="en-US" w:eastAsia="zh-CN"/>
        </w:rPr>
      </w:pPr>
      <w:r>
        <w:rPr>
          <w:rFonts w:hint="eastAsia" w:ascii="Times New Roman" w:hAnsi="Times New Roman" w:eastAsia="宋体" w:cs="Times New Roman"/>
          <w:b/>
          <w:bCs/>
          <w:sz w:val="28"/>
          <w:szCs w:val="28"/>
          <w:lang w:val="en-US" w:eastAsia="zh-CN"/>
        </w:rPr>
        <w:t>1.小班制教学。</w:t>
      </w:r>
      <w:r>
        <w:rPr>
          <w:rFonts w:hint="eastAsia" w:ascii="宋体" w:hAnsi="宋体" w:eastAsia="宋体" w:cs="宋体"/>
          <w:sz w:val="28"/>
          <w:szCs w:val="28"/>
          <w:lang w:val="en-US" w:eastAsia="zh-CN"/>
        </w:rPr>
        <w:t>面向全校专业分流择优选拔30人，组建精英教学班级，配备由学院学科带头人、省级以上教学名师、资深教授及优秀青年骨干教师组成的专属教学团队，授课教师均具备博士学历、丰富的科研与教学经验，且深耕数智工商管理相关研究领域。采用探究式、研讨式、案例式课堂教学模式，推动师生高频互动，结合个性化学习规划与学业跟踪指导，精准挖掘学生科研潜力，培育提升其学术素养，打造具备扎实理论基础和初步科研能力的精英后备人才。</w:t>
      </w:r>
    </w:p>
    <w:p w14:paraId="4747813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lang w:val="en-US" w:eastAsia="zh-CN"/>
        </w:rPr>
      </w:pPr>
      <w:r>
        <w:rPr>
          <w:rFonts w:hint="eastAsia" w:ascii="Times New Roman" w:hAnsi="Times New Roman" w:eastAsia="宋体" w:cs="Times New Roman"/>
          <w:b/>
          <w:bCs/>
          <w:sz w:val="28"/>
          <w:szCs w:val="28"/>
          <w:lang w:val="en-US" w:eastAsia="zh-CN"/>
        </w:rPr>
        <w:t>2.项目驱动制。</w:t>
      </w:r>
      <w:r>
        <w:rPr>
          <w:rFonts w:hint="eastAsia" w:ascii="宋体" w:hAnsi="宋体" w:eastAsia="宋体" w:cs="宋体"/>
          <w:sz w:val="28"/>
          <w:szCs w:val="28"/>
          <w:lang w:val="en-US" w:eastAsia="zh-CN"/>
        </w:rPr>
        <w:t>实行“科研项目+大创项目+学术例会”全程驱动培养模式，每名学生需根据研究兴趣加入导师科研团队，参与国家级、省部级等各级科研课题研究，主动参与省级及以上学科竞赛，定期参加团队学术例会，开展研讨交流，以项目实践锤炼科研思维与实操能力。</w:t>
      </w:r>
    </w:p>
    <w:p w14:paraId="10C9E65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lang w:val="en-US" w:eastAsia="zh-CN"/>
        </w:rPr>
      </w:pPr>
      <w:r>
        <w:rPr>
          <w:rFonts w:hint="eastAsia" w:ascii="Times New Roman" w:hAnsi="Times New Roman" w:eastAsia="宋体" w:cs="Times New Roman"/>
          <w:b/>
          <w:bCs/>
          <w:sz w:val="28"/>
          <w:szCs w:val="28"/>
          <w:lang w:val="en-US" w:eastAsia="zh-CN"/>
        </w:rPr>
        <w:t>3.一对一导师制。</w:t>
      </w:r>
      <w:r>
        <w:rPr>
          <w:rFonts w:hint="eastAsia" w:ascii="宋体" w:hAnsi="宋体" w:eastAsia="宋体" w:cs="宋体"/>
          <w:sz w:val="28"/>
          <w:szCs w:val="28"/>
          <w:lang w:val="en-US" w:eastAsia="zh-CN"/>
        </w:rPr>
        <w:t>组建由教授、副教授与优秀青年教师构成的专属导师组，为每位学生配备一对一学业科研导师，导师全程跟进学生培养过程，提供学业规划、课程选择、科研方法训练、学术论文撰写、升学深造规划等全流程、系统化专业指导，精准对接学生个性化发展需求，助力学生筑牢科研基础、明确学术方向。</w:t>
      </w:r>
    </w:p>
    <w:p w14:paraId="3413514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4.数智化赋能。</w:t>
      </w:r>
      <w:r>
        <w:rPr>
          <w:rFonts w:hint="eastAsia" w:ascii="Times New Roman" w:hAnsi="Times New Roman" w:eastAsia="宋体" w:cs="Times New Roman"/>
          <w:sz w:val="28"/>
          <w:szCs w:val="28"/>
          <w:lang w:val="en-US" w:eastAsia="zh-CN"/>
        </w:rPr>
        <w:t>核心课程深度融入大数据、人工智能、商业智能、数字营销、智能供应链、数智化运营管理等前沿内容，构建适配数字经济发展的课程体系；采用数智化应用场景实践教学模式，依托学校数智化实验室、企业实践基地，将数智分析工具与工商管理实践深度结合，强化学生理论知识向数智化实践能力的转化，培养学生数据驱动的管理决策思维。</w:t>
      </w:r>
    </w:p>
    <w:p w14:paraId="3D4CB41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5.国际化提升。</w:t>
      </w:r>
      <w:r>
        <w:rPr>
          <w:rFonts w:hint="eastAsia" w:ascii="Times New Roman" w:hAnsi="Times New Roman" w:eastAsia="宋体" w:cs="Times New Roman"/>
          <w:sz w:val="28"/>
          <w:szCs w:val="28"/>
          <w:lang w:val="en-US" w:eastAsia="zh-CN"/>
        </w:rPr>
        <w:t>部分课程实行双语教学，引入国际前沿教材与教学案例，培养学生跨文化学术交流与专业应用能力；加强与海外知名高校的合作联动，优先推荐卓越班学生参与海外高校交换学习、国际学术会议、海外名校研学等项目，拓宽学生全球视野，接轨国际工商管理研究与实践前沿。</w:t>
      </w:r>
    </w:p>
    <w:p w14:paraId="2494D46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6.精英化升学导向。</w:t>
      </w:r>
      <w:r>
        <w:rPr>
          <w:rFonts w:hint="eastAsia" w:ascii="Times New Roman" w:hAnsi="Times New Roman" w:eastAsia="宋体" w:cs="Times New Roman"/>
          <w:sz w:val="28"/>
          <w:szCs w:val="28"/>
          <w:lang w:val="en-US" w:eastAsia="zh-CN"/>
        </w:rPr>
        <w:t>以考研、保研、申博为核心培养目标，全程为学生制定个性化学术深造规划；通过强化科研方法训练、学术成果产出、考研专项辅导、保研政策解读与材料指导等举措，系统性提升学生学术应试能力与科研竞争力；搭建升学交流平台，邀请优秀学长学姐、研究生导师开展经验分享，为学生后续学术深造奠定扎实基础。</w:t>
      </w:r>
    </w:p>
    <w:p w14:paraId="2E561B4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五、选拔方案</w:t>
      </w:r>
    </w:p>
    <w:p w14:paraId="09E7DFA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1.选拔对象与规模</w:t>
      </w:r>
    </w:p>
    <w:p w14:paraId="7D999F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选拔对象：面向全校各专业大一本科生，不限原专业背景，鼓励跨学科有科研潜力的学生报名。</w:t>
      </w:r>
    </w:p>
    <w:p w14:paraId="39D974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选拔规模：每年定额选拔30人，遵循“自愿报名、综合考评、择优录取、宁缺毋滥”原则，组建精英培养班级。</w:t>
      </w:r>
    </w:p>
    <w:p w14:paraId="7787BE0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2.选拔条件</w:t>
      </w:r>
    </w:p>
    <w:p w14:paraId="3335AE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（1）思想政治素质良好，遵纪守法，品行端正，无任何违纪违规、学术不端记录，具备良好的团结协作精神和集体荣誉感。</w:t>
      </w:r>
    </w:p>
    <w:p w14:paraId="03324D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（2）对工商管理学科及数智化管理领域具有浓厚兴趣，拥有强烈的求知欲、创新意识和科研探索意愿，立志攻读硕士、博士研究生并从事学术研究或高端数智化管理相关工作。</w:t>
      </w:r>
    </w:p>
    <w:p w14:paraId="562118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（3）学业基础扎实，大一第一学期在读期间所有课程考试（考核）均合格，数学、英语学科成绩突出，具备较强的数理逻辑思维和英语读写交流能力。</w:t>
      </w:r>
    </w:p>
    <w:p w14:paraId="756ADB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（4）具备一定的自主学习能力、逻辑表达能力和问题分析能力，拥有潜在的学术研究和数智化实践应用能力，能积极配合卓越班的精英化培养要求，遵守各项培养管理规定。</w:t>
      </w:r>
    </w:p>
    <w:p w14:paraId="455B226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3.选拔流程</w:t>
      </w:r>
    </w:p>
    <w:p w14:paraId="152269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（1）宣传宣讲：学院通过官网、官方公众号、全校各院系通知、线下专场宣讲会等多渠道发布选拔通知及实施方案，建立卓越班招生专属QQ群，及时解答学生报名疑问，保障信息传递全覆盖。</w:t>
      </w:r>
    </w:p>
    <w:p w14:paraId="0347DE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（2）自愿报名：符合选拔条件的学生在学校专业分流截止时间内，在学校专业分流网站上提交申请。</w:t>
      </w:r>
    </w:p>
    <w:p w14:paraId="28F011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（3）资格审查：学院组建选拔导师组，对报名学生的材料进行严格审核，核实报名信息、学业成绩及相关材料的真实性，筛选出符合基本选拔条件的学生进入面试环节，并在学院官网公示面试名单。</w:t>
      </w:r>
    </w:p>
    <w:p w14:paraId="783174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（4）综合面试：导师组围绕“基础能力+科研潜力+适配性”核心考查原则，对入围学生进行一对一结构化面试，面试全程记录、公平公正。</w:t>
      </w:r>
    </w:p>
    <w:p w14:paraId="5842EB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5）公示录取：导师组依据总成绩排名确定拟录取学生名单，于学院官网进行不少于3个工作日的公示，公示期间接受全校师生的监督。若对公示名单存有异议，可在公示期内通过指定渠道反馈，导师组会对有异议的名单进行复核。公示无异议后，正式公布录取名单，学生将编入数智工商管理卓越班开展培养工作。</w:t>
      </w:r>
    </w:p>
    <w:p w14:paraId="40E75DD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4.录取规则</w:t>
      </w:r>
    </w:p>
    <w:p w14:paraId="42CC6A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（1）总成绩核算：总成绩=大一秋季学期学业绩点×70%+综合面试成绩×30%，面试成绩满分100分，总成绩按百分制核算并从高到低排名。</w:t>
      </w:r>
    </w:p>
    <w:p w14:paraId="75083E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2）面试考核要求：学生需自备纸质版个人简历、完整学业成绩单及相关证明材料；面试内容包括个人自我介绍（含学习经历、科研兴趣、升学规划等）3-5分钟，导师提问答辩（重点考查数理基础、英语能力、科研认知、问题分析能力及与卓越班培养的适配性）。</w:t>
      </w:r>
    </w:p>
    <w:p w14:paraId="79B523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3）择优录取原则：导师组根据总成绩排名依次录取，若出现总成绩并列情况，优先录取面试成绩较高者；若面试成绩仍并列，则依次按照微积分（上）、英语精读1、英语听说1、专业课等科目期末考试成绩排序择优录取。</w:t>
      </w:r>
    </w:p>
    <w:p w14:paraId="0264D74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5.退出机制</w:t>
      </w:r>
    </w:p>
    <w:p w14:paraId="1CE70F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自愿退出：二年级秋季学期结束前，学生因个人学业规划、能力适配等原因申请退出的，需提交书面退出申请及相关说明材料，经学院审核，下一学期可转回工商管理专业普通班继续学习，退出后不得再次申请加入。</w:t>
      </w:r>
    </w:p>
    <w:p w14:paraId="5B1B97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（2）退出限制：二年级春季学期开始，无论何种原因，均不再接受学生的退出申请，确保卓越班培养的连续性和系统性，学生需按要求完成后续全部培养环节。</w:t>
      </w:r>
    </w:p>
    <w:p w14:paraId="55BD3E8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六、责任与义务</w:t>
      </w:r>
    </w:p>
    <w:p w14:paraId="34C0DF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卓越</w:t>
      </w:r>
      <w:r>
        <w:rPr>
          <w:rFonts w:hint="default" w:ascii="Times New Roman" w:hAnsi="Times New Roman" w:eastAsia="宋体" w:cs="Times New Roman"/>
          <w:sz w:val="28"/>
          <w:szCs w:val="28"/>
          <w:lang w:val="en-US" w:eastAsia="zh-CN"/>
        </w:rPr>
        <w:t>班学生作为数智工商管理领域精英培养对象，需严格遵守学校及学院各项规章制度，主动履行学业、科研与培养相关各项责任义务，具体要求如下：</w:t>
      </w:r>
    </w:p>
    <w:p w14:paraId="74BC9C2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1.</w:t>
      </w:r>
      <w:r>
        <w:rPr>
          <w:rFonts w:hint="default" w:ascii="Times New Roman" w:hAnsi="Times New Roman" w:eastAsia="宋体" w:cs="Times New Roman"/>
          <w:b/>
          <w:bCs/>
          <w:sz w:val="28"/>
          <w:szCs w:val="28"/>
          <w:lang w:val="en-US" w:eastAsia="zh-CN"/>
        </w:rPr>
        <w:t>科研项目参与责任</w:t>
      </w:r>
      <w:r>
        <w:rPr>
          <w:rFonts w:hint="eastAsia" w:ascii="Times New Roman" w:hAnsi="Times New Roman" w:eastAsia="宋体" w:cs="Times New Roman"/>
          <w:b/>
          <w:bCs/>
          <w:sz w:val="28"/>
          <w:szCs w:val="28"/>
          <w:lang w:val="en-US" w:eastAsia="zh-CN"/>
        </w:rPr>
        <w:t>。</w:t>
      </w:r>
      <w:r>
        <w:rPr>
          <w:rFonts w:hint="eastAsia" w:ascii="Times New Roman" w:hAnsi="Times New Roman" w:eastAsia="宋体" w:cs="Times New Roman"/>
          <w:sz w:val="28"/>
          <w:szCs w:val="28"/>
          <w:lang w:val="en-US" w:eastAsia="zh-CN"/>
        </w:rPr>
        <w:t>在校期间至少参与1项“大学生创新创业训练项目”，或1项校级本科生科研创新项目，</w:t>
      </w:r>
      <w:r>
        <w:rPr>
          <w:rFonts w:hint="default" w:ascii="Times New Roman" w:hAnsi="Times New Roman" w:eastAsia="宋体" w:cs="Times New Roman"/>
          <w:sz w:val="28"/>
          <w:szCs w:val="28"/>
          <w:lang w:val="en-US" w:eastAsia="zh-CN"/>
        </w:rPr>
        <w:t>确保完成规定的科研实践训练任务。</w:t>
      </w:r>
    </w:p>
    <w:p w14:paraId="04FFB95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2.</w:t>
      </w:r>
      <w:r>
        <w:rPr>
          <w:rFonts w:hint="default" w:ascii="Times New Roman" w:hAnsi="Times New Roman" w:eastAsia="宋体" w:cs="Times New Roman"/>
          <w:b/>
          <w:bCs/>
          <w:sz w:val="28"/>
          <w:szCs w:val="28"/>
          <w:lang w:val="en-US" w:eastAsia="zh-CN"/>
        </w:rPr>
        <w:t>学术训练参与义务</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全程按时参加导师组组织的科研训练、学术例会、专题研讨等各类学术活动，无特殊情况不得缺勤、迟到、早退；缺勤次数达到规定上限的，按相关规定处理。主动接受导师的学业、科研指导，定期向导师汇报学习进展与科研成果，力争在校期间以第一作者身份发表与专业相关的学术论文。</w:t>
      </w:r>
    </w:p>
    <w:p w14:paraId="55AAF1E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3.</w:t>
      </w:r>
      <w:r>
        <w:rPr>
          <w:rFonts w:hint="default" w:ascii="Times New Roman" w:hAnsi="Times New Roman" w:eastAsia="宋体" w:cs="Times New Roman"/>
          <w:b/>
          <w:bCs/>
          <w:sz w:val="28"/>
          <w:szCs w:val="28"/>
          <w:lang w:val="en-US" w:eastAsia="zh-CN"/>
        </w:rPr>
        <w:t>升学深造核心义务</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始终以学术深造为核心目标，必须参与保研、考研或海外名校申硕，不得中途放弃升学规划；在校期间需按导师要求完成升学专项准备，包括考研科目系统复习、保研材料筹备、海外申请背景提升等，学院将对升学进展进行跟踪考核。</w:t>
      </w:r>
    </w:p>
    <w:p w14:paraId="23BC0E6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4.</w:t>
      </w:r>
      <w:r>
        <w:rPr>
          <w:rFonts w:hint="default" w:ascii="Times New Roman" w:hAnsi="Times New Roman" w:eastAsia="宋体" w:cs="Times New Roman"/>
          <w:b/>
          <w:bCs/>
          <w:sz w:val="28"/>
          <w:szCs w:val="28"/>
          <w:lang w:val="en-US" w:eastAsia="zh-CN"/>
        </w:rPr>
        <w:t>学科竞赛与实践义务</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积极参与与数智工商管理、大数据分析、企业管理创新相关的省级及以上学科竞赛、专业实践与学术交流活动</w:t>
      </w:r>
      <w:r>
        <w:rPr>
          <w:rFonts w:hint="eastAsia" w:ascii="Times New Roman" w:hAnsi="Times New Roman" w:eastAsia="宋体" w:cs="Times New Roman"/>
          <w:sz w:val="28"/>
          <w:szCs w:val="28"/>
          <w:lang w:val="en-US" w:eastAsia="zh-CN"/>
        </w:rPr>
        <w:t>。</w:t>
      </w:r>
    </w:p>
    <w:p w14:paraId="25614D4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5.</w:t>
      </w:r>
      <w:r>
        <w:rPr>
          <w:rFonts w:hint="default" w:ascii="Times New Roman" w:hAnsi="Times New Roman" w:eastAsia="宋体" w:cs="Times New Roman"/>
          <w:b/>
          <w:bCs/>
          <w:sz w:val="28"/>
          <w:szCs w:val="28"/>
          <w:lang w:val="en-US" w:eastAsia="zh-CN"/>
        </w:rPr>
        <w:t>学术诚信与纪律义务</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恪守学术道德，严守学术诚信，严禁任何形式的学术不端行为；自觉维护</w:t>
      </w:r>
      <w:r>
        <w:rPr>
          <w:rFonts w:hint="eastAsia" w:ascii="Times New Roman" w:hAnsi="Times New Roman" w:eastAsia="宋体" w:cs="Times New Roman"/>
          <w:sz w:val="28"/>
          <w:szCs w:val="28"/>
          <w:lang w:val="en-US" w:eastAsia="zh-CN"/>
        </w:rPr>
        <w:t>卓越</w:t>
      </w:r>
      <w:r>
        <w:rPr>
          <w:rFonts w:hint="default" w:ascii="Times New Roman" w:hAnsi="Times New Roman" w:eastAsia="宋体" w:cs="Times New Roman"/>
          <w:sz w:val="28"/>
          <w:szCs w:val="28"/>
          <w:lang w:val="en-US" w:eastAsia="zh-CN"/>
        </w:rPr>
        <w:t>班集体荣誉，遵守班级管理规定，积极参与班级集体学习与科研协作活动，发挥团队协作精神，共同营造良好的学术研究氛围。</w:t>
      </w:r>
    </w:p>
    <w:p w14:paraId="7F2B989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6.</w:t>
      </w:r>
      <w:r>
        <w:rPr>
          <w:rFonts w:hint="default" w:ascii="Times New Roman" w:hAnsi="Times New Roman" w:eastAsia="宋体" w:cs="Times New Roman"/>
          <w:b/>
          <w:bCs/>
          <w:sz w:val="28"/>
          <w:szCs w:val="28"/>
          <w:lang w:val="en-US" w:eastAsia="zh-CN"/>
        </w:rPr>
        <w:t>培养要求执行义务</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严格按照</w:t>
      </w:r>
      <w:r>
        <w:rPr>
          <w:rFonts w:hint="eastAsia" w:ascii="Times New Roman" w:hAnsi="Times New Roman" w:eastAsia="宋体" w:cs="Times New Roman"/>
          <w:sz w:val="28"/>
          <w:szCs w:val="28"/>
          <w:lang w:val="en-US" w:eastAsia="zh-CN"/>
        </w:rPr>
        <w:t>卓越</w:t>
      </w:r>
      <w:r>
        <w:rPr>
          <w:rFonts w:hint="default" w:ascii="Times New Roman" w:hAnsi="Times New Roman" w:eastAsia="宋体" w:cs="Times New Roman"/>
          <w:sz w:val="28"/>
          <w:szCs w:val="28"/>
          <w:lang w:val="en-US" w:eastAsia="zh-CN"/>
        </w:rPr>
        <w:t>班培养方案完成课程学习、学分修读、实践教学等全部培养环节，保持优良学业成绩，无课程考核挂科情况；主动配合学院与导师开展的学业跟踪、科研考核等工作，按时提交各类科研成果与学习报告。</w:t>
      </w:r>
    </w:p>
    <w:p w14:paraId="09AB9B4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七、政策支持与激励</w:t>
      </w:r>
    </w:p>
    <w:p w14:paraId="4A8F92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为保障数智工商管理卓越班精英化、特色化培养工作顺利开展，充分激发学生科研创新与升学深造的积极性，学院为卓越班学生提供全方位、多层次的政策支持与激励保障，具体措施如下：</w:t>
      </w:r>
    </w:p>
    <w:p w14:paraId="33C38E5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1.</w:t>
      </w:r>
      <w:r>
        <w:rPr>
          <w:rFonts w:hint="default" w:ascii="Times New Roman" w:hAnsi="Times New Roman" w:eastAsia="宋体" w:cs="Times New Roman"/>
          <w:b/>
          <w:bCs/>
          <w:sz w:val="28"/>
          <w:szCs w:val="28"/>
          <w:lang w:val="en-US" w:eastAsia="zh-CN"/>
        </w:rPr>
        <w:t>专项经费保障</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设立数智工商管理卓越班建设专项经费，由学院统一管理、专款专用，重点支持学生参与科研训练、学科竞赛、学术交流、数智化实践、论文发表等活动，为学生学术研究与能力提升提供充足的经费支撑。</w:t>
      </w:r>
    </w:p>
    <w:p w14:paraId="70CB5B2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2.</w:t>
      </w:r>
      <w:r>
        <w:rPr>
          <w:rFonts w:hint="default" w:ascii="Times New Roman" w:hAnsi="Times New Roman" w:eastAsia="宋体" w:cs="Times New Roman"/>
          <w:b/>
          <w:bCs/>
          <w:sz w:val="28"/>
          <w:szCs w:val="28"/>
          <w:lang w:val="en-US" w:eastAsia="zh-CN"/>
        </w:rPr>
        <w:t>教学科研资源优先</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学院优质教学、科研资源对卓越班学生全面开放且予以优先保障，学生可优先使用数智化实验室、专业数据库、科研工作站等教学科研平台；优先获取国内外前沿学术资料、研究课题资源；在科研项目申报、创新基金申请等方面，由导师全程指导并给予优先推荐。</w:t>
      </w:r>
    </w:p>
    <w:p w14:paraId="5C50355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3.</w:t>
      </w:r>
      <w:r>
        <w:rPr>
          <w:rFonts w:hint="default" w:ascii="Times New Roman" w:hAnsi="Times New Roman" w:eastAsia="宋体" w:cs="Times New Roman"/>
          <w:b/>
          <w:bCs/>
          <w:sz w:val="28"/>
          <w:szCs w:val="28"/>
          <w:lang w:val="en-US" w:eastAsia="zh-CN"/>
        </w:rPr>
        <w:t>升学深造倾斜支持</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考研方面为学生配备专属升学指导导师，提供定制化复习规划、专业课辅导、复试指导等专项服务；</w:t>
      </w:r>
      <w:r>
        <w:rPr>
          <w:rFonts w:hint="eastAsia" w:ascii="Times New Roman" w:hAnsi="Times New Roman" w:eastAsia="宋体" w:cs="Times New Roman"/>
          <w:sz w:val="28"/>
          <w:szCs w:val="28"/>
          <w:lang w:val="en-US" w:eastAsia="zh-CN"/>
        </w:rPr>
        <w:t>本院研究生招生录取中，卓越班学生可优先选择学院优质研究生导师。</w:t>
      </w:r>
    </w:p>
    <w:p w14:paraId="3543A52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4.</w:t>
      </w:r>
      <w:r>
        <w:rPr>
          <w:rFonts w:hint="default" w:ascii="Times New Roman" w:hAnsi="Times New Roman" w:eastAsia="宋体" w:cs="Times New Roman"/>
          <w:b/>
          <w:bCs/>
          <w:sz w:val="28"/>
          <w:szCs w:val="28"/>
          <w:lang w:val="en-US" w:eastAsia="zh-CN"/>
        </w:rPr>
        <w:t>国际交流优先推荐</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学院加强与海外知名高校的合作联动，卓越班学生可优先获得海外高校交换学习、国际学术会议参会、海外名校研学、联合培养等国际交流机会；优先参与海外名师线上线下专题讲座、学术研讨等活动，助力学生拓宽全球视野，接轨国际工商管理研究前沿。</w:t>
      </w:r>
    </w:p>
    <w:p w14:paraId="571E03E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bookmarkStart w:id="0" w:name="_GoBack"/>
      <w:r>
        <w:rPr>
          <w:rFonts w:hint="eastAsia" w:ascii="Times New Roman" w:hAnsi="Times New Roman" w:eastAsia="宋体" w:cs="Times New Roman"/>
          <w:b/>
          <w:bCs/>
          <w:sz w:val="28"/>
          <w:szCs w:val="28"/>
          <w:lang w:val="en-US" w:eastAsia="zh-CN"/>
        </w:rPr>
        <w:t>5.</w:t>
      </w:r>
      <w:r>
        <w:rPr>
          <w:rFonts w:hint="default" w:ascii="Times New Roman" w:hAnsi="Times New Roman" w:eastAsia="宋体" w:cs="Times New Roman"/>
          <w:b/>
          <w:bCs/>
          <w:sz w:val="28"/>
          <w:szCs w:val="28"/>
          <w:lang w:val="en-US" w:eastAsia="zh-CN"/>
        </w:rPr>
        <w:t>师资与指导保障</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b w:val="0"/>
          <w:bCs w:val="0"/>
          <w:sz w:val="28"/>
          <w:szCs w:val="28"/>
          <w:lang w:val="en-US" w:eastAsia="zh-CN"/>
        </w:rPr>
        <w:t>为卓越班配备由学院学科带头人、省级以上教学名师、资深教授、优秀青年骨</w:t>
      </w:r>
      <w:r>
        <w:rPr>
          <w:rFonts w:hint="default" w:ascii="Times New Roman" w:hAnsi="Times New Roman" w:eastAsia="宋体" w:cs="Times New Roman"/>
          <w:sz w:val="28"/>
          <w:szCs w:val="28"/>
          <w:lang w:val="en-US" w:eastAsia="zh-CN"/>
        </w:rPr>
        <w:t>干教师组成的复合型教学与指导团队，为学生提供课程教学、科研训练、实践指导、升学规划等全流程专业指导；定期邀请行业专家、知名学者开展专题讲座，提升学生专业认知与学术素养。</w:t>
      </w:r>
    </w:p>
    <w:bookmarkEnd w:id="0"/>
    <w:p w14:paraId="4EC184F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b/>
          <w:bCs/>
          <w:sz w:val="28"/>
          <w:szCs w:val="28"/>
          <w:lang w:val="en-US" w:eastAsia="zh-CN"/>
        </w:rPr>
        <w:t>6.</w:t>
      </w:r>
      <w:r>
        <w:rPr>
          <w:rFonts w:hint="default" w:ascii="Times New Roman" w:hAnsi="Times New Roman" w:eastAsia="宋体" w:cs="Times New Roman"/>
          <w:b/>
          <w:bCs/>
          <w:sz w:val="28"/>
          <w:szCs w:val="28"/>
          <w:lang w:val="en-US" w:eastAsia="zh-CN"/>
        </w:rPr>
        <w:t>竞赛与成果激励</w:t>
      </w:r>
      <w:r>
        <w:rPr>
          <w:rFonts w:hint="eastAsia" w:ascii="Times New Roman" w:hAnsi="Times New Roman" w:eastAsia="宋体" w:cs="Times New Roman"/>
          <w:b/>
          <w:bCs/>
          <w:sz w:val="28"/>
          <w:szCs w:val="28"/>
          <w:lang w:val="en-US" w:eastAsia="zh-CN"/>
        </w:rPr>
        <w:t>。</w:t>
      </w:r>
      <w:r>
        <w:rPr>
          <w:rFonts w:hint="default" w:ascii="Times New Roman" w:hAnsi="Times New Roman" w:eastAsia="宋体" w:cs="Times New Roman"/>
          <w:sz w:val="28"/>
          <w:szCs w:val="28"/>
          <w:lang w:val="en-US" w:eastAsia="zh-CN"/>
        </w:rPr>
        <w:t>对在省级及以上学科竞赛、科研创新活动中获奖，或发表学术论文、完成高质量研究报告、获批科研项目的卓越班学生，学院给予专项奖励与表彰，作为保研推荐、评优评先、升学考核的重要参考依据。</w:t>
      </w:r>
    </w:p>
    <w:p w14:paraId="08756A3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firstLine="960" w:firstLineChars="400"/>
        <w:jc w:val="left"/>
        <w:textAlignment w:val="auto"/>
        <w:rPr>
          <w:rFonts w:hint="default" w:ascii="宋体" w:hAnsi="宋体" w:cs="宋体"/>
          <w:b w:val="0"/>
          <w:bCs w:val="0"/>
          <w:color w:val="auto"/>
          <w:kern w:val="2"/>
          <w:sz w:val="24"/>
          <w:szCs w:val="24"/>
          <w:lang w:val="en-US" w:eastAsia="zh-CN" w:bidi="ar-SA"/>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C5D6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76A05">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E276A05">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54024"/>
    <w:rsid w:val="011078C7"/>
    <w:rsid w:val="015C48BA"/>
    <w:rsid w:val="01F82835"/>
    <w:rsid w:val="020411DA"/>
    <w:rsid w:val="02691984"/>
    <w:rsid w:val="03391E1F"/>
    <w:rsid w:val="036F6B27"/>
    <w:rsid w:val="03887BE8"/>
    <w:rsid w:val="03DB240E"/>
    <w:rsid w:val="04695C6C"/>
    <w:rsid w:val="05950E17"/>
    <w:rsid w:val="05B253F0"/>
    <w:rsid w:val="06581AF4"/>
    <w:rsid w:val="06D73361"/>
    <w:rsid w:val="06F51A39"/>
    <w:rsid w:val="07D72EEC"/>
    <w:rsid w:val="0870581B"/>
    <w:rsid w:val="08756F63"/>
    <w:rsid w:val="08C11D8A"/>
    <w:rsid w:val="08D342B2"/>
    <w:rsid w:val="09A3752A"/>
    <w:rsid w:val="09F07EC9"/>
    <w:rsid w:val="0B6D6042"/>
    <w:rsid w:val="0B8E26D6"/>
    <w:rsid w:val="0BF40511"/>
    <w:rsid w:val="0C6C541A"/>
    <w:rsid w:val="0C741652"/>
    <w:rsid w:val="0C900DDC"/>
    <w:rsid w:val="0C9B098C"/>
    <w:rsid w:val="0CB832EC"/>
    <w:rsid w:val="0CFB142B"/>
    <w:rsid w:val="0D1D3A97"/>
    <w:rsid w:val="0D444B80"/>
    <w:rsid w:val="0DEC0AE2"/>
    <w:rsid w:val="0E0D1416"/>
    <w:rsid w:val="0F474DFC"/>
    <w:rsid w:val="0FF46D31"/>
    <w:rsid w:val="10727C56"/>
    <w:rsid w:val="10D64689"/>
    <w:rsid w:val="10FB7F06"/>
    <w:rsid w:val="11427629"/>
    <w:rsid w:val="12215E3D"/>
    <w:rsid w:val="12564396"/>
    <w:rsid w:val="127203E1"/>
    <w:rsid w:val="1384217A"/>
    <w:rsid w:val="13FE2FFC"/>
    <w:rsid w:val="15035321"/>
    <w:rsid w:val="16A14DF1"/>
    <w:rsid w:val="16F5513D"/>
    <w:rsid w:val="170A508C"/>
    <w:rsid w:val="17A57D65"/>
    <w:rsid w:val="18041ADC"/>
    <w:rsid w:val="18AB63FB"/>
    <w:rsid w:val="194A79C2"/>
    <w:rsid w:val="195919B3"/>
    <w:rsid w:val="1A8769F4"/>
    <w:rsid w:val="1AF71484"/>
    <w:rsid w:val="1B387FB0"/>
    <w:rsid w:val="1B6B51F2"/>
    <w:rsid w:val="1BB455C7"/>
    <w:rsid w:val="1C0227D6"/>
    <w:rsid w:val="1C6568C1"/>
    <w:rsid w:val="1D047E88"/>
    <w:rsid w:val="1DA8115B"/>
    <w:rsid w:val="1DDC7057"/>
    <w:rsid w:val="1EAF02C7"/>
    <w:rsid w:val="1F146646"/>
    <w:rsid w:val="1F8160E9"/>
    <w:rsid w:val="1F931424"/>
    <w:rsid w:val="211A0DC1"/>
    <w:rsid w:val="219739C1"/>
    <w:rsid w:val="21B06830"/>
    <w:rsid w:val="22250FCC"/>
    <w:rsid w:val="222766AD"/>
    <w:rsid w:val="22A40C69"/>
    <w:rsid w:val="2303418B"/>
    <w:rsid w:val="236B2A0F"/>
    <w:rsid w:val="23867849"/>
    <w:rsid w:val="23967E0F"/>
    <w:rsid w:val="2441528D"/>
    <w:rsid w:val="245F0DC4"/>
    <w:rsid w:val="255F2A47"/>
    <w:rsid w:val="26465EE9"/>
    <w:rsid w:val="268C786C"/>
    <w:rsid w:val="27435A51"/>
    <w:rsid w:val="27532138"/>
    <w:rsid w:val="279B588D"/>
    <w:rsid w:val="27E91624"/>
    <w:rsid w:val="286471C1"/>
    <w:rsid w:val="28FE7105"/>
    <w:rsid w:val="29130107"/>
    <w:rsid w:val="29A547A1"/>
    <w:rsid w:val="29BB19F4"/>
    <w:rsid w:val="29E21551"/>
    <w:rsid w:val="2B053749"/>
    <w:rsid w:val="2BCA04EF"/>
    <w:rsid w:val="2BCC070B"/>
    <w:rsid w:val="2C11436F"/>
    <w:rsid w:val="2C464019"/>
    <w:rsid w:val="2C8B4122"/>
    <w:rsid w:val="2D0E0BAB"/>
    <w:rsid w:val="2D2D342B"/>
    <w:rsid w:val="2D444313"/>
    <w:rsid w:val="2E222864"/>
    <w:rsid w:val="2F8D01B1"/>
    <w:rsid w:val="2F8D1F5F"/>
    <w:rsid w:val="2FAD754E"/>
    <w:rsid w:val="2FE97969"/>
    <w:rsid w:val="30311CBE"/>
    <w:rsid w:val="305C0563"/>
    <w:rsid w:val="30A15A78"/>
    <w:rsid w:val="30F65106"/>
    <w:rsid w:val="31271F3F"/>
    <w:rsid w:val="315A2315"/>
    <w:rsid w:val="31615451"/>
    <w:rsid w:val="32582527"/>
    <w:rsid w:val="32A01FA9"/>
    <w:rsid w:val="33BC72B7"/>
    <w:rsid w:val="34502A09"/>
    <w:rsid w:val="34617F71"/>
    <w:rsid w:val="35011425"/>
    <w:rsid w:val="351B6E2B"/>
    <w:rsid w:val="35760FBE"/>
    <w:rsid w:val="37144D14"/>
    <w:rsid w:val="371A67CE"/>
    <w:rsid w:val="377A726D"/>
    <w:rsid w:val="38415FDC"/>
    <w:rsid w:val="385A614A"/>
    <w:rsid w:val="387D351F"/>
    <w:rsid w:val="38B33AA4"/>
    <w:rsid w:val="38D806EF"/>
    <w:rsid w:val="3A577D39"/>
    <w:rsid w:val="3B9D177C"/>
    <w:rsid w:val="3C502C92"/>
    <w:rsid w:val="3C574020"/>
    <w:rsid w:val="3C5A141B"/>
    <w:rsid w:val="3C860462"/>
    <w:rsid w:val="3CF42C74"/>
    <w:rsid w:val="3D4445A5"/>
    <w:rsid w:val="3D4F2F4A"/>
    <w:rsid w:val="3D532A3A"/>
    <w:rsid w:val="3D831B99"/>
    <w:rsid w:val="3E2E0DB1"/>
    <w:rsid w:val="3E333755"/>
    <w:rsid w:val="3EBA43F3"/>
    <w:rsid w:val="3F860BAA"/>
    <w:rsid w:val="3FF57DD8"/>
    <w:rsid w:val="40161AFD"/>
    <w:rsid w:val="412070D7"/>
    <w:rsid w:val="41D10C2E"/>
    <w:rsid w:val="42334BE8"/>
    <w:rsid w:val="42640D16"/>
    <w:rsid w:val="42764AD5"/>
    <w:rsid w:val="4302495E"/>
    <w:rsid w:val="4387343D"/>
    <w:rsid w:val="446612A5"/>
    <w:rsid w:val="45050ABD"/>
    <w:rsid w:val="454B6546"/>
    <w:rsid w:val="466A4950"/>
    <w:rsid w:val="46B1432D"/>
    <w:rsid w:val="46D1677D"/>
    <w:rsid w:val="46EA6D32"/>
    <w:rsid w:val="477D4822"/>
    <w:rsid w:val="47AD71EA"/>
    <w:rsid w:val="47BF182B"/>
    <w:rsid w:val="490C1CEF"/>
    <w:rsid w:val="496B110B"/>
    <w:rsid w:val="4A314F18"/>
    <w:rsid w:val="4AD36F68"/>
    <w:rsid w:val="4B4B6AFE"/>
    <w:rsid w:val="4B6D2F19"/>
    <w:rsid w:val="4B7C7600"/>
    <w:rsid w:val="4B957C82"/>
    <w:rsid w:val="4BA44460"/>
    <w:rsid w:val="4C1E4213"/>
    <w:rsid w:val="4C667F7F"/>
    <w:rsid w:val="4C7E1155"/>
    <w:rsid w:val="4D216412"/>
    <w:rsid w:val="4D3B4D8B"/>
    <w:rsid w:val="4D4D1254"/>
    <w:rsid w:val="4D96420E"/>
    <w:rsid w:val="4F5945E4"/>
    <w:rsid w:val="4F83066D"/>
    <w:rsid w:val="50081462"/>
    <w:rsid w:val="50AF18DD"/>
    <w:rsid w:val="5119769F"/>
    <w:rsid w:val="515406D7"/>
    <w:rsid w:val="51B15B29"/>
    <w:rsid w:val="520E6AD8"/>
    <w:rsid w:val="52500E9E"/>
    <w:rsid w:val="538C4158"/>
    <w:rsid w:val="544D7D8B"/>
    <w:rsid w:val="546450D5"/>
    <w:rsid w:val="54A91C1A"/>
    <w:rsid w:val="55173EF5"/>
    <w:rsid w:val="55760C1C"/>
    <w:rsid w:val="55AF412E"/>
    <w:rsid w:val="55BF108B"/>
    <w:rsid w:val="55EF39DE"/>
    <w:rsid w:val="560D3234"/>
    <w:rsid w:val="568455BA"/>
    <w:rsid w:val="5709122E"/>
    <w:rsid w:val="572A7F10"/>
    <w:rsid w:val="577079E4"/>
    <w:rsid w:val="57F95B34"/>
    <w:rsid w:val="58A61818"/>
    <w:rsid w:val="59A044B9"/>
    <w:rsid w:val="59BE7035"/>
    <w:rsid w:val="59E14C25"/>
    <w:rsid w:val="5A276988"/>
    <w:rsid w:val="5A8B6F17"/>
    <w:rsid w:val="5B681C18"/>
    <w:rsid w:val="5BA069F2"/>
    <w:rsid w:val="5C1D7ADF"/>
    <w:rsid w:val="5CA00C74"/>
    <w:rsid w:val="5CA95D7B"/>
    <w:rsid w:val="5D054D21"/>
    <w:rsid w:val="5D096819"/>
    <w:rsid w:val="5D0C28B0"/>
    <w:rsid w:val="5D0E5BDE"/>
    <w:rsid w:val="5DCB1D21"/>
    <w:rsid w:val="5E1831B8"/>
    <w:rsid w:val="5E1C5EE9"/>
    <w:rsid w:val="5F131BD1"/>
    <w:rsid w:val="5F61035C"/>
    <w:rsid w:val="5FA016B7"/>
    <w:rsid w:val="601E1FA3"/>
    <w:rsid w:val="60695F4D"/>
    <w:rsid w:val="60CF24AF"/>
    <w:rsid w:val="61025A59"/>
    <w:rsid w:val="610B0DB2"/>
    <w:rsid w:val="613D1187"/>
    <w:rsid w:val="61BC20AC"/>
    <w:rsid w:val="62976675"/>
    <w:rsid w:val="630261E5"/>
    <w:rsid w:val="63BC0727"/>
    <w:rsid w:val="63D80CF3"/>
    <w:rsid w:val="63F568CC"/>
    <w:rsid w:val="64627BFA"/>
    <w:rsid w:val="64E411DF"/>
    <w:rsid w:val="64FE4734"/>
    <w:rsid w:val="653D3504"/>
    <w:rsid w:val="656C5B97"/>
    <w:rsid w:val="661835C7"/>
    <w:rsid w:val="663F11BD"/>
    <w:rsid w:val="66742F55"/>
    <w:rsid w:val="66D25ECE"/>
    <w:rsid w:val="68120C78"/>
    <w:rsid w:val="69126A56"/>
    <w:rsid w:val="6A8676FB"/>
    <w:rsid w:val="6A9E2C97"/>
    <w:rsid w:val="6AFE213A"/>
    <w:rsid w:val="6B1A4960"/>
    <w:rsid w:val="6BA51E03"/>
    <w:rsid w:val="6BF6440D"/>
    <w:rsid w:val="6DA700B4"/>
    <w:rsid w:val="6F67502A"/>
    <w:rsid w:val="6F855E3C"/>
    <w:rsid w:val="6F956C10"/>
    <w:rsid w:val="6FEF7AF1"/>
    <w:rsid w:val="704A4D27"/>
    <w:rsid w:val="712C356D"/>
    <w:rsid w:val="715865FA"/>
    <w:rsid w:val="719B1193"/>
    <w:rsid w:val="71AD757B"/>
    <w:rsid w:val="720C002E"/>
    <w:rsid w:val="72716E5C"/>
    <w:rsid w:val="733F48EB"/>
    <w:rsid w:val="749F4510"/>
    <w:rsid w:val="74DB0643"/>
    <w:rsid w:val="75047B9A"/>
    <w:rsid w:val="751D6EAE"/>
    <w:rsid w:val="757A60AE"/>
    <w:rsid w:val="75901B11"/>
    <w:rsid w:val="766A1C7F"/>
    <w:rsid w:val="770F2826"/>
    <w:rsid w:val="772207AC"/>
    <w:rsid w:val="77ED2B68"/>
    <w:rsid w:val="789D458E"/>
    <w:rsid w:val="78B673FD"/>
    <w:rsid w:val="79D16EB7"/>
    <w:rsid w:val="7A097BEF"/>
    <w:rsid w:val="7A590988"/>
    <w:rsid w:val="7B0525BA"/>
    <w:rsid w:val="7B47340A"/>
    <w:rsid w:val="7BDF6C6B"/>
    <w:rsid w:val="7D6B2EAC"/>
    <w:rsid w:val="7E0230E5"/>
    <w:rsid w:val="7E61605D"/>
    <w:rsid w:val="7E9A4905"/>
    <w:rsid w:val="7EB443DF"/>
    <w:rsid w:val="7ECA3C03"/>
    <w:rsid w:val="7EE8206C"/>
    <w:rsid w:val="7F0864D9"/>
    <w:rsid w:val="7F587D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4532</Words>
  <Characters>4573</Characters>
  <Lines>0</Lines>
  <Paragraphs>0</Paragraphs>
  <TotalTime>5</TotalTime>
  <ScaleCrop>false</ScaleCrop>
  <LinksUpToDate>false</LinksUpToDate>
  <CharactersWithSpaces>4573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2026-03-11T12:24:00Z</dcterms:created>
  <dc:creator>19085</dc:creator>
  <cp:lastModifiedBy>醒言冫</cp:lastModifiedBy>
  <dcterms:modified xsi:type="dcterms:W3CDTF">2026-03-24T09:19:43Z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eyJoZGlkIjoiNGMzMTlhMTViYTk3MjhkNTU5YThkNzNhMmY5NjMwYjAiLCJ1c2VySWQiOiI1Nzg3ODU3NjQifQ==</vt:lpwstr>
  </property>
  <property fmtid="{D5CDD505-2E9C-101B-9397-08002B2CF9AE}" pid="4" name="ICV">
    <vt:lpwstr>054E04A9B8CE4B69AFB54BF7A2850D82_13</vt:lpwstr>
  </property>
</Properties>
</file>