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9DC20">
      <w:pPr>
        <w:keepNext w:val="0"/>
        <w:keepLines w:val="0"/>
        <w:widowControl/>
        <w:suppressLineNumbers w:val="0"/>
        <w:jc w:val="both"/>
        <w:rPr>
          <w:rFonts w:hint="eastAsia" w:asciiTheme="majorEastAsia" w:hAnsiTheme="majorEastAsia" w:eastAsiaTheme="majorEastAsia" w:cstheme="majorEastAsia"/>
          <w:b/>
          <w:bCs/>
          <w:color w:val="000000"/>
          <w:kern w:val="0"/>
          <w:sz w:val="44"/>
          <w:szCs w:val="44"/>
          <w:lang w:val="en-US" w:eastAsia="zh-CN" w:bidi="ar"/>
        </w:rPr>
      </w:pPr>
      <w:r>
        <w:drawing>
          <wp:inline distT="0" distB="0" distL="114300" distR="114300">
            <wp:extent cx="1558290" cy="3143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1558290" cy="314325"/>
                    </a:xfrm>
                    <a:prstGeom prst="rect">
                      <a:avLst/>
                    </a:prstGeom>
                    <a:noFill/>
                    <a:ln>
                      <a:noFill/>
                    </a:ln>
                  </pic:spPr>
                </pic:pic>
              </a:graphicData>
            </a:graphic>
          </wp:inline>
        </w:drawing>
      </w:r>
    </w:p>
    <w:p w14:paraId="2BCE669B">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安徽财经大学国际经济贸易学院国际</w:t>
      </w:r>
    </w:p>
    <w:p w14:paraId="017E191C">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经济与贸易（数字贸易拔尖实验班）简介</w:t>
      </w:r>
    </w:p>
    <w:p w14:paraId="67810F4E">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p>
    <w:p w14:paraId="0855F6D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坚持以习近平新时代中国特色社会主义思想为指导，全面落实立德树人根本任务，以“新文科”建设要求为工作统领，秉持“承续财经本色、擦亮交融底色、塑造数字特色、提升融通成色”人才培养理念，安徽财经大学国际经济贸易学院探索设立“数字贸易拔尖实验班”，旨在通过精英式的“三化三制”（数字化、国际化、精英化、小班制、项目制、导师制）特色培养模式，为进一步学习深造奠定扎实的基础。</w:t>
      </w:r>
    </w:p>
    <w:p w14:paraId="5224219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一、培养目标</w:t>
      </w:r>
    </w:p>
    <w:p w14:paraId="23BD2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560" w:firstLineChars="200"/>
        <w:jc w:val="both"/>
        <w:textAlignment w:val="auto"/>
        <w:rPr>
          <w:rFonts w:hint="eastAsia" w:ascii="方正仿宋_GB2312" w:hAnsi="方正仿宋_GB2312" w:eastAsia="方正仿宋_GB2312" w:cs="方正仿宋_GB2312"/>
          <w:sz w:val="32"/>
          <w:szCs w:val="32"/>
          <w:lang w:val="en-US"/>
        </w:rPr>
      </w:pPr>
      <w:r>
        <w:rPr>
          <w:rFonts w:hint="eastAsia" w:ascii="宋体" w:hAnsi="宋体" w:eastAsia="宋体" w:cs="宋体"/>
          <w:kern w:val="2"/>
          <w:sz w:val="28"/>
          <w:szCs w:val="28"/>
          <w:lang w:val="en-US" w:eastAsia="zh-CN" w:bidi="ar-SA"/>
        </w:rPr>
        <w:t>主动对接国家数字强国战略的人才需求，通过构建经济学创新人才培养的新体系和新模式，系统培养扎实掌握经济管理理论和大数据统计及应用分析技术、拥有强烈的创新意识和开阔的全球视野、熟悉全球数字贸易规则和发展趋势，有意向进一步学习深造的国际化、创新型、复合型拔尖人才。</w:t>
      </w:r>
    </w:p>
    <w:p w14:paraId="3B2E9AA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二、培养要求</w:t>
      </w:r>
    </w:p>
    <w:p w14:paraId="59F5601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拔尖实验班的毕业生能够从事经济学及相关学科的理论研究，能够分析、研究现实经济问题，并能适应相邻专业领域的工作。其中，大部分毕业生将进入经济学及其他相关学科研究生阶段的学习，成为经济学理论教学、研究或经济管理的高端人才。</w:t>
      </w:r>
    </w:p>
    <w:p w14:paraId="361BF83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本实验班毕业生应获得以下几方面的知识和能力：</w:t>
      </w:r>
    </w:p>
    <w:p w14:paraId="231F7BE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1.学生具有良好的思想政治素质，树立正确的世界观、人生观、价值观，具有良好的职业道德和服务社会的奉献精神，具备良好的心理素质和较高的综合素质。</w:t>
      </w:r>
    </w:p>
    <w:p w14:paraId="14EF1C6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2.学生掌握经济学相关领域的基本理论，熟悉国家经济政策与经济体制改革现状，特别是掌握国家的经济方针和政策，了解学科的理论前沿和发展动向。</w:t>
      </w:r>
    </w:p>
    <w:p w14:paraId="4967CF3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3.学生掌握现代经济学的基本工具，具有扎实的数学理论基础，掌握前沿分析技术，具备熟练的英语交际能力和计算机操作能力。</w:t>
      </w:r>
    </w:p>
    <w:p w14:paraId="39AAFAD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4.学生掌握经济学科研究方法和手段，掌握文献检索、资料查询的基本方法，具有一定的独立开展科研活动能力。</w:t>
      </w:r>
    </w:p>
    <w:p w14:paraId="5ED1DE8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5.学生具有较强的社会适应能力，具有较强的自我学习能力、写作能力与语言表达能力、人际关系沟通协调能力和一定程度的研究创新能力。</w:t>
      </w:r>
    </w:p>
    <w:p w14:paraId="56B860C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三、培养特色</w:t>
      </w:r>
    </w:p>
    <w:p w14:paraId="3369028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1.精英化培养</w:t>
      </w:r>
    </w:p>
    <w:p w14:paraId="50DB677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独立培养方案，为学生量身打造以升学为导向的课程体系，学生在导师的指导下，自主选择专业模块。</w:t>
      </w:r>
    </w:p>
    <w:p w14:paraId="242753E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2.一对一导师制</w:t>
      </w:r>
    </w:p>
    <w:p w14:paraId="43E39B6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配备优秀青年教师和资深教授组成学业导师组，对学生进行一对一专业化、系统化的学术训练。</w:t>
      </w:r>
    </w:p>
    <w:p w14:paraId="72053F1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3.项目驱动制</w:t>
      </w:r>
    </w:p>
    <w:p w14:paraId="2997C5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实施“科研课题+创新项目+学术例会”的全程项目驱动制，学生根据研究兴趣选择加入一位导师的科研团队，参加导师团队学术例会，主持或参与一项双创项目，完成一项学术成果。</w:t>
      </w:r>
    </w:p>
    <w:p w14:paraId="4AE0F64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4.小班制教学</w:t>
      </w:r>
    </w:p>
    <w:p w14:paraId="76D9182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面向全校一年级本科生择优选拔25人，配备高水平师资授课，并采用全新的教学模式，引导学生进行探究性学习，打造具备一定科研潜力的精英人才。</w:t>
      </w:r>
    </w:p>
    <w:p w14:paraId="55489BE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5.国际化合作</w:t>
      </w:r>
    </w:p>
    <w:p w14:paraId="0B0DC22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与澳大利亚纽卡斯尔大学（University of Newcastle）、伦敦玛丽女王大学（Queen Marry University of London）等海外高校建立紧密合作关系，为学生提供国际前沿的教学理念与研究方法。实验班学生优先获得海外合作高校的研究生深造机会。</w:t>
      </w:r>
    </w:p>
    <w:p w14:paraId="24ACC07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四、选拔程序</w:t>
      </w:r>
    </w:p>
    <w:p w14:paraId="3F512BF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1.选拔对象和规模</w:t>
      </w:r>
    </w:p>
    <w:p w14:paraId="55BBD9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2025-2026春季学期面向全校一年级本科生选拔25人，招生采取学生自愿报名，导师组根据绩点和面试成绩择优录取。</w:t>
      </w:r>
    </w:p>
    <w:p w14:paraId="20E0F5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2.选拔条件</w:t>
      </w:r>
    </w:p>
    <w:p w14:paraId="22F1FD2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（1）思想政治表现良好，遵纪守法，责任心强，具有良好的团结协作精神。</w:t>
      </w:r>
    </w:p>
    <w:p w14:paraId="7CB7781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（2）具有强烈的求知欲和创新意识，对学术研究有浓厚兴趣，立志考取硕士及以上研究生、从事学术研究。</w:t>
      </w:r>
    </w:p>
    <w:p w14:paraId="19AB3FB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（3）学业上有强烈的进取心，具有扎实的外语和数理基础，在读期间课程考试（考核）均合格。</w:t>
      </w:r>
    </w:p>
    <w:p w14:paraId="44E4961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（4）有下列情况之一者，不得申请进入：受过考试作弊纪律处分或存在学术不端的学生；经审核认为其他不适合进入的情况。</w:t>
      </w:r>
    </w:p>
    <w:p w14:paraId="082DDBA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3.选拔程序</w:t>
      </w:r>
    </w:p>
    <w:p w14:paraId="12B856A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（1）宣传与咨询。通过学院网站、公众号、宣讲会、招生海报等多渠道发布招生信息，并建立招生咨询群。</w:t>
      </w:r>
    </w:p>
    <w:p w14:paraId="524B35D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（2）报名申请。在专业分流阶段填报国际经济与贸易（数字贸易拔尖实验班）。</w:t>
      </w:r>
    </w:p>
    <w:p w14:paraId="28328E5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（3）组织面试。导师组依据考查基础能力和科研潜力的原则，对申请学生进行面试。</w:t>
      </w:r>
    </w:p>
    <w:p w14:paraId="409BEAF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（4）结果公示。拟录取名单在学院官网公示。公示期间，拟放弃录取资格的学生须向学院提交书面的放弃申请。面试未通过的学生在专业分流缺额征集阶段可以优先录取至经济与贸易类专业。</w:t>
      </w:r>
    </w:p>
    <w:p w14:paraId="5F090FC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4.录取办法</w:t>
      </w:r>
    </w:p>
    <w:p w14:paraId="27CF825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考生自愿报名，根据总成绩排名择优录取。其中，总成绩=大一第一学期绩点×50%+面试成绩×50%。</w:t>
      </w:r>
    </w:p>
    <w:p w14:paraId="4EE88D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面试需自备简历，面试内容包括学生自我介绍和导师提问，重点考查学生的基础能力、科研潜质、发展兴趣、英语能力等。其中，面试成绩中自我介绍占20%，英语表达能力占30%，其他能力体现（基础能力、科研潜质、发展兴趣等）占50%。</w:t>
      </w:r>
    </w:p>
    <w:p w14:paraId="542DF7E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5.退出机制</w:t>
      </w:r>
    </w:p>
    <w:p w14:paraId="288C606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经学生本人书面申请，可以加入实验班后第一学期内退出，进入国际经济与贸易专业平行班继续本科阶段的学习。部分同学退出后，实验班人数不做增补。</w:t>
      </w:r>
    </w:p>
    <w:p w14:paraId="78C95DB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五、责任与义务</w:t>
      </w:r>
    </w:p>
    <w:p w14:paraId="628971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1.每位学生需主持一项省级及以上“大学生创新创业训练项目”研究或主持一项校级本科生科研创新项目。</w:t>
      </w:r>
    </w:p>
    <w:p w14:paraId="20FC9D4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2.必须参加导师团队的科研训练和学术例会等活动，不得缺勤，必须接受导师指导，并力争发表相关学术论文。</w:t>
      </w:r>
    </w:p>
    <w:p w14:paraId="0AFCEA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3.必须参加保研或考研。</w:t>
      </w:r>
    </w:p>
    <w:p w14:paraId="5700D97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六、政策支持和激励</w:t>
      </w:r>
    </w:p>
    <w:p w14:paraId="57FC5B1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1.设立专项经费支持实验班建设，专项经费由学院负责管理，主要支持学生的科研训练、学术交流、重要期刊发表等活动。</w:t>
      </w:r>
    </w:p>
    <w:p w14:paraId="0E45C3A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2.学院教学科研资源优先保证实验班学生各类学习和科研实践活动的需要。</w:t>
      </w:r>
    </w:p>
    <w:p w14:paraId="0FE46EE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3.为实验班学生开展科研训练、申请创新基金项目、进入实验室、实习实践等同等条件下给予优先支持或推荐。</w:t>
      </w:r>
    </w:p>
    <w:p w14:paraId="18F1B73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4.加强与伦敦玛丽女王大学等国际知名院校的合作，开展师生互访、学术交流活动，为学生提供优质的国际教育资源与交流机会。</w:t>
      </w:r>
    </w:p>
    <w:p w14:paraId="3EB9123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黑体" w:hAnsi="宋体" w:eastAsia="黑体" w:cs="黑体"/>
          <w:bCs/>
          <w:sz w:val="32"/>
          <w:szCs w:val="32"/>
          <w:lang w:val="en-US"/>
        </w:rPr>
      </w:pPr>
      <w:r>
        <w:rPr>
          <w:rFonts w:hint="eastAsia" w:ascii="Times New Roman" w:hAnsi="Times New Roman" w:eastAsia="宋体" w:cs="Times New Roman"/>
          <w:b/>
          <w:bCs/>
          <w:sz w:val="28"/>
          <w:szCs w:val="28"/>
          <w:lang w:val="en-US" w:eastAsia="zh-CN"/>
        </w:rPr>
        <w:t>七、组织管理</w:t>
      </w:r>
    </w:p>
    <w:p w14:paraId="3646D31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成立实验班领导小组。组长由学院院长、党委书记担任，党委副书记、分管副院长担任副组长，学院教学秘书、科研秘书、办公室主任、实验室主任、系主任、导师代表、班主任、辅导员代表任成员。领导小组负责资源调配、工作协调以及讨论解决重大问题。</w:t>
      </w:r>
    </w:p>
    <w:p w14:paraId="7F0F6A2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2.成立实验班工作专</w:t>
      </w:r>
      <w:bookmarkStart w:id="0" w:name="_GoBack"/>
      <w:bookmarkEnd w:id="0"/>
      <w:r>
        <w:rPr>
          <w:rFonts w:hint="eastAsia" w:ascii="宋体" w:hAnsi="宋体" w:eastAsia="宋体" w:cs="宋体"/>
          <w:kern w:val="2"/>
          <w:sz w:val="28"/>
          <w:szCs w:val="28"/>
          <w:lang w:val="en-US" w:eastAsia="zh-CN" w:bidi="ar-SA"/>
        </w:rPr>
        <w:t>班。由学业导师组、辅导员、学生代表干部组成，负责实验班的日常管理工作。</w:t>
      </w:r>
    </w:p>
    <w:p w14:paraId="3E8BF79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7AF8CB-3758-4AD6-9FFC-DA75504542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B96AEE13-B797-4A9B-B2A4-2BC8417A1C6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C1056"/>
    <w:rsid w:val="3A0D2431"/>
    <w:rsid w:val="41CC3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2322</Words>
  <Characters>2408</Characters>
  <Lines>0</Lines>
  <Paragraphs>0</Paragraphs>
  <TotalTime>4</TotalTime>
  <ScaleCrop>false</ScaleCrop>
  <LinksUpToDate>false</LinksUpToDate>
  <CharactersWithSpaces>2414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2026-03-23T03:07:00Z</dcterms:created>
  <dc:creator>hp</dc:creator>
  <cp:lastModifiedBy>醒言冫</cp:lastModifiedBy>
  <dcterms:modified xsi:type="dcterms:W3CDTF">2026-03-24T09:25:25Z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eyJoZGlkIjoiNGMzMTlhMTViYTk3MjhkNTU5YThkNzNhMmY5NjMwYjAiLCJ1c2VySWQiOiI1Nzg3ODU3NjQifQ==</vt:lpwstr>
  </property>
  <property fmtid="{D5CDD505-2E9C-101B-9397-08002B2CF9AE}" pid="4" name="ICV">
    <vt:lpwstr>432E8B5C477D462F8D13184B9E3F8A0C_12</vt:lpwstr>
  </property>
</Properties>
</file>