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6EE73">
      <w:pPr>
        <w:spacing w:line="580" w:lineRule="exact"/>
        <w:rPr>
          <w:rFonts w:hint="default" w:ascii="Times New Roman" w:hAnsi="Times New Roman" w:eastAsia="黑体" w:cs="Times New Roman"/>
          <w:b w:val="0"/>
          <w:bCs w:val="0"/>
          <w:spacing w:val="1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11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pacing w:val="11"/>
          <w:sz w:val="32"/>
          <w:szCs w:val="32"/>
          <w:lang w:val="en-US" w:eastAsia="zh-CN"/>
        </w:rPr>
        <w:t>1</w:t>
      </w:r>
    </w:p>
    <w:p w14:paraId="2EE66E65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pacing w:val="11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pacing w:val="11"/>
          <w:sz w:val="44"/>
          <w:szCs w:val="44"/>
        </w:rPr>
        <w:t>推免专项加分标准及说明</w:t>
      </w:r>
    </w:p>
    <w:bookmarkEnd w:id="1"/>
    <w:tbl>
      <w:tblPr>
        <w:tblStyle w:val="3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4133"/>
        <w:gridCol w:w="2224"/>
        <w:gridCol w:w="872"/>
      </w:tblGrid>
      <w:tr w14:paraId="4EED5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831" w:type="dxa"/>
            <w:vAlign w:val="center"/>
          </w:tcPr>
          <w:p w14:paraId="5925F082">
            <w:pPr>
              <w:jc w:val="center"/>
              <w:rPr>
                <w:rFonts w:hint="eastAsia" w:ascii="黑体" w:hAnsi="黑体" w:eastAsia="黑体" w:cs="黑体"/>
                <w:spacing w:val="11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1"/>
                <w:sz w:val="24"/>
              </w:rPr>
              <w:t>加分条件</w:t>
            </w:r>
          </w:p>
        </w:tc>
        <w:tc>
          <w:tcPr>
            <w:tcW w:w="4133" w:type="dxa"/>
            <w:vAlign w:val="center"/>
          </w:tcPr>
          <w:p w14:paraId="1F888092">
            <w:pPr>
              <w:jc w:val="center"/>
              <w:rPr>
                <w:rFonts w:hint="eastAsia" w:ascii="黑体" w:hAnsi="黑体" w:eastAsia="黑体" w:cs="黑体"/>
                <w:spacing w:val="11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1"/>
                <w:sz w:val="24"/>
              </w:rPr>
              <w:t>类型</w:t>
            </w:r>
          </w:p>
        </w:tc>
        <w:tc>
          <w:tcPr>
            <w:tcW w:w="2224" w:type="dxa"/>
            <w:vAlign w:val="center"/>
          </w:tcPr>
          <w:p w14:paraId="52B9369B">
            <w:pPr>
              <w:jc w:val="center"/>
              <w:rPr>
                <w:rFonts w:hint="eastAsia" w:ascii="黑体" w:hAnsi="黑体" w:eastAsia="黑体" w:cs="黑体"/>
                <w:spacing w:val="11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1"/>
                <w:sz w:val="24"/>
              </w:rPr>
              <w:t>等级</w:t>
            </w:r>
          </w:p>
        </w:tc>
        <w:tc>
          <w:tcPr>
            <w:tcW w:w="872" w:type="dxa"/>
            <w:vAlign w:val="center"/>
          </w:tcPr>
          <w:p w14:paraId="2670C2C9">
            <w:pPr>
              <w:jc w:val="center"/>
              <w:rPr>
                <w:rFonts w:hint="eastAsia" w:ascii="黑体" w:hAnsi="黑体" w:eastAsia="黑体" w:cs="黑体"/>
                <w:spacing w:val="11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11"/>
                <w:sz w:val="24"/>
              </w:rPr>
              <w:t>分值</w:t>
            </w:r>
          </w:p>
        </w:tc>
      </w:tr>
      <w:tr w14:paraId="1109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831" w:type="dxa"/>
            <w:vAlign w:val="center"/>
          </w:tcPr>
          <w:p w14:paraId="01404E71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服役立功</w:t>
            </w:r>
          </w:p>
        </w:tc>
        <w:tc>
          <w:tcPr>
            <w:tcW w:w="4133" w:type="dxa"/>
            <w:vAlign w:val="center"/>
          </w:tcPr>
          <w:p w14:paraId="1B0DF35C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服兵役退役后复学，并在部队服役期间荣立三等功及以上</w:t>
            </w:r>
          </w:p>
        </w:tc>
        <w:tc>
          <w:tcPr>
            <w:tcW w:w="2224" w:type="dxa"/>
            <w:vAlign w:val="center"/>
          </w:tcPr>
          <w:p w14:paraId="013DCDA5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</w:rPr>
              <w:t>/</w:t>
            </w:r>
          </w:p>
        </w:tc>
        <w:tc>
          <w:tcPr>
            <w:tcW w:w="872" w:type="dxa"/>
            <w:vAlign w:val="center"/>
          </w:tcPr>
          <w:p w14:paraId="3B06DAEB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1.00</w:t>
            </w:r>
          </w:p>
        </w:tc>
      </w:tr>
      <w:tr w14:paraId="30CD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831" w:type="dxa"/>
            <w:vAlign w:val="center"/>
          </w:tcPr>
          <w:p w14:paraId="27F9032C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志愿服务</w:t>
            </w:r>
          </w:p>
        </w:tc>
        <w:tc>
          <w:tcPr>
            <w:tcW w:w="4133" w:type="dxa"/>
            <w:vAlign w:val="center"/>
          </w:tcPr>
          <w:p w14:paraId="16FB78B7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志愿服务时长达</w:t>
            </w: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到300小时及</w:t>
            </w:r>
            <w:r>
              <w:rPr>
                <w:rFonts w:hint="eastAsia" w:ascii="仿宋" w:hAnsi="仿宋" w:eastAsia="仿宋" w:cs="仿宋"/>
                <w:spacing w:val="11"/>
                <w:sz w:val="24"/>
              </w:rPr>
              <w:t>以上</w:t>
            </w:r>
          </w:p>
        </w:tc>
        <w:tc>
          <w:tcPr>
            <w:tcW w:w="2224" w:type="dxa"/>
            <w:vAlign w:val="center"/>
          </w:tcPr>
          <w:p w14:paraId="4852D421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</w:rPr>
              <w:t>/</w:t>
            </w:r>
          </w:p>
        </w:tc>
        <w:tc>
          <w:tcPr>
            <w:tcW w:w="872" w:type="dxa"/>
            <w:vAlign w:val="center"/>
          </w:tcPr>
          <w:p w14:paraId="2CA0D30D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0.50</w:t>
            </w:r>
          </w:p>
        </w:tc>
      </w:tr>
      <w:tr w14:paraId="4603D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831" w:type="dxa"/>
            <w:vAlign w:val="center"/>
          </w:tcPr>
          <w:p w14:paraId="528707A0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国际组织实习</w:t>
            </w:r>
          </w:p>
        </w:tc>
        <w:tc>
          <w:tcPr>
            <w:tcW w:w="4133" w:type="dxa"/>
            <w:vAlign w:val="center"/>
          </w:tcPr>
          <w:p w14:paraId="213C6376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根据教育部公布的国际组织实习岗位，到国际组织实习者</w:t>
            </w:r>
          </w:p>
        </w:tc>
        <w:tc>
          <w:tcPr>
            <w:tcW w:w="2224" w:type="dxa"/>
            <w:vAlign w:val="center"/>
          </w:tcPr>
          <w:p w14:paraId="24C073A5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</w:rPr>
              <w:t>/</w:t>
            </w:r>
          </w:p>
        </w:tc>
        <w:tc>
          <w:tcPr>
            <w:tcW w:w="872" w:type="dxa"/>
            <w:vAlign w:val="center"/>
          </w:tcPr>
          <w:p w14:paraId="06214940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0.50</w:t>
            </w:r>
          </w:p>
        </w:tc>
      </w:tr>
      <w:tr w14:paraId="67C7C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831" w:type="dxa"/>
            <w:vAlign w:val="center"/>
          </w:tcPr>
          <w:p w14:paraId="1CE5B17E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发明专利</w:t>
            </w:r>
          </w:p>
        </w:tc>
        <w:tc>
          <w:tcPr>
            <w:tcW w:w="4133" w:type="dxa"/>
            <w:vAlign w:val="center"/>
          </w:tcPr>
          <w:p w14:paraId="32D6F20F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国家（国际）发明专利</w:t>
            </w:r>
          </w:p>
        </w:tc>
        <w:tc>
          <w:tcPr>
            <w:tcW w:w="2224" w:type="dxa"/>
            <w:vAlign w:val="center"/>
          </w:tcPr>
          <w:p w14:paraId="7B1107A1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</w:rPr>
              <w:t>/</w:t>
            </w:r>
          </w:p>
        </w:tc>
        <w:tc>
          <w:tcPr>
            <w:tcW w:w="872" w:type="dxa"/>
            <w:vAlign w:val="center"/>
          </w:tcPr>
          <w:p w14:paraId="575EB80D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1.00</w:t>
            </w:r>
          </w:p>
        </w:tc>
      </w:tr>
      <w:tr w14:paraId="212F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831" w:type="dxa"/>
            <w:vMerge w:val="restart"/>
            <w:vAlign w:val="center"/>
          </w:tcPr>
          <w:p w14:paraId="755C47CE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科研论文</w:t>
            </w:r>
          </w:p>
        </w:tc>
        <w:tc>
          <w:tcPr>
            <w:tcW w:w="4133" w:type="dxa"/>
            <w:vMerge w:val="restart"/>
            <w:vAlign w:val="center"/>
          </w:tcPr>
          <w:p w14:paraId="703B8F83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中文</w:t>
            </w:r>
          </w:p>
        </w:tc>
        <w:tc>
          <w:tcPr>
            <w:tcW w:w="2224" w:type="dxa"/>
            <w:vAlign w:val="center"/>
          </w:tcPr>
          <w:p w14:paraId="37FD8129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</w:rPr>
              <w:t>C</w:t>
            </w:r>
            <w:r>
              <w:rPr>
                <w:rFonts w:hint="eastAsia" w:ascii="仿宋" w:hAnsi="仿宋" w:eastAsia="仿宋" w:cs="仿宋"/>
                <w:spacing w:val="11"/>
                <w:sz w:val="24"/>
              </w:rPr>
              <w:t>刊及以上</w:t>
            </w:r>
          </w:p>
        </w:tc>
        <w:tc>
          <w:tcPr>
            <w:tcW w:w="872" w:type="dxa"/>
            <w:vAlign w:val="center"/>
          </w:tcPr>
          <w:p w14:paraId="1350E361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1.00</w:t>
            </w:r>
          </w:p>
        </w:tc>
      </w:tr>
      <w:tr w14:paraId="4431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831" w:type="dxa"/>
            <w:vMerge w:val="continue"/>
            <w:vAlign w:val="center"/>
          </w:tcPr>
          <w:p w14:paraId="3FDD1055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continue"/>
            <w:vAlign w:val="center"/>
          </w:tcPr>
          <w:p w14:paraId="1EC85AF5">
            <w:pPr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vAlign w:val="center"/>
          </w:tcPr>
          <w:p w14:paraId="075626D3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北大核心、</w:t>
            </w:r>
            <w:r>
              <w:rPr>
                <w:rFonts w:ascii="仿宋" w:hAnsi="仿宋" w:eastAsia="仿宋" w:cs="仿宋"/>
                <w:spacing w:val="11"/>
                <w:sz w:val="24"/>
              </w:rPr>
              <w:t>CSCD</w:t>
            </w:r>
          </w:p>
        </w:tc>
        <w:tc>
          <w:tcPr>
            <w:tcW w:w="872" w:type="dxa"/>
            <w:vAlign w:val="center"/>
          </w:tcPr>
          <w:p w14:paraId="0F1C1A83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0.50</w:t>
            </w:r>
          </w:p>
        </w:tc>
      </w:tr>
      <w:tr w14:paraId="6DBDA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831" w:type="dxa"/>
            <w:vMerge w:val="continue"/>
            <w:vAlign w:val="center"/>
          </w:tcPr>
          <w:p w14:paraId="45A01DFC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restart"/>
            <w:vAlign w:val="center"/>
          </w:tcPr>
          <w:p w14:paraId="2AAB250A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英文（影响因子）</w:t>
            </w:r>
          </w:p>
        </w:tc>
        <w:tc>
          <w:tcPr>
            <w:tcW w:w="2224" w:type="dxa"/>
            <w:vAlign w:val="center"/>
          </w:tcPr>
          <w:p w14:paraId="02B8B7F8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</w:rPr>
              <w:t>10</w:t>
            </w:r>
            <w:r>
              <w:rPr>
                <w:rFonts w:hint="eastAsia" w:ascii="仿宋" w:hAnsi="仿宋" w:eastAsia="仿宋" w:cs="仿宋"/>
                <w:spacing w:val="11"/>
                <w:sz w:val="24"/>
              </w:rPr>
              <w:t>以上</w:t>
            </w:r>
          </w:p>
        </w:tc>
        <w:tc>
          <w:tcPr>
            <w:tcW w:w="872" w:type="dxa"/>
            <w:vAlign w:val="center"/>
          </w:tcPr>
          <w:p w14:paraId="03765594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1.00</w:t>
            </w:r>
          </w:p>
        </w:tc>
      </w:tr>
      <w:tr w14:paraId="725E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831" w:type="dxa"/>
            <w:vMerge w:val="continue"/>
            <w:vAlign w:val="center"/>
          </w:tcPr>
          <w:p w14:paraId="21116CE0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continue"/>
            <w:vAlign w:val="center"/>
          </w:tcPr>
          <w:p w14:paraId="348A9AC7">
            <w:pPr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vAlign w:val="center"/>
          </w:tcPr>
          <w:p w14:paraId="4460901F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</w:rPr>
              <w:t>5-9.99</w:t>
            </w:r>
          </w:p>
        </w:tc>
        <w:tc>
          <w:tcPr>
            <w:tcW w:w="872" w:type="dxa"/>
            <w:vAlign w:val="center"/>
          </w:tcPr>
          <w:p w14:paraId="4785C835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0.75</w:t>
            </w:r>
          </w:p>
        </w:tc>
      </w:tr>
      <w:tr w14:paraId="7882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831" w:type="dxa"/>
            <w:vMerge w:val="continue"/>
            <w:vAlign w:val="center"/>
          </w:tcPr>
          <w:p w14:paraId="2CE24C59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continue"/>
            <w:vAlign w:val="center"/>
          </w:tcPr>
          <w:p w14:paraId="0097C488">
            <w:pPr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vAlign w:val="center"/>
          </w:tcPr>
          <w:p w14:paraId="595B52D9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</w:rPr>
              <w:t>2-4.99</w:t>
            </w:r>
          </w:p>
        </w:tc>
        <w:tc>
          <w:tcPr>
            <w:tcW w:w="872" w:type="dxa"/>
            <w:vAlign w:val="center"/>
          </w:tcPr>
          <w:p w14:paraId="1F862694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0.50</w:t>
            </w:r>
          </w:p>
        </w:tc>
      </w:tr>
      <w:tr w14:paraId="47C6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831" w:type="dxa"/>
            <w:vMerge w:val="continue"/>
            <w:vAlign w:val="center"/>
          </w:tcPr>
          <w:p w14:paraId="4889AF32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continue"/>
            <w:vAlign w:val="center"/>
          </w:tcPr>
          <w:p w14:paraId="6512EAB4">
            <w:pPr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vAlign w:val="center"/>
          </w:tcPr>
          <w:p w14:paraId="21C2D78E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ascii="仿宋" w:hAnsi="仿宋" w:eastAsia="仿宋" w:cs="仿宋"/>
                <w:spacing w:val="11"/>
                <w:sz w:val="24"/>
              </w:rPr>
              <w:t>1-1.99</w:t>
            </w:r>
          </w:p>
        </w:tc>
        <w:tc>
          <w:tcPr>
            <w:tcW w:w="872" w:type="dxa"/>
            <w:vAlign w:val="center"/>
          </w:tcPr>
          <w:p w14:paraId="4AD42619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0.25</w:t>
            </w:r>
          </w:p>
        </w:tc>
      </w:tr>
      <w:tr w14:paraId="661E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831" w:type="dxa"/>
            <w:vMerge w:val="restart"/>
            <w:vAlign w:val="center"/>
          </w:tcPr>
          <w:p w14:paraId="1F70340A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三大赛</w:t>
            </w:r>
          </w:p>
        </w:tc>
        <w:tc>
          <w:tcPr>
            <w:tcW w:w="4133" w:type="dxa"/>
            <w:vMerge w:val="restart"/>
            <w:vAlign w:val="center"/>
          </w:tcPr>
          <w:p w14:paraId="2E89354E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中国国际大学生创新大赛、“挑战杯”全国大学生课外学术科技作品竞赛、“挑战杯”全国大学生创业计划竞赛国家级前三等级奖项</w:t>
            </w:r>
          </w:p>
        </w:tc>
        <w:tc>
          <w:tcPr>
            <w:tcW w:w="2224" w:type="dxa"/>
            <w:vAlign w:val="center"/>
          </w:tcPr>
          <w:p w14:paraId="60CECAB9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第一等级奖项</w:t>
            </w:r>
          </w:p>
        </w:tc>
        <w:tc>
          <w:tcPr>
            <w:tcW w:w="872" w:type="dxa"/>
            <w:vAlign w:val="center"/>
          </w:tcPr>
          <w:p w14:paraId="78440FCB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5.00</w:t>
            </w:r>
          </w:p>
        </w:tc>
      </w:tr>
      <w:tr w14:paraId="2B5C8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31" w:type="dxa"/>
            <w:vMerge w:val="continue"/>
            <w:vAlign w:val="center"/>
          </w:tcPr>
          <w:p w14:paraId="473F7A56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continue"/>
            <w:vAlign w:val="center"/>
          </w:tcPr>
          <w:p w14:paraId="69451D17">
            <w:pPr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vAlign w:val="center"/>
          </w:tcPr>
          <w:p w14:paraId="1B79F21F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第二等级奖项</w:t>
            </w:r>
          </w:p>
        </w:tc>
        <w:tc>
          <w:tcPr>
            <w:tcW w:w="872" w:type="dxa"/>
            <w:vAlign w:val="center"/>
          </w:tcPr>
          <w:p w14:paraId="304A3EEB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3.00</w:t>
            </w:r>
          </w:p>
        </w:tc>
      </w:tr>
      <w:tr w14:paraId="7C5BE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831" w:type="dxa"/>
            <w:vMerge w:val="continue"/>
            <w:tcBorders>
              <w:bottom w:val="single" w:color="auto" w:sz="4" w:space="0"/>
            </w:tcBorders>
            <w:vAlign w:val="center"/>
          </w:tcPr>
          <w:p w14:paraId="176463D9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bookmarkStart w:id="0" w:name="_Hlk231650504"/>
          </w:p>
        </w:tc>
        <w:tc>
          <w:tcPr>
            <w:tcW w:w="4133" w:type="dxa"/>
            <w:vMerge w:val="continue"/>
            <w:tcBorders>
              <w:bottom w:val="single" w:color="auto" w:sz="4" w:space="0"/>
            </w:tcBorders>
            <w:vAlign w:val="center"/>
          </w:tcPr>
          <w:p w14:paraId="015736F4">
            <w:pPr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tcBorders>
              <w:bottom w:val="single" w:color="auto" w:sz="4" w:space="0"/>
            </w:tcBorders>
            <w:vAlign w:val="center"/>
          </w:tcPr>
          <w:p w14:paraId="09E3EE2F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第三等级奖项</w:t>
            </w:r>
          </w:p>
        </w:tc>
        <w:tc>
          <w:tcPr>
            <w:tcW w:w="872" w:type="dxa"/>
            <w:tcBorders>
              <w:bottom w:val="single" w:color="auto" w:sz="4" w:space="0"/>
            </w:tcBorders>
            <w:vAlign w:val="center"/>
          </w:tcPr>
          <w:p w14:paraId="083535C1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1.00</w:t>
            </w:r>
          </w:p>
        </w:tc>
      </w:tr>
      <w:bookmarkEnd w:id="0"/>
      <w:tr w14:paraId="2ACE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9C2FA">
            <w:pPr>
              <w:jc w:val="center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学科和技能竞赛（不含三大赛）</w:t>
            </w:r>
          </w:p>
        </w:tc>
        <w:tc>
          <w:tcPr>
            <w:tcW w:w="4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9EBED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A类赛事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CCDB8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一等奖及以上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CF7E4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1.00</w:t>
            </w:r>
          </w:p>
        </w:tc>
      </w:tr>
      <w:tr w14:paraId="565D9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45973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86512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A4AA4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二等奖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E4D05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0.75</w:t>
            </w:r>
          </w:p>
        </w:tc>
      </w:tr>
      <w:tr w14:paraId="63DB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B16F7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F7D70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88C40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三等奖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24274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11"/>
                <w:sz w:val="24"/>
              </w:rPr>
              <w:t>0.5</w:t>
            </w:r>
            <w:r>
              <w:rPr>
                <w:rFonts w:hint="default" w:ascii="Times New Roman" w:hAnsi="Times New Roman" w:eastAsia="仿宋" w:cs="Times New Roman"/>
                <w:spacing w:val="11"/>
                <w:sz w:val="24"/>
                <w:lang w:val="en-US" w:eastAsia="zh-CN"/>
              </w:rPr>
              <w:t>0</w:t>
            </w:r>
          </w:p>
        </w:tc>
      </w:tr>
      <w:tr w14:paraId="37A4C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3C086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134530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pacing w:val="11"/>
                <w:sz w:val="24"/>
              </w:rPr>
              <w:t>B类赛事或</w:t>
            </w:r>
            <w:r>
              <w:rPr>
                <w:rFonts w:hint="eastAsia" w:ascii="仿宋" w:hAnsi="仿宋" w:eastAsia="仿宋" w:cs="仿宋"/>
                <w:spacing w:val="11"/>
                <w:sz w:val="24"/>
                <w:lang w:val="en-US" w:eastAsia="zh-CN"/>
              </w:rPr>
              <w:t>与</w:t>
            </w:r>
            <w:r>
              <w:rPr>
                <w:rFonts w:hint="eastAsia" w:ascii="仿宋" w:hAnsi="仿宋" w:eastAsia="仿宋" w:cs="仿宋"/>
                <w:spacing w:val="11"/>
                <w:sz w:val="24"/>
              </w:rPr>
              <w:t>学业相关的国内权威科研竞赛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214C9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一等奖</w:t>
            </w:r>
            <w:r>
              <w:rPr>
                <w:rFonts w:hint="eastAsia" w:ascii="仿宋" w:hAnsi="仿宋" w:eastAsia="仿宋" w:cs="仿宋"/>
                <w:spacing w:val="11"/>
                <w:sz w:val="24"/>
              </w:rPr>
              <w:t>及以上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42E66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0.50 </w:t>
            </w:r>
          </w:p>
        </w:tc>
      </w:tr>
      <w:tr w14:paraId="79C6D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4ECB6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49D4C4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42417">
            <w:pPr>
              <w:rPr>
                <w:rFonts w:ascii="仿宋" w:hAnsi="仿宋" w:eastAsia="仿宋" w:cs="仿宋"/>
                <w:spacing w:val="11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二等奖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96BBC">
            <w:pPr>
              <w:jc w:val="center"/>
              <w:rPr>
                <w:rFonts w:hint="default" w:ascii="Times New Roman" w:hAnsi="Times New Roman" w:eastAsia="仿宋" w:cs="Times New Roman"/>
                <w:spacing w:val="11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0.40 </w:t>
            </w:r>
          </w:p>
        </w:tc>
      </w:tr>
      <w:tr w14:paraId="47136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EE50A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4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CEB8D">
            <w:pPr>
              <w:jc w:val="left"/>
              <w:rPr>
                <w:rFonts w:ascii="仿宋" w:hAnsi="仿宋" w:eastAsia="仿宋" w:cs="仿宋"/>
                <w:spacing w:val="11"/>
                <w:sz w:val="24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3E0F4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三等奖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F850D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0.30</w:t>
            </w:r>
          </w:p>
        </w:tc>
      </w:tr>
    </w:tbl>
    <w:p w14:paraId="00BDC82C">
      <w:pPr>
        <w:spacing w:line="400" w:lineRule="exact"/>
        <w:rPr>
          <w:rFonts w:hint="default" w:ascii="Times New Roman" w:hAnsi="Times New Roman" w:eastAsia="仿宋" w:cs="Times New Roman"/>
          <w:spacing w:val="11"/>
          <w:szCs w:val="21"/>
        </w:rPr>
      </w:pPr>
      <w:r>
        <w:rPr>
          <w:rFonts w:hint="eastAsia" w:ascii="仿宋" w:hAnsi="仿宋" w:eastAsia="仿宋" w:cs="仿宋"/>
          <w:spacing w:val="11"/>
          <w:szCs w:val="21"/>
        </w:rPr>
        <w:t>说明</w:t>
      </w:r>
      <w:r>
        <w:rPr>
          <w:rFonts w:hint="default" w:ascii="Times New Roman" w:hAnsi="Times New Roman" w:eastAsia="仿宋" w:cs="Times New Roman"/>
          <w:spacing w:val="11"/>
          <w:szCs w:val="21"/>
        </w:rPr>
        <w:t>：</w:t>
      </w:r>
      <w:r>
        <w:rPr>
          <w:rFonts w:hint="default" w:ascii="Times New Roman" w:hAnsi="Times New Roman" w:eastAsia="仿宋" w:cs="Times New Roman"/>
          <w:spacing w:val="11"/>
          <w:szCs w:val="21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pacing w:val="11"/>
          <w:szCs w:val="21"/>
        </w:rPr>
        <w:t>三大赛：第一等级奖项，前5名成员计满分，第6—10位成员按60%计分，其他成员按30%计分；第二等级奖项，前3名成员计满分，第4—8位成员按60%计分，其他成员按30%计分；第三等级奖项，前1名成员计满分，第2-6名成员按60%计分，其他成员按30%计分。</w:t>
      </w:r>
    </w:p>
    <w:p w14:paraId="70B6440B">
      <w:pPr>
        <w:spacing w:line="400" w:lineRule="exac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spacing w:val="11"/>
          <w:szCs w:val="21"/>
        </w:rPr>
        <w:t>2.学科和技能竞赛：第1位成员计满分，第2—3位成员按60%计分，第4—5位成员按30%计分，其他成员按10%计分。</w:t>
      </w:r>
    </w:p>
    <w:sectPr>
      <w:pgSz w:w="11906" w:h="16838"/>
      <w:pgMar w:top="209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369A48-EFCE-4B46-B36B-8F77632527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C94903C-E381-44C6-B96B-0A03AC19FE2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DE25601-4377-474A-BCE2-F0F02D5486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4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2026-08-29T12:57:45Z</dcterms:created>
  <dc:creator>ww158</dc:creator>
  <cp:lastModifiedBy>王维</cp:lastModifiedBy>
  <dcterms:modified xsi:type="dcterms:W3CDTF">2026-08-29T13:07:30Z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eyJoZGlkIjoiOTIwODZiOWE4OGU1MmVkNzJmMDM3ZTlmYjk3Njc3ODciLCJ1c2VySWQiOiIzNTUxNjk3NjQifQ==</vt:lpwstr>
  </property>
  <property fmtid="{D5CDD505-2E9C-101B-9397-08002B2CF9AE}" pid="4" name="ICV">
    <vt:lpwstr>866FE7B6E2FB448D8C58E831FF20CF69_12</vt:lpwstr>
  </property>
</Properties>
</file>