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sz w:val="32"/>
          <w:szCs w:val="32"/>
        </w:rPr>
      </w:pPr>
      <w:r>
        <w:rPr>
          <w:rFonts w:hint="eastAsia" w:ascii="黑体" w:hAnsi="黑体" w:eastAsia="黑体"/>
          <w:sz w:val="32"/>
          <w:szCs w:val="32"/>
        </w:rPr>
        <w:t>宁夏大学农学院硕士生导师选聘及招生资格认定细则（试行）</w:t>
      </w:r>
    </w:p>
    <w:p>
      <w:pPr>
        <w:ind w:firstLine="560" w:firstLineChars="200"/>
        <w:rPr>
          <w:rFonts w:asciiTheme="minorEastAsia" w:hAnsiTheme="minorEastAsia"/>
          <w:sz w:val="28"/>
          <w:szCs w:val="28"/>
        </w:rPr>
      </w:pPr>
    </w:p>
    <w:p>
      <w:pPr>
        <w:ind w:firstLine="560" w:firstLineChars="200"/>
        <w:rPr>
          <w:rFonts w:asciiTheme="minorEastAsia" w:hAnsiTheme="minorEastAsia"/>
          <w:sz w:val="28"/>
          <w:szCs w:val="28"/>
        </w:rPr>
      </w:pPr>
      <w:r>
        <w:rPr>
          <w:rFonts w:hint="eastAsia" w:asciiTheme="minorEastAsia" w:hAnsiTheme="minorEastAsia"/>
          <w:sz w:val="28"/>
          <w:szCs w:val="28"/>
        </w:rPr>
        <w:t>为深入推进学校新时代研究生教育评价改革，进一步加强导师队伍建设，努力造就一支有理想信念、</w:t>
      </w:r>
      <w:bookmarkStart w:id="0" w:name="_GoBack"/>
      <w:bookmarkEnd w:id="0"/>
      <w:r>
        <w:rPr>
          <w:rFonts w:hint="eastAsia" w:asciiTheme="minorEastAsia" w:hAnsiTheme="minorEastAsia"/>
          <w:sz w:val="28"/>
          <w:szCs w:val="28"/>
        </w:rPr>
        <w:t>有道德情操、有扎实学识、有仁爱之心的高水平创新型研究生导师队伍，持续提高我校硕士研究生教育培养质量，</w:t>
      </w:r>
      <w:r>
        <w:rPr>
          <w:rFonts w:hint="eastAsia"/>
          <w:sz w:val="28"/>
          <w:szCs w:val="28"/>
        </w:rPr>
        <w:t>根据《宁夏大学硕士生导师选聘及招生资格认定办法（试行）（宁大校发【2021】76号）》文件精神，结合学院实际，制定本细则。</w:t>
      </w:r>
      <w:r>
        <w:rPr>
          <w:rFonts w:hint="eastAsia" w:ascii="宋体" w:hAnsi="宋体" w:eastAsia="宋体"/>
          <w:sz w:val="28"/>
          <w:szCs w:val="28"/>
        </w:rPr>
        <w:t xml:space="preserve"> </w:t>
      </w:r>
      <w:r>
        <w:rPr>
          <w:rFonts w:hint="eastAsia" w:asciiTheme="minorEastAsia" w:hAnsiTheme="minorEastAsia"/>
          <w:sz w:val="28"/>
          <w:szCs w:val="28"/>
        </w:rPr>
        <w:t xml:space="preserve"> </w:t>
      </w:r>
    </w:p>
    <w:p>
      <w:pPr>
        <w:jc w:val="center"/>
        <w:rPr>
          <w:rFonts w:ascii="黑体" w:hAnsi="黑体" w:eastAsia="黑体"/>
          <w:sz w:val="28"/>
          <w:szCs w:val="28"/>
        </w:rPr>
      </w:pPr>
      <w:r>
        <w:rPr>
          <w:rFonts w:hint="eastAsia" w:ascii="黑体" w:hAnsi="黑体" w:eastAsia="黑体"/>
          <w:sz w:val="28"/>
          <w:szCs w:val="28"/>
        </w:rPr>
        <w:t>第一章 硕士生导师选聘</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第一条 硕士生导师的选聘，以学科学位点建设和研究生教育工作岗位的需要为前提，实行聘任制。一般安排在每年5-6月进行。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第二条 硕士生导师按一级学科选聘，申请者的学科专业方向须与申请选聘一级学科硕士学位点所设学科专业方向相同或相近。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第三条 满足以下条件者，具备申请资格：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（一）拥护中国共产党的领导，贯彻党的教育方针，模范遵守教师职业道德规范，爱岗敬业，潜心教书育人，业务素质优秀。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（二）一般应具有中级及以上专业技术职务，近五年所取得的业绩成果须经院学位评定分委员会认定通过。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（三）申请时须提交至少2项本人近五年所取得的代表性业绩成果，附原始佐证材料和能够表明本人学术贡献或科研能力的成果报告；代表性业绩成果包括以下类型：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1. 以第一作者或通讯作者在本学科专业方向或相近学科领域国内外学术期刊上公开发表高水平论文，由本学科专家组进行审核评价； </w:t>
      </w:r>
    </w:p>
    <w:p>
      <w:pPr>
        <w:ind w:firstLine="560" w:firstLineChars="200"/>
        <w:rPr>
          <w:rFonts w:asciiTheme="minorEastAsia" w:hAnsiTheme="minorEastAsia"/>
          <w:sz w:val="28"/>
          <w:szCs w:val="28"/>
        </w:rPr>
      </w:pPr>
      <w:r>
        <w:rPr>
          <w:rFonts w:hint="eastAsia" w:asciiTheme="minorEastAsia" w:hAnsiTheme="minorEastAsia"/>
          <w:sz w:val="28"/>
          <w:szCs w:val="28"/>
        </w:rPr>
        <w:t>2. 作为主编或重要参编者公开出版</w:t>
      </w:r>
      <w:r>
        <w:rPr>
          <w:rFonts w:ascii="仿宋_GB2312" w:hAnsi="仿宋_GB2312"/>
          <w:color w:val="FF0000"/>
          <w:sz w:val="28"/>
          <w:szCs w:val="28"/>
        </w:rPr>
        <w:t>1部</w:t>
      </w:r>
      <w:r>
        <w:rPr>
          <w:rFonts w:hint="eastAsia" w:asciiTheme="minorEastAsia" w:hAnsiTheme="minorEastAsia"/>
          <w:sz w:val="28"/>
          <w:szCs w:val="28"/>
        </w:rPr>
        <w:t>学术著作、译著、教材；</w:t>
      </w:r>
    </w:p>
    <w:p>
      <w:pPr>
        <w:rPr>
          <w:rFonts w:asciiTheme="minorEastAsia" w:hAnsiTheme="minorEastAsia"/>
          <w:sz w:val="28"/>
          <w:szCs w:val="28"/>
        </w:rPr>
      </w:pPr>
      <w:r>
        <w:rPr>
          <w:rFonts w:hint="eastAsia" w:asciiTheme="minorEastAsia" w:hAnsiTheme="minorEastAsia"/>
          <w:sz w:val="28"/>
          <w:szCs w:val="28"/>
        </w:rPr>
        <w:t xml:space="preserve">    3. 以主持人或主要参与人</w:t>
      </w:r>
      <w:r>
        <w:rPr>
          <w:rFonts w:hint="eastAsia" w:asciiTheme="minorEastAsia" w:hAnsiTheme="minorEastAsia"/>
          <w:color w:val="FF0000"/>
          <w:sz w:val="28"/>
          <w:szCs w:val="28"/>
        </w:rPr>
        <w:t>（国家级排名前5位，省部级排名前3位，或国家重点研发、自治区重点研发项目重点、重大课题负责人或专题负责人）</w:t>
      </w:r>
      <w:r>
        <w:rPr>
          <w:rFonts w:hint="eastAsia" w:asciiTheme="minorEastAsia" w:hAnsiTheme="minorEastAsia"/>
          <w:sz w:val="28"/>
          <w:szCs w:val="28"/>
        </w:rPr>
        <w:t>结题或在研省部级及以上科研项目、教改项目、咨询项目、设计项目等；</w:t>
      </w:r>
    </w:p>
    <w:p>
      <w:pPr>
        <w:ind w:firstLine="560" w:firstLineChars="200"/>
        <w:rPr>
          <w:rFonts w:asciiTheme="minorEastAsia" w:hAnsiTheme="minorEastAsia"/>
          <w:sz w:val="28"/>
          <w:szCs w:val="28"/>
        </w:rPr>
      </w:pPr>
      <w:r>
        <w:rPr>
          <w:rFonts w:hint="eastAsia" w:asciiTheme="minorEastAsia" w:hAnsiTheme="minorEastAsia"/>
          <w:sz w:val="28"/>
          <w:szCs w:val="28"/>
        </w:rPr>
        <w:t>4. 以第一完成人或作为主要完成人获得省部级及以上科研成果奖励，</w:t>
      </w:r>
      <w:r>
        <w:rPr>
          <w:rFonts w:hint="eastAsia" w:asciiTheme="minorEastAsia" w:hAnsiTheme="minorEastAsia"/>
          <w:color w:val="FF0000"/>
          <w:sz w:val="28"/>
          <w:szCs w:val="28"/>
        </w:rPr>
        <w:t>包括科技进步奖、自然科学奖、技术发明奖、中华神农奖、农牧渔业丰收奖等（一等奖排名前7位，二等奖排名前5位，三等奖排名前3位）</w:t>
      </w:r>
      <w:r>
        <w:rPr>
          <w:rFonts w:hint="eastAsia" w:asciiTheme="minorEastAsia" w:hAnsiTheme="minorEastAsia"/>
          <w:sz w:val="28"/>
          <w:szCs w:val="28"/>
        </w:rPr>
        <w:t xml:space="preserve">； </w:t>
      </w:r>
    </w:p>
    <w:p>
      <w:pPr>
        <w:ind w:firstLine="560" w:firstLineChars="200"/>
        <w:rPr>
          <w:rFonts w:asciiTheme="minorEastAsia" w:hAnsiTheme="minorEastAsia"/>
          <w:sz w:val="28"/>
          <w:szCs w:val="28"/>
        </w:rPr>
      </w:pPr>
      <w:r>
        <w:rPr>
          <w:rFonts w:hint="eastAsia" w:asciiTheme="minorEastAsia" w:hAnsiTheme="minorEastAsia"/>
          <w:sz w:val="28"/>
          <w:szCs w:val="28"/>
        </w:rPr>
        <w:t>5. 以第一完成人或作为主要完成人获得省部级及以上教学成果奖励</w:t>
      </w:r>
      <w:r>
        <w:rPr>
          <w:rFonts w:hint="eastAsia" w:asciiTheme="minorEastAsia" w:hAnsiTheme="minorEastAsia"/>
          <w:color w:val="FF0000"/>
          <w:sz w:val="28"/>
          <w:szCs w:val="28"/>
        </w:rPr>
        <w:t>（特等奖排名前7位，一等奖排名前5位，二等奖排名前3位）</w:t>
      </w:r>
      <w:r>
        <w:rPr>
          <w:rFonts w:hint="eastAsia" w:asciiTheme="minorEastAsia" w:hAnsiTheme="minorEastAsia"/>
          <w:sz w:val="28"/>
          <w:szCs w:val="28"/>
        </w:rPr>
        <w:t xml:space="preserve">； </w:t>
      </w:r>
    </w:p>
    <w:p>
      <w:pPr>
        <w:ind w:firstLine="560" w:firstLineChars="200"/>
        <w:rPr>
          <w:rFonts w:hint="eastAsia" w:asciiTheme="minorEastAsia" w:hAnsiTheme="minorEastAsia"/>
          <w:sz w:val="28"/>
          <w:szCs w:val="28"/>
        </w:rPr>
      </w:pPr>
      <w:r>
        <w:rPr>
          <w:rFonts w:hint="eastAsia" w:asciiTheme="minorEastAsia" w:hAnsiTheme="minorEastAsia"/>
          <w:sz w:val="28"/>
          <w:szCs w:val="28"/>
        </w:rPr>
        <w:t>6. 以第一完成人获得授权发明专利</w:t>
      </w:r>
      <w:r>
        <w:rPr>
          <w:rFonts w:hint="eastAsia" w:asciiTheme="minorEastAsia" w:hAnsiTheme="minorEastAsia"/>
          <w:color w:val="FF0000"/>
          <w:sz w:val="28"/>
          <w:szCs w:val="28"/>
        </w:rPr>
        <w:t>（学生为第一完成人视同指导教师也为第一完成人）</w:t>
      </w:r>
      <w:r>
        <w:rPr>
          <w:rFonts w:hint="eastAsia" w:asciiTheme="minorEastAsia" w:hAnsiTheme="minorEastAsia"/>
          <w:sz w:val="28"/>
          <w:szCs w:val="28"/>
        </w:rPr>
        <w:t>，或作为主要完成人</w:t>
      </w:r>
      <w:r>
        <w:rPr>
          <w:rFonts w:hint="eastAsia" w:asciiTheme="minorEastAsia" w:hAnsiTheme="minorEastAsia"/>
          <w:color w:val="FF0000"/>
          <w:sz w:val="28"/>
          <w:szCs w:val="28"/>
        </w:rPr>
        <w:t>（排名前10位）</w:t>
      </w:r>
      <w:r>
        <w:rPr>
          <w:rFonts w:hint="eastAsia" w:asciiTheme="minorEastAsia" w:hAnsiTheme="minorEastAsia"/>
          <w:sz w:val="28"/>
          <w:szCs w:val="28"/>
        </w:rPr>
        <w:t xml:space="preserve">取得新品种、新医药或制定行业标准等； </w:t>
      </w:r>
    </w:p>
    <w:p>
      <w:pPr>
        <w:ind w:firstLine="560" w:firstLineChars="200"/>
        <w:rPr>
          <w:rFonts w:asciiTheme="minorEastAsia" w:hAnsiTheme="minorEastAsia"/>
          <w:color w:val="FF0000"/>
          <w:sz w:val="28"/>
          <w:szCs w:val="28"/>
        </w:rPr>
      </w:pPr>
      <w:r>
        <w:rPr>
          <w:rFonts w:hint="eastAsia" w:asciiTheme="minorEastAsia" w:hAnsiTheme="minorEastAsia"/>
          <w:sz w:val="28"/>
          <w:szCs w:val="28"/>
        </w:rPr>
        <w:t xml:space="preserve">7. </w:t>
      </w:r>
      <w:r>
        <w:rPr>
          <w:rFonts w:hint="eastAsia" w:asciiTheme="minorEastAsia" w:hAnsiTheme="minorEastAsia"/>
          <w:color w:val="FF0000"/>
          <w:sz w:val="28"/>
          <w:szCs w:val="28"/>
        </w:rPr>
        <w:t>以第一完成人转化一项科技成果并且转化资金到学校账务账上；</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8. 以第一完成人获得省部级以上领导批示并被厅局级以上相关政府部门采用的调研（咨询）报告等。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（四）年龄一般不超过57周岁，其中40周岁以下的申请人应具有博士学位，40周岁以上（含40岁）的申请人应具有硕士学位。同等条件下，具有协助指导研究生经历的申请人优先选聘。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第五条 申请校外兼职硕士生导师资格，申请人所在单位应与我院建有稳定的合作关系。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第六条 选聘程序：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（一） 申请人填写《宁夏大学硕士生指导教师聘任资格申请表》。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（二）申请人应有两名所申请学科学位点现任硕士生导师推荐。 </w:t>
      </w:r>
    </w:p>
    <w:p>
      <w:pPr>
        <w:ind w:firstLine="560" w:firstLineChars="200"/>
        <w:rPr>
          <w:rFonts w:asciiTheme="minorEastAsia" w:hAnsiTheme="minorEastAsia"/>
          <w:sz w:val="28"/>
          <w:szCs w:val="28"/>
        </w:rPr>
      </w:pPr>
      <w:r>
        <w:rPr>
          <w:rFonts w:hint="eastAsia" w:asciiTheme="minorEastAsia" w:hAnsiTheme="minorEastAsia"/>
          <w:sz w:val="28"/>
          <w:szCs w:val="28"/>
        </w:rPr>
        <w:t>（三）院学位评定分委员会依据本选聘细则，组织不少于5名博硕士生导师组成本学科专家组（推荐专家不在其列；校外同行专家不少于2人），对申请人及其代表性业绩成果进行审核评价，必要时可采用现场质询或者答辩等形式；经无记名投票，赞成票达到三分之二以上（含三分之二）者视为通过。</w:t>
      </w:r>
    </w:p>
    <w:p>
      <w:pPr>
        <w:rPr>
          <w:rFonts w:asciiTheme="minorEastAsia" w:hAnsiTheme="minorEastAsia"/>
          <w:sz w:val="28"/>
          <w:szCs w:val="28"/>
        </w:rPr>
      </w:pPr>
      <w:r>
        <w:rPr>
          <w:rFonts w:hint="eastAsia" w:asciiTheme="minorEastAsia" w:hAnsiTheme="minorEastAsia"/>
          <w:sz w:val="28"/>
          <w:szCs w:val="28"/>
        </w:rPr>
        <w:t xml:space="preserve">   （四）审核评价通过者，提交院学位评定分委员会审议，经无记名投票表决，赞成票达到三分之二以上（含三分之二）者视为通过；选聘结果报研究生院复核。 </w:t>
      </w:r>
    </w:p>
    <w:p>
      <w:pPr>
        <w:rPr>
          <w:rFonts w:asciiTheme="minorEastAsia" w:hAnsiTheme="minorEastAsia"/>
          <w:sz w:val="28"/>
          <w:szCs w:val="28"/>
        </w:rPr>
      </w:pPr>
      <w:r>
        <w:rPr>
          <w:rFonts w:hint="eastAsia" w:asciiTheme="minorEastAsia" w:hAnsiTheme="minorEastAsia"/>
          <w:sz w:val="28"/>
          <w:szCs w:val="28"/>
        </w:rPr>
        <w:t xml:space="preserve">   （五）复核通过者，经校学位评定委员会审定后予以公布。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第七条 学院对聘任的硕士生导师履职情况进行定期考核，并及时提出对硕士生导师进行调整的意见，报研究生院备案。 </w:t>
      </w:r>
    </w:p>
    <w:p>
      <w:pPr>
        <w:jc w:val="center"/>
        <w:rPr>
          <w:rFonts w:ascii="黑体" w:hAnsi="黑体" w:eastAsia="黑体"/>
          <w:sz w:val="28"/>
          <w:szCs w:val="28"/>
        </w:rPr>
      </w:pPr>
      <w:r>
        <w:rPr>
          <w:rFonts w:hint="eastAsia" w:ascii="黑体" w:hAnsi="黑体" w:eastAsia="黑体"/>
          <w:sz w:val="28"/>
          <w:szCs w:val="28"/>
        </w:rPr>
        <w:t>第二章 硕士生导师招生资格认定</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第八条 硕士生导师招生资格认定遵照 “坚持标准、确保质量、动态上岗、公平公正公开”的原则，一般安排在每年6—7月进行。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第九条 拟在下一学年度招收硕士研究生的导师均须进行招生资格认定，认定通过者方可安排招生。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第十条 硕士生导师在招生当年度1月1日达到国家规定退休年龄，原则上应终止招生申请。身体健康、研究生培养质量和科研业绩特别突出者，由一级学科硕士学位点推荐，经校学位评定委员会主席会议审核通过后，可继续申请招生。同时具有博士生导师资格的硕士生导师不受此限制。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第十一条 校内硕士生导师认定招生资格的基本条件：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（一）拥护中国共产党的领导，贯彻党的教育方针，治学严谨，作风正派，遵纪守法，恪守学术道德与科研诚信，认真履行导师立德树人职责，有充裕时间和精力指导研究生并保证培养质量。 </w:t>
      </w:r>
    </w:p>
    <w:p>
      <w:pPr>
        <w:ind w:firstLine="560" w:firstLineChars="200"/>
        <w:rPr>
          <w:rFonts w:asciiTheme="minorEastAsia" w:hAnsiTheme="minorEastAsia"/>
          <w:color w:val="FF0000"/>
          <w:sz w:val="28"/>
          <w:szCs w:val="28"/>
        </w:rPr>
      </w:pPr>
      <w:r>
        <w:rPr>
          <w:rFonts w:hint="eastAsia" w:asciiTheme="minorEastAsia" w:hAnsiTheme="minorEastAsia"/>
          <w:sz w:val="28"/>
          <w:szCs w:val="28"/>
        </w:rPr>
        <w:t>（二）科研方向稳定，工作业绩突出；作为主持人或主要参与者</w:t>
      </w:r>
      <w:r>
        <w:rPr>
          <w:rFonts w:hint="eastAsia" w:asciiTheme="minorEastAsia" w:hAnsiTheme="minorEastAsia"/>
          <w:color w:val="FF0000"/>
          <w:sz w:val="28"/>
          <w:szCs w:val="28"/>
        </w:rPr>
        <w:t>（排名前3位）</w:t>
      </w:r>
      <w:r>
        <w:rPr>
          <w:rFonts w:hint="eastAsia" w:asciiTheme="minorEastAsia" w:hAnsiTheme="minorEastAsia"/>
          <w:sz w:val="28"/>
          <w:szCs w:val="28"/>
        </w:rPr>
        <w:t>，有</w:t>
      </w:r>
      <w:r>
        <w:rPr>
          <w:rFonts w:hint="eastAsia" w:asciiTheme="minorEastAsia" w:hAnsiTheme="minorEastAsia"/>
          <w:color w:val="FF0000"/>
          <w:sz w:val="28"/>
          <w:szCs w:val="28"/>
        </w:rPr>
        <w:t>至少1项</w:t>
      </w:r>
      <w:r>
        <w:rPr>
          <w:rFonts w:hint="eastAsia" w:asciiTheme="minorEastAsia" w:hAnsiTheme="minorEastAsia"/>
          <w:sz w:val="28"/>
          <w:szCs w:val="28"/>
        </w:rPr>
        <w:t>在研科研项目、教改项目、学科建设项目、咨询或设计项目等，实际可支配经费能够满足研究生培养需求，</w:t>
      </w:r>
      <w:r>
        <w:rPr>
          <w:rFonts w:hint="eastAsia" w:asciiTheme="minorEastAsia" w:hAnsiTheme="minorEastAsia"/>
          <w:color w:val="FF0000"/>
          <w:sz w:val="28"/>
          <w:szCs w:val="28"/>
        </w:rPr>
        <w:t>申请指导学术型硕士生近3年科研到位经费15万元及以上，申请指导专业型硕士生近3年科研到位经费8万元及以上。</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（三）主动承担研究生课程教学任务，积极参与实习实践基地体系建设、教育教学改革和学科学位点建设，并取得实际成效。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第十二条 校外兼职硕士生导师招生资格基本条件：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（一）在本学科专业领域或本行业具有较高学术声誉，经本院招生学位点推荐的人员。 </w:t>
      </w:r>
    </w:p>
    <w:p>
      <w:pPr>
        <w:ind w:firstLine="560" w:firstLineChars="200"/>
        <w:rPr>
          <w:rFonts w:hint="eastAsia" w:asciiTheme="minorEastAsia" w:hAnsiTheme="minorEastAsia"/>
          <w:sz w:val="28"/>
          <w:szCs w:val="28"/>
        </w:rPr>
      </w:pPr>
      <w:r>
        <w:rPr>
          <w:rFonts w:hint="eastAsia" w:asciiTheme="minorEastAsia" w:hAnsiTheme="minorEastAsia"/>
          <w:sz w:val="28"/>
          <w:szCs w:val="28"/>
        </w:rPr>
        <w:t>（二）科研方向稳定，工作业绩突出；在研科研项目（含横向委托项目）的实际可支配经费能够满足研究生培养需求，</w:t>
      </w:r>
      <w:r>
        <w:rPr>
          <w:rFonts w:hint="eastAsia" w:asciiTheme="minorEastAsia" w:hAnsiTheme="minorEastAsia"/>
          <w:color w:val="FF0000"/>
          <w:sz w:val="28"/>
          <w:szCs w:val="28"/>
        </w:rPr>
        <w:t>申请指导学术型硕士生近3年科研到位经费15万元及以上，申请指导专业型硕士生近3年科研到位经费8万元及以上。</w:t>
      </w:r>
      <w:r>
        <w:rPr>
          <w:rFonts w:hint="eastAsia" w:asciiTheme="minorEastAsia" w:hAnsiTheme="minorEastAsia"/>
          <w:sz w:val="28"/>
          <w:szCs w:val="28"/>
        </w:rPr>
        <w:t xml:space="preserve"> </w:t>
      </w:r>
    </w:p>
    <w:p>
      <w:pPr>
        <w:ind w:firstLine="560" w:firstLineChars="200"/>
        <w:rPr>
          <w:rFonts w:asciiTheme="minorEastAsia" w:hAnsiTheme="minorEastAsia"/>
          <w:color w:val="FF0000"/>
          <w:sz w:val="28"/>
          <w:szCs w:val="28"/>
        </w:rPr>
      </w:pPr>
      <w:r>
        <w:rPr>
          <w:rFonts w:hint="eastAsia" w:asciiTheme="minorEastAsia" w:hAnsiTheme="minorEastAsia"/>
          <w:color w:val="FF0000"/>
          <w:sz w:val="28"/>
          <w:szCs w:val="28"/>
        </w:rPr>
        <w:t>（三）校外兼职硕士生导师一般应与所招生学科专业教师有科研项目合作。</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第十三条 招生资格认定程序：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（一）硕士生导师填报《宁夏大学硕士研究生导师招生资格认定申请表》，向学院提出申请。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（二）学院依据本单位硕士生导师招生资格认定细则，对申请人及其业绩进行审核，审核通过者提交院学位评定分委员会审议。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（三）院学位评定分委员会审议时，须进行无记名投票表决，赞成票达到三分之二以上（含三分之二）者为通过，确定本单位拟招生导师名单，报研究生院复核。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（四）复核通过者，经校学位评定委员审定后予以公布。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第十四条 有下列情况之一者不予认定招生资格：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（一）依据《宁夏大学全面落实研究生导师立德树人职责实施细则（试行）》，被认定存在师德失范行为者。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（二）所指导的硕士研究生学位论文，在国家、自治区组织的质量抽检中出现“存在问题学位论文”，2年内不得招生。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（三）近三年内，所指导的硕士研究生学位论文，其盲审结果有2篇以上（含2篇）为“不通过”。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（四）拒绝承担学院分配的教学科研任务；或者出现教学事故，给学校教学工作带来较严重不良影响者。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（五）经查实，存在学术不端行为者。 </w:t>
      </w:r>
    </w:p>
    <w:p>
      <w:pPr>
        <w:ind w:firstLine="560" w:firstLineChars="200"/>
        <w:rPr>
          <w:rFonts w:asciiTheme="minorEastAsia" w:hAnsiTheme="minorEastAsia"/>
          <w:sz w:val="28"/>
          <w:szCs w:val="28"/>
        </w:rPr>
      </w:pPr>
      <w:r>
        <w:rPr>
          <w:rFonts w:hint="eastAsia" w:asciiTheme="minorEastAsia" w:hAnsiTheme="minorEastAsia"/>
          <w:sz w:val="28"/>
          <w:szCs w:val="28"/>
        </w:rPr>
        <w:t xml:space="preserve">（六）经组织评估，确认近期不适宜继续担任硕士生导师者；或被认定存在其他不适合招收研究生的事件或行为者。 </w:t>
      </w:r>
    </w:p>
    <w:p>
      <w:pPr>
        <w:ind w:left="149" w:leftChars="71" w:firstLine="560" w:firstLineChars="200"/>
        <w:rPr>
          <w:rFonts w:ascii="宋体" w:hAnsi="宋体" w:eastAsia="宋体"/>
          <w:sz w:val="28"/>
          <w:szCs w:val="28"/>
        </w:rPr>
      </w:pPr>
      <w:r>
        <w:rPr>
          <w:rFonts w:hint="eastAsia"/>
          <w:sz w:val="28"/>
          <w:szCs w:val="28"/>
        </w:rPr>
        <w:t>本细则由宁夏大学农学院研究生办公室负责解释，自公布之日起执行。</w:t>
      </w:r>
    </w:p>
    <w:p>
      <w:pPr>
        <w:rPr>
          <w:rFonts w:asciiTheme="minorEastAsia" w:hAnsiTheme="minorEastAsia"/>
          <w:sz w:val="28"/>
          <w:szCs w:val="28"/>
        </w:rPr>
      </w:pPr>
    </w:p>
    <w:p>
      <w:pPr>
        <w:ind w:firstLine="5320" w:firstLineChars="1900"/>
        <w:rPr>
          <w:sz w:val="28"/>
          <w:szCs w:val="28"/>
        </w:rPr>
      </w:pPr>
      <w:r>
        <w:rPr>
          <w:rFonts w:hint="eastAsia"/>
          <w:sz w:val="28"/>
          <w:szCs w:val="28"/>
        </w:rPr>
        <w:t>宁夏大学农学院</w:t>
      </w:r>
    </w:p>
    <w:p>
      <w:pPr>
        <w:ind w:firstLine="560" w:firstLineChars="200"/>
        <w:rPr>
          <w:sz w:val="28"/>
          <w:szCs w:val="28"/>
        </w:rPr>
      </w:pPr>
    </w:p>
    <w:p>
      <w:pPr>
        <w:ind w:firstLine="560" w:firstLineChars="200"/>
        <w:rPr>
          <w:rFonts w:asciiTheme="minorEastAsia" w:hAnsiTheme="minorEastAsia"/>
          <w:sz w:val="28"/>
          <w:szCs w:val="28"/>
        </w:rPr>
      </w:pPr>
      <w:r>
        <w:rPr>
          <w:rFonts w:hint="eastAsia"/>
          <w:sz w:val="28"/>
          <w:szCs w:val="28"/>
        </w:rPr>
        <w:t xml:space="preserve">                                      2021.6.16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DFD"/>
    <w:rsid w:val="000070F6"/>
    <w:rsid w:val="00007C70"/>
    <w:rsid w:val="00047074"/>
    <w:rsid w:val="000A2C6D"/>
    <w:rsid w:val="000A69ED"/>
    <w:rsid w:val="00116C79"/>
    <w:rsid w:val="001D740D"/>
    <w:rsid w:val="00232282"/>
    <w:rsid w:val="00254473"/>
    <w:rsid w:val="00263DFD"/>
    <w:rsid w:val="002803CE"/>
    <w:rsid w:val="002C626E"/>
    <w:rsid w:val="002F5A3E"/>
    <w:rsid w:val="00300F24"/>
    <w:rsid w:val="003247D2"/>
    <w:rsid w:val="003767A6"/>
    <w:rsid w:val="003848C0"/>
    <w:rsid w:val="003A1316"/>
    <w:rsid w:val="003F67EB"/>
    <w:rsid w:val="0044531B"/>
    <w:rsid w:val="0046654E"/>
    <w:rsid w:val="00482DB6"/>
    <w:rsid w:val="00495C86"/>
    <w:rsid w:val="00504C48"/>
    <w:rsid w:val="00521784"/>
    <w:rsid w:val="005436B1"/>
    <w:rsid w:val="0059384D"/>
    <w:rsid w:val="005973B1"/>
    <w:rsid w:val="005A5F81"/>
    <w:rsid w:val="005B3637"/>
    <w:rsid w:val="005C3AF5"/>
    <w:rsid w:val="005D763B"/>
    <w:rsid w:val="00641B8E"/>
    <w:rsid w:val="006672FA"/>
    <w:rsid w:val="00682F0D"/>
    <w:rsid w:val="006C1F8E"/>
    <w:rsid w:val="006E5E56"/>
    <w:rsid w:val="00725902"/>
    <w:rsid w:val="00753A75"/>
    <w:rsid w:val="00757EB5"/>
    <w:rsid w:val="00783964"/>
    <w:rsid w:val="00790A65"/>
    <w:rsid w:val="007A2722"/>
    <w:rsid w:val="007A381E"/>
    <w:rsid w:val="007B313A"/>
    <w:rsid w:val="007C2CD3"/>
    <w:rsid w:val="008277F7"/>
    <w:rsid w:val="00827E84"/>
    <w:rsid w:val="00911B9E"/>
    <w:rsid w:val="00922A39"/>
    <w:rsid w:val="009C3A5D"/>
    <w:rsid w:val="009F275C"/>
    <w:rsid w:val="00A6349C"/>
    <w:rsid w:val="00A8118F"/>
    <w:rsid w:val="00B24AB3"/>
    <w:rsid w:val="00BF1CA6"/>
    <w:rsid w:val="00C20DDB"/>
    <w:rsid w:val="00C2480E"/>
    <w:rsid w:val="00C32597"/>
    <w:rsid w:val="00CA4790"/>
    <w:rsid w:val="00CB24AD"/>
    <w:rsid w:val="00CD7F16"/>
    <w:rsid w:val="00CE3B50"/>
    <w:rsid w:val="00D346AB"/>
    <w:rsid w:val="00D60470"/>
    <w:rsid w:val="00D609DF"/>
    <w:rsid w:val="00D64863"/>
    <w:rsid w:val="00D77432"/>
    <w:rsid w:val="00E067E1"/>
    <w:rsid w:val="00E30CA3"/>
    <w:rsid w:val="00F02955"/>
    <w:rsid w:val="00F17B17"/>
    <w:rsid w:val="00F358A9"/>
    <w:rsid w:val="00F735E1"/>
    <w:rsid w:val="00FE0DAC"/>
    <w:rsid w:val="0F9648B5"/>
    <w:rsid w:val="40790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34"/>
    <w:pPr>
      <w:ind w:firstLine="420" w:firstLineChars="200"/>
    </w:pPr>
  </w:style>
  <w:style w:type="character" w:customStyle="1" w:styleId="7">
    <w:name w:val="页眉 Char"/>
    <w:basedOn w:val="5"/>
    <w:link w:val="3"/>
    <w:uiPriority w:val="99"/>
    <w:rPr>
      <w:sz w:val="18"/>
      <w:szCs w:val="18"/>
    </w:rPr>
  </w:style>
  <w:style w:type="character" w:customStyle="1" w:styleId="8">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432</Words>
  <Characters>2467</Characters>
  <Lines>20</Lines>
  <Paragraphs>5</Paragraphs>
  <TotalTime>103</TotalTime>
  <ScaleCrop>false</ScaleCrop>
  <LinksUpToDate>false</LinksUpToDate>
  <CharactersWithSpaces>2894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2021-06-15T10:52:00Z</dcterms:created>
  <dc:creator>Dell</dc:creator>
  <cp:lastModifiedBy>YANGFEI</cp:lastModifiedBy>
  <dcterms:modified xsi:type="dcterms:W3CDTF">2021-09-01T01:26:41Z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FE4D44E325924905AF2EF6D38A5542D6</vt:lpwstr>
  </property>
</Properties>
</file>