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3926A">
      <w:pPr>
        <w:spacing w:before="380" w:after="140" w:line="288" w:lineRule="auto"/>
        <w:jc w:val="center"/>
        <w:outlineLvl w:val="0"/>
      </w:pPr>
      <w:bookmarkStart w:id="0" w:name="heading_0"/>
      <w:r>
        <w:rPr>
          <w:rFonts w:ascii="Arial" w:hAnsi="Arial" w:eastAsia="等线" w:cs="Arial"/>
          <w:b/>
          <w:sz w:val="36"/>
        </w:rPr>
        <w:t>天津大学强基计划培养方案（应用化学）</w:t>
      </w:r>
      <w:bookmarkEnd w:id="0"/>
    </w:p>
    <w:p w14:paraId="4C8DE909">
      <w:pPr>
        <w:spacing w:before="320" w:after="120" w:line="288" w:lineRule="auto"/>
        <w:jc w:val="left"/>
        <w:outlineLvl w:val="1"/>
      </w:pPr>
      <w:bookmarkStart w:id="1" w:name="heading_1"/>
      <w:bookmarkStart w:id="23" w:name="_GoBack"/>
      <w:bookmarkEnd w:id="23"/>
      <w:r>
        <w:rPr>
          <w:rFonts w:ascii="Arial" w:hAnsi="Arial" w:eastAsia="等线" w:cs="Arial"/>
          <w:b/>
          <w:sz w:val="32"/>
        </w:rPr>
        <w:t>一、基本情况</w:t>
      </w:r>
      <w:bookmarkEnd w:id="1"/>
    </w:p>
    <w:p w14:paraId="17AF8973">
      <w:pPr>
        <w:spacing w:before="300" w:after="120" w:line="288" w:lineRule="auto"/>
        <w:jc w:val="left"/>
        <w:outlineLvl w:val="2"/>
      </w:pPr>
      <w:bookmarkStart w:id="2" w:name="heading_2"/>
      <w:r>
        <w:rPr>
          <w:rFonts w:ascii="Arial" w:hAnsi="Arial" w:eastAsia="等线" w:cs="Arial"/>
          <w:b/>
          <w:sz w:val="30"/>
        </w:rPr>
        <w:t>1. 专业简介</w:t>
      </w:r>
      <w:bookmarkEnd w:id="2"/>
    </w:p>
    <w:p w14:paraId="68CDE43F">
      <w:pPr>
        <w:adjustRightInd w:val="0"/>
        <w:snapToGrid w:val="0"/>
        <w:spacing w:before="120" w:after="120" w:line="360" w:lineRule="auto"/>
        <w:ind w:firstLine="440" w:firstLineChars="200"/>
        <w:jc w:val="left"/>
      </w:pPr>
      <w:r>
        <w:rPr>
          <w:rFonts w:ascii="Arial" w:hAnsi="Arial" w:eastAsia="等线" w:cs="Arial"/>
          <w:sz w:val="22"/>
        </w:rPr>
        <w:t>天津大学化学学科历史悠久，1911年天津大学的前身——北洋大学就设立了化学学科。新中国成立后，1951年成立了化学系，1952年院系调整时并入化学工程系，1983年复建化学系。1986年为适应国家建设需要和学科分布要求，设立了“应用化学”理科专业。1996年</w:t>
      </w:r>
      <w:r>
        <w:rPr>
          <w:rFonts w:hint="eastAsia" w:ascii="Arial" w:hAnsi="Arial" w:eastAsia="等线" w:cs="Arial"/>
          <w:sz w:val="22"/>
        </w:rPr>
        <w:t>～</w:t>
      </w:r>
      <w:r>
        <w:rPr>
          <w:rFonts w:ascii="Arial" w:hAnsi="Arial" w:eastAsia="等线" w:cs="Arial"/>
          <w:sz w:val="22"/>
        </w:rPr>
        <w:t>2007年间，先后建立了化学各二级学科硕士点、博士点、一级学科博士点和博士后流动站。2009年应用化学专业被评为国家级特色专业。2017年与2021年，化学学科持续入选教育部“双一流”建设学科</w:t>
      </w:r>
      <w:r>
        <w:rPr>
          <w:rFonts w:hint="eastAsia" w:ascii="Arial" w:hAnsi="Arial" w:eastAsia="等线" w:cs="Arial"/>
          <w:sz w:val="22"/>
        </w:rPr>
        <w:t>，进入全球ESI排名前万分之一行列</w:t>
      </w:r>
      <w:r>
        <w:rPr>
          <w:rFonts w:ascii="Arial" w:hAnsi="Arial" w:eastAsia="等线" w:cs="Arial"/>
          <w:sz w:val="22"/>
        </w:rPr>
        <w:t>。2018年，在理学院理科试验班（理化）大类招生与培养的基础上设置了“侯德榜化学英才班”，探索对优秀学生的专门化、特色化培养。2020年，应用化学专业获批国家级一流本科专业建设点，同年应用化学专业首批入选教育部“强基计划”专业。2021年应用化学专业获批教育部基础学科拔尖人才培养计划2.0基地。</w:t>
      </w:r>
    </w:p>
    <w:p w14:paraId="21864E2D">
      <w:pPr>
        <w:adjustRightInd w:val="0"/>
        <w:snapToGrid w:val="0"/>
        <w:spacing w:before="120" w:after="120" w:line="360" w:lineRule="auto"/>
        <w:ind w:firstLine="440" w:firstLineChars="200"/>
        <w:jc w:val="left"/>
      </w:pPr>
      <w:r>
        <w:rPr>
          <w:rFonts w:ascii="Arial" w:hAnsi="Arial" w:eastAsia="等线" w:cs="Arial"/>
          <w:sz w:val="22"/>
        </w:rPr>
        <w:t>应用化学专业发挥天津大学新工科集群优势，面向国家重大战略需求，培养化学及相关交叉学科领域高层次人才。注重对学生家国情怀、全球视野的塑造和培养，依托化学、化工、材料、环境等化学相关学科领域的国家重大项目、国家重点实验室、国家级教育教学和科研创新专家人才，实施对强基计划学生的引领和培养，通过进一步夯实数理化基础、加强化学思维训练和创新意识与能力培养，来达成人才培养目标。</w:t>
      </w:r>
    </w:p>
    <w:p w14:paraId="00DCF914">
      <w:pPr>
        <w:adjustRightInd w:val="0"/>
        <w:snapToGrid w:val="0"/>
        <w:spacing w:before="120" w:after="120" w:line="360" w:lineRule="auto"/>
        <w:ind w:firstLine="440" w:firstLineChars="200"/>
        <w:jc w:val="left"/>
      </w:pPr>
      <w:r>
        <w:rPr>
          <w:rFonts w:ascii="Arial" w:hAnsi="Arial" w:eastAsia="等线" w:cs="Arial"/>
          <w:sz w:val="22"/>
        </w:rPr>
        <w:t>近年来应用化学专业和化学学科聚焦国际学科前沿和国家重大发展战略，形成了分子聚集态科学、</w:t>
      </w:r>
      <w:r>
        <w:rPr>
          <w:rFonts w:ascii="Arial" w:hAnsi="Arial" w:eastAsia="等线" w:cs="Arial"/>
          <w:sz w:val="22"/>
          <w:highlight w:val="none"/>
        </w:rPr>
        <w:t>光电功能材料、有机光电材料与器件、能源催化材料与技术、生物合成、元素有机化学、</w:t>
      </w:r>
      <w:r>
        <w:rPr>
          <w:rFonts w:hint="eastAsia" w:ascii="Arial" w:hAnsi="Arial" w:eastAsia="等线" w:cs="Arial"/>
          <w:sz w:val="22"/>
          <w:highlight w:val="none"/>
        </w:rPr>
        <w:t>人工智能化学、</w:t>
      </w:r>
      <w:r>
        <w:rPr>
          <w:rFonts w:ascii="Arial" w:hAnsi="Arial" w:eastAsia="等线" w:cs="Arial"/>
          <w:sz w:val="22"/>
          <w:highlight w:val="none"/>
        </w:rPr>
        <w:t>纳米光子学与响应性智能材料、高效分离与识别介质与技术、化学理论与机制研究等一批在</w:t>
      </w:r>
      <w:r>
        <w:rPr>
          <w:rFonts w:ascii="Arial" w:hAnsi="Arial" w:eastAsia="等线" w:cs="Arial"/>
          <w:sz w:val="22"/>
        </w:rPr>
        <w:t>国内外有重要影响的特色研究方向。未来还将继续探索多学科交叉融合，瞄准学科前沿领域和国家重大需求，培养具有国际竞争力的高水平人才。</w:t>
      </w:r>
    </w:p>
    <w:p w14:paraId="262D14FB">
      <w:pPr>
        <w:spacing w:before="300" w:after="120" w:line="288" w:lineRule="auto"/>
        <w:jc w:val="left"/>
        <w:outlineLvl w:val="2"/>
      </w:pPr>
      <w:bookmarkStart w:id="3" w:name="heading_3"/>
      <w:r>
        <w:rPr>
          <w:rFonts w:ascii="Arial" w:hAnsi="Arial" w:eastAsia="等线" w:cs="Arial"/>
          <w:b/>
          <w:sz w:val="30"/>
        </w:rPr>
        <w:t>2. 师资队伍</w:t>
      </w:r>
      <w:bookmarkEnd w:id="3"/>
    </w:p>
    <w:p w14:paraId="2BE26FAC">
      <w:pPr>
        <w:adjustRightInd w:val="0"/>
        <w:snapToGrid w:val="0"/>
        <w:spacing w:before="120" w:after="120" w:line="360" w:lineRule="auto"/>
        <w:ind w:firstLine="440" w:firstLineChars="200"/>
        <w:jc w:val="left"/>
      </w:pPr>
      <w:r>
        <w:rPr>
          <w:rFonts w:ascii="Arial" w:hAnsi="Arial" w:eastAsia="等线" w:cs="Arial"/>
          <w:sz w:val="22"/>
        </w:rPr>
        <w:t>专业师资力量雄厚，现有教授</w:t>
      </w:r>
      <w:r>
        <w:rPr>
          <w:rFonts w:hint="eastAsia" w:ascii="Arial" w:hAnsi="Arial" w:eastAsia="等线" w:cs="Arial"/>
          <w:sz w:val="22"/>
        </w:rPr>
        <w:t>48</w:t>
      </w:r>
      <w:r>
        <w:rPr>
          <w:rFonts w:ascii="Arial" w:hAnsi="Arial" w:eastAsia="等线" w:cs="Arial"/>
          <w:sz w:val="22"/>
        </w:rPr>
        <w:t>人，副教授</w:t>
      </w:r>
      <w:r>
        <w:rPr>
          <w:rFonts w:hint="eastAsia" w:ascii="Arial" w:hAnsi="Arial" w:eastAsia="等线" w:cs="Arial"/>
          <w:sz w:val="22"/>
        </w:rPr>
        <w:t>37</w:t>
      </w:r>
      <w:r>
        <w:rPr>
          <w:rFonts w:ascii="Arial" w:hAnsi="Arial" w:eastAsia="等线" w:cs="Arial"/>
          <w:sz w:val="22"/>
        </w:rPr>
        <w:t>人。其中中科院院士</w:t>
      </w:r>
      <w:r>
        <w:rPr>
          <w:rFonts w:hint="eastAsia" w:ascii="Arial" w:hAnsi="Arial" w:eastAsia="等线" w:cs="Arial"/>
          <w:sz w:val="22"/>
        </w:rPr>
        <w:t>1</w:t>
      </w:r>
      <w:r>
        <w:rPr>
          <w:rFonts w:ascii="Arial" w:hAnsi="Arial" w:eastAsia="等线" w:cs="Arial"/>
          <w:sz w:val="22"/>
        </w:rPr>
        <w:t>人，国家级领军人才</w:t>
      </w:r>
      <w:r>
        <w:rPr>
          <w:rFonts w:hint="eastAsia" w:ascii="Arial" w:hAnsi="Arial" w:eastAsia="等线" w:cs="Arial"/>
          <w:sz w:val="22"/>
        </w:rPr>
        <w:t>5人</w:t>
      </w:r>
      <w:r>
        <w:rPr>
          <w:rFonts w:ascii="Arial" w:hAnsi="Arial" w:eastAsia="等线" w:cs="Arial"/>
          <w:sz w:val="22"/>
        </w:rPr>
        <w:t>，国家级青年人才</w:t>
      </w:r>
      <w:r>
        <w:rPr>
          <w:rFonts w:hint="eastAsia" w:ascii="Arial" w:hAnsi="Arial" w:eastAsia="等线" w:cs="Arial"/>
          <w:sz w:val="22"/>
        </w:rPr>
        <w:t>12人</w:t>
      </w:r>
      <w:r>
        <w:rPr>
          <w:rFonts w:ascii="Arial" w:hAnsi="Arial" w:eastAsia="等线" w:cs="Arial"/>
          <w:sz w:val="22"/>
        </w:rPr>
        <w:t>，</w:t>
      </w:r>
      <w:r>
        <w:rPr>
          <w:rFonts w:hint="eastAsia" w:ascii="Arial" w:hAnsi="Arial" w:eastAsia="等线" w:cs="Arial"/>
          <w:sz w:val="22"/>
        </w:rPr>
        <w:t>国家/</w:t>
      </w:r>
      <w:r>
        <w:rPr>
          <w:rFonts w:ascii="Arial" w:hAnsi="Arial" w:eastAsia="等线" w:cs="Arial"/>
          <w:sz w:val="22"/>
        </w:rPr>
        <w:t>天津市教学名师6人，形成了一支高学历、年轻化、国际化的教师队伍。化学系每年还从全球范围内吸纳具有不同学科背景、有发展潜质的青年学者加入教师队伍。教学名师、各类高层次人才、教授、副教授100%为本科生上课，高水平的师资队伍为应用化学专业人才培养提供了保障。</w:t>
      </w:r>
    </w:p>
    <w:p w14:paraId="7E178FCA">
      <w:pPr>
        <w:spacing w:before="300" w:after="120" w:line="288" w:lineRule="auto"/>
        <w:jc w:val="left"/>
        <w:outlineLvl w:val="2"/>
      </w:pPr>
      <w:bookmarkStart w:id="4" w:name="heading_4"/>
      <w:r>
        <w:rPr>
          <w:rFonts w:ascii="Arial" w:hAnsi="Arial" w:eastAsia="等线" w:cs="Arial"/>
          <w:b/>
          <w:sz w:val="30"/>
        </w:rPr>
        <w:t>3. 教学及科研条件资源平台</w:t>
      </w:r>
      <w:bookmarkEnd w:id="4"/>
    </w:p>
    <w:p w14:paraId="5C8B1763">
      <w:pPr>
        <w:adjustRightInd w:val="0"/>
        <w:snapToGrid w:val="0"/>
        <w:spacing w:before="120" w:after="120" w:line="360" w:lineRule="auto"/>
        <w:ind w:firstLine="440" w:firstLineChars="200"/>
        <w:jc w:val="left"/>
      </w:pPr>
      <w:r>
        <w:rPr>
          <w:rFonts w:ascii="Arial" w:hAnsi="Arial" w:eastAsia="等线" w:cs="Arial"/>
          <w:sz w:val="22"/>
        </w:rPr>
        <w:t>应用化学专业拥有良好的硬件和软件资源，以及科教协同育人和国际化合作育人资源，为强基计划人才培养提供了重要支撑。</w:t>
      </w:r>
    </w:p>
    <w:p w14:paraId="0D84EA25">
      <w:pPr>
        <w:adjustRightInd w:val="0"/>
        <w:snapToGrid w:val="0"/>
        <w:spacing w:before="120" w:after="120" w:line="360" w:lineRule="auto"/>
        <w:ind w:firstLine="440" w:firstLineChars="200"/>
        <w:jc w:val="left"/>
      </w:pPr>
      <w:r>
        <w:rPr>
          <w:rFonts w:ascii="Arial" w:hAnsi="Arial" w:eastAsia="等线" w:cs="Arial"/>
          <w:b/>
          <w:sz w:val="22"/>
        </w:rPr>
        <w:t>硬件方面</w:t>
      </w:r>
      <w:r>
        <w:rPr>
          <w:rFonts w:ascii="Arial" w:hAnsi="Arial" w:eastAsia="等线" w:cs="Arial"/>
          <w:sz w:val="22"/>
        </w:rPr>
        <w:t>，建有“化学化工国家级实验教学示范中心（天津大学）”和“化学化工国家级虚拟仿真实验教学中心（天津大学）”。中心建筑面积15500 m²，设备台数1820台，总值1900万元，每年学校投入经费130万元。中心有40个本科生实验室，每个实验室的面积为120~180 m²，配备有电视、电脑等多媒体教学设施，可以同时容纳25个班的学生进行实验教学。化学系还建有5个大型仪器室、综合实验室和创新研究实验室，为学生提供开展化学创新研究训练的条件。</w:t>
      </w:r>
    </w:p>
    <w:p w14:paraId="408981F2">
      <w:pPr>
        <w:adjustRightInd w:val="0"/>
        <w:snapToGrid w:val="0"/>
        <w:spacing w:before="120" w:after="120" w:line="360" w:lineRule="auto"/>
        <w:ind w:firstLine="440" w:firstLineChars="200"/>
        <w:jc w:val="left"/>
        <w:rPr>
          <w:rFonts w:ascii="Arial" w:hAnsi="Arial" w:eastAsia="等线" w:cs="Arial"/>
          <w:sz w:val="22"/>
        </w:rPr>
      </w:pPr>
      <w:r>
        <w:rPr>
          <w:rFonts w:ascii="Arial" w:hAnsi="Arial" w:eastAsia="等线" w:cs="Arial"/>
          <w:b/>
          <w:sz w:val="22"/>
        </w:rPr>
        <w:t>软件方面</w:t>
      </w:r>
      <w:r>
        <w:rPr>
          <w:rFonts w:ascii="Arial" w:hAnsi="Arial" w:eastAsia="等线" w:cs="Arial"/>
          <w:sz w:val="22"/>
        </w:rPr>
        <w:t>，化学系建成工科化学基础课程国家级教学团队和基础化学实验教学团队、物理化学课程教学团队两个天津市教学团队，</w:t>
      </w:r>
      <w:r>
        <w:rPr>
          <w:rFonts w:hint="eastAsia" w:ascii="Arial" w:hAnsi="Arial" w:eastAsia="等线" w:cs="Arial"/>
          <w:sz w:val="22"/>
        </w:rPr>
        <w:t>建有</w:t>
      </w:r>
      <w:r>
        <w:rPr>
          <w:rFonts w:ascii="Arial" w:hAnsi="Arial" w:eastAsia="等线" w:cs="Arial"/>
          <w:sz w:val="22"/>
        </w:rPr>
        <w:t>《无机化学》《物理化学》《有机化学》</w:t>
      </w:r>
      <w:r>
        <w:rPr>
          <w:rFonts w:hint="eastAsia" w:ascii="Arial" w:hAnsi="Arial" w:eastAsia="等线" w:cs="Arial"/>
          <w:sz w:val="22"/>
        </w:rPr>
        <w:t>《仪器分析》</w:t>
      </w:r>
      <w:r>
        <w:rPr>
          <w:rFonts w:ascii="Arial" w:hAnsi="Arial" w:eastAsia="等线" w:cs="Arial"/>
          <w:sz w:val="22"/>
        </w:rPr>
        <w:t>等</w:t>
      </w:r>
      <w:r>
        <w:rPr>
          <w:rFonts w:hint="eastAsia" w:ascii="Arial" w:hAnsi="Arial" w:eastAsia="等线" w:cs="Arial"/>
          <w:sz w:val="22"/>
        </w:rPr>
        <w:t>11门</w:t>
      </w:r>
      <w:r>
        <w:rPr>
          <w:rFonts w:ascii="Arial" w:hAnsi="Arial" w:eastAsia="等线" w:cs="Arial"/>
          <w:sz w:val="22"/>
        </w:rPr>
        <w:t>国家级一流本科课程。一流的教育教学资源能很好地满足强基计划人才培养需要。</w:t>
      </w:r>
    </w:p>
    <w:p w14:paraId="3A7ADE57">
      <w:pPr>
        <w:adjustRightInd w:val="0"/>
        <w:snapToGrid w:val="0"/>
        <w:spacing w:before="120" w:after="120" w:line="360" w:lineRule="auto"/>
        <w:ind w:firstLine="440" w:firstLineChars="200"/>
        <w:jc w:val="left"/>
      </w:pPr>
      <w:r>
        <w:rPr>
          <w:rFonts w:ascii="Arial" w:hAnsi="Arial" w:eastAsia="等线" w:cs="Arial"/>
          <w:sz w:val="22"/>
        </w:rPr>
        <w:t>化学系教师先后编写出版立体化系列教材及配套教辅书、电子教案30多套，数字化网络资源8套。</w:t>
      </w:r>
      <w:r>
        <w:rPr>
          <w:rFonts w:ascii="Arial" w:hAnsi="Arial" w:eastAsia="等线" w:cs="Arial"/>
          <w:sz w:val="22"/>
          <w:highlight w:val="none"/>
        </w:rPr>
        <w:t>其中，《物理化学》和《无机化学》是“十二五</w:t>
      </w:r>
      <w:r>
        <w:rPr>
          <w:rFonts w:hint="eastAsia" w:ascii="Arial" w:hAnsi="Arial" w:eastAsia="等线" w:cs="Arial"/>
          <w:sz w:val="22"/>
          <w:highlight w:val="none"/>
        </w:rPr>
        <w:t>、十四五</w:t>
      </w:r>
      <w:r>
        <w:rPr>
          <w:rFonts w:ascii="Arial" w:hAnsi="Arial" w:eastAsia="等线" w:cs="Arial"/>
          <w:sz w:val="22"/>
          <w:highlight w:val="none"/>
        </w:rPr>
        <w:t>”普通高等教育本科国家级规划教材，《基础化学实验教程》是普通高等教育“十一五</w:t>
      </w:r>
      <w:r>
        <w:rPr>
          <w:rFonts w:hint="eastAsia" w:ascii="Arial" w:hAnsi="Arial" w:eastAsia="等线" w:cs="Arial"/>
          <w:sz w:val="22"/>
          <w:highlight w:val="none"/>
        </w:rPr>
        <w:t>、十四五</w:t>
      </w:r>
      <w:r>
        <w:rPr>
          <w:rFonts w:ascii="Arial" w:hAnsi="Arial" w:eastAsia="等线" w:cs="Arial"/>
          <w:sz w:val="22"/>
          <w:highlight w:val="none"/>
        </w:rPr>
        <w:t>”国家级规划教材，《有机化学》是面向21世纪课程教材</w:t>
      </w:r>
      <w:r>
        <w:rPr>
          <w:rFonts w:hint="eastAsia" w:ascii="Arial" w:hAnsi="Arial" w:eastAsia="等线" w:cs="Arial"/>
          <w:sz w:val="22"/>
          <w:highlight w:val="none"/>
        </w:rPr>
        <w:t>、</w:t>
      </w:r>
      <w:r>
        <w:rPr>
          <w:rFonts w:ascii="Arial" w:hAnsi="Arial" w:eastAsia="等线" w:cs="Arial"/>
          <w:sz w:val="22"/>
          <w:highlight w:val="none"/>
        </w:rPr>
        <w:t>普通高等教育“</w:t>
      </w:r>
      <w:r>
        <w:rPr>
          <w:rFonts w:hint="eastAsia" w:ascii="Arial" w:hAnsi="Arial" w:eastAsia="等线" w:cs="Arial"/>
          <w:sz w:val="22"/>
          <w:highlight w:val="none"/>
        </w:rPr>
        <w:t>十四五</w:t>
      </w:r>
      <w:r>
        <w:rPr>
          <w:rFonts w:ascii="Arial" w:hAnsi="Arial" w:eastAsia="等线" w:cs="Arial"/>
          <w:sz w:val="22"/>
          <w:highlight w:val="none"/>
        </w:rPr>
        <w:t>”国家级规划教材。《物理化学》（第六版，2017）、《无机化学》（第五版，2018）和《有机化学》（第六版，2019）三套教材3年发行量超过48万册，在国内同类教材中保持很高影响力，为学生培养奠定了良好</w:t>
      </w:r>
      <w:r>
        <w:rPr>
          <w:rFonts w:ascii="Arial" w:hAnsi="Arial" w:eastAsia="等线" w:cs="Arial"/>
          <w:sz w:val="22"/>
        </w:rPr>
        <w:t>基础。此外，化学系教师翻译的国外优秀教材《有机化学》（David Klein，2022）也为学生培养提供充足补充。</w:t>
      </w:r>
    </w:p>
    <w:p w14:paraId="370F322E">
      <w:pPr>
        <w:adjustRightInd w:val="0"/>
        <w:snapToGrid w:val="0"/>
        <w:spacing w:before="120" w:after="120" w:line="360" w:lineRule="auto"/>
        <w:ind w:firstLine="440" w:firstLineChars="200"/>
        <w:jc w:val="left"/>
      </w:pPr>
      <w:r>
        <w:rPr>
          <w:rFonts w:ascii="Arial" w:hAnsi="Arial" w:eastAsia="等线" w:cs="Arial"/>
          <w:b/>
          <w:sz w:val="22"/>
        </w:rPr>
        <w:t>科教协同与国际化合作培养方面</w:t>
      </w:r>
      <w:r>
        <w:rPr>
          <w:rFonts w:ascii="Arial" w:hAnsi="Arial" w:eastAsia="等线" w:cs="Arial"/>
          <w:sz w:val="22"/>
        </w:rPr>
        <w:t>，应用化学专业积极利用化学学科科研平台和国内外优质教育资源来提高人才培养质量。化学系目前建有</w:t>
      </w:r>
      <w:r>
        <w:rPr>
          <w:rFonts w:hint="eastAsia" w:ascii="Arial" w:hAnsi="Arial" w:eastAsia="等线" w:cs="Arial"/>
          <w:sz w:val="22"/>
        </w:rPr>
        <w:t>“智能传感功能材料全国重点实验室”</w:t>
      </w:r>
      <w:r>
        <w:rPr>
          <w:rFonts w:ascii="Arial" w:hAnsi="Arial" w:eastAsia="等线" w:cs="Arial"/>
          <w:sz w:val="22"/>
        </w:rPr>
        <w:t>“国家新型显示技术创新中心数据中心创新平台</w:t>
      </w:r>
      <w:r>
        <w:rPr>
          <w:rFonts w:hint="eastAsia" w:ascii="Arial" w:hAnsi="Arial" w:eastAsia="等线" w:cs="Arial"/>
          <w:sz w:val="22"/>
        </w:rPr>
        <w:t>”“</w:t>
      </w:r>
      <w:r>
        <w:rPr>
          <w:rFonts w:ascii="Arial" w:hAnsi="Arial" w:eastAsia="等线" w:cs="Arial"/>
          <w:sz w:val="22"/>
        </w:rPr>
        <w:t>有机集成电路教育部重点实验室</w:t>
      </w:r>
      <w:r>
        <w:rPr>
          <w:rFonts w:hint="eastAsia" w:ascii="Arial" w:hAnsi="Arial" w:eastAsia="等线" w:cs="Arial"/>
          <w:sz w:val="22"/>
        </w:rPr>
        <w:t>”“</w:t>
      </w:r>
      <w:r>
        <w:rPr>
          <w:rFonts w:ascii="Arial" w:hAnsi="Arial" w:eastAsia="等线" w:cs="Arial"/>
          <w:sz w:val="22"/>
        </w:rPr>
        <w:t>天津市分子光电科学重点实验室</w:t>
      </w:r>
      <w:r>
        <w:rPr>
          <w:rFonts w:hint="eastAsia" w:ascii="Arial" w:hAnsi="Arial" w:eastAsia="等线" w:cs="Arial"/>
          <w:sz w:val="22"/>
        </w:rPr>
        <w:t>”“</w:t>
      </w:r>
      <w:r>
        <w:rPr>
          <w:rFonts w:ascii="Arial" w:hAnsi="Arial" w:eastAsia="等线" w:cs="Arial"/>
          <w:sz w:val="22"/>
        </w:rPr>
        <w:t>天津化学化工协同创新中心分子光电科学与工程交叉平台”等省部级研究平台和1个“111”国家学科创新引智基地。目前与包括美国加州大学伯克利分校、美国佐治亚理工学院、新加坡国立大学等10余所境外高校开展了多种形式的联合培养本科生项目，与新加坡国立大学在化学领域实现合作办学，还与中科院化学所、国家纳米科学中心、中科院理化研究所等国内知名科研院所签订了科教协同育人协议。科研院所通过设立专项奖学金、提供科研实习机会等，深度参与本科生和研究生的培养。此外化学系还畅通了国内、国际硕士生双向交流通道，这也为强基计划的实施提供了国际化的培养平台。</w:t>
      </w:r>
    </w:p>
    <w:p w14:paraId="1AB3B70B">
      <w:pPr>
        <w:spacing w:before="320" w:after="120" w:line="288" w:lineRule="auto"/>
        <w:jc w:val="left"/>
        <w:outlineLvl w:val="1"/>
      </w:pPr>
      <w:bookmarkStart w:id="5" w:name="heading_5"/>
      <w:r>
        <w:rPr>
          <w:rFonts w:ascii="Arial" w:hAnsi="Arial" w:eastAsia="等线" w:cs="Arial"/>
          <w:b/>
          <w:sz w:val="32"/>
        </w:rPr>
        <w:t>二、培养目标及培养要求</w:t>
      </w:r>
      <w:bookmarkEnd w:id="5"/>
    </w:p>
    <w:p w14:paraId="4F167500">
      <w:pPr>
        <w:adjustRightInd w:val="0"/>
        <w:snapToGrid w:val="0"/>
        <w:spacing w:before="120" w:after="120" w:line="360" w:lineRule="auto"/>
        <w:ind w:firstLine="440" w:firstLineChars="200"/>
        <w:jc w:val="left"/>
      </w:pPr>
      <w:r>
        <w:rPr>
          <w:rFonts w:ascii="Arial" w:hAnsi="Arial" w:eastAsia="等线" w:cs="Arial"/>
          <w:sz w:val="22"/>
        </w:rPr>
        <w:t>应用化学专业面向化学、化工、新能源、新材料等化学相关领域的国家重大战略需求，培养具有家国情怀、全球视野和社会责任感，具备先进科学理念、宽厚扎实的化学基础、突出的实践能力，能在化学及应用化学、化学相关交叉学科领域独立地、创造性地开展科学研究、技术创新及管理工作的高层次人才。</w:t>
      </w:r>
    </w:p>
    <w:p w14:paraId="6D16D4F4">
      <w:pPr>
        <w:adjustRightInd w:val="0"/>
        <w:snapToGrid w:val="0"/>
        <w:spacing w:before="120" w:after="120" w:line="360" w:lineRule="auto"/>
        <w:ind w:firstLine="440" w:firstLineChars="200"/>
        <w:jc w:val="left"/>
      </w:pPr>
      <w:r>
        <w:rPr>
          <w:rFonts w:ascii="Arial" w:hAnsi="Arial" w:eastAsia="等线" w:cs="Arial"/>
          <w:sz w:val="22"/>
        </w:rPr>
        <w:t>应用化学强基计划学生采用“3+1+N”模式，进行本-硕-博衔接培养，其中“3”为本科阶段，“1”为本科-研究生衔接过渡期，“N”为研究生阶段（N ≥ 4），培养过程中视学业完成情况可获得学士、硕士或博士学位。毕业生的素质能力要求和分阶段衔接培养计划如下：</w:t>
      </w:r>
    </w:p>
    <w:p w14:paraId="2537D6BE">
      <w:pPr>
        <w:spacing w:before="300" w:after="120" w:line="288" w:lineRule="auto"/>
        <w:jc w:val="left"/>
        <w:outlineLvl w:val="2"/>
      </w:pPr>
      <w:bookmarkStart w:id="6" w:name="heading_6"/>
      <w:r>
        <w:rPr>
          <w:rFonts w:ascii="Arial" w:hAnsi="Arial" w:eastAsia="等线" w:cs="Arial"/>
          <w:b/>
          <w:sz w:val="30"/>
        </w:rPr>
        <w:t>1. 毕业要求</w:t>
      </w:r>
      <w:bookmarkEnd w:id="6"/>
    </w:p>
    <w:p w14:paraId="3B21B02F">
      <w:pPr>
        <w:adjustRightInd w:val="0"/>
        <w:snapToGrid w:val="0"/>
        <w:spacing w:before="120" w:after="120" w:line="360" w:lineRule="auto"/>
        <w:ind w:firstLine="440" w:firstLineChars="200"/>
        <w:jc w:val="left"/>
        <w:rPr>
          <w:rFonts w:ascii="Arial" w:hAnsi="Arial" w:eastAsia="等线" w:cs="Arial"/>
          <w:sz w:val="22"/>
        </w:rPr>
      </w:pPr>
      <w:r>
        <w:rPr>
          <w:rFonts w:hint="eastAsia" w:ascii="Arial" w:hAnsi="Arial" w:eastAsia="等线" w:cs="Arial"/>
          <w:sz w:val="22"/>
        </w:rPr>
        <w:t>（1）</w:t>
      </w:r>
      <w:r>
        <w:rPr>
          <w:rFonts w:ascii="Arial" w:hAnsi="Arial" w:eastAsia="等线" w:cs="Arial"/>
          <w:sz w:val="22"/>
        </w:rPr>
        <w:t xml:space="preserve"> 品格：具有家国情怀、国际视野，在实践中能够正确认知自我，知行合一，自信自强，面对困难时具有坚韧不拔的意志。</w:t>
      </w:r>
    </w:p>
    <w:p w14:paraId="75AC00D2">
      <w:pPr>
        <w:adjustRightInd w:val="0"/>
        <w:snapToGrid w:val="0"/>
        <w:spacing w:before="120" w:after="120" w:line="360" w:lineRule="auto"/>
        <w:ind w:firstLine="440" w:firstLineChars="200"/>
        <w:jc w:val="left"/>
        <w:rPr>
          <w:rFonts w:ascii="Arial" w:hAnsi="Arial" w:eastAsia="等线" w:cs="Arial"/>
          <w:sz w:val="22"/>
        </w:rPr>
      </w:pPr>
      <w:r>
        <w:rPr>
          <w:rFonts w:hint="eastAsia" w:ascii="Arial" w:hAnsi="Arial" w:eastAsia="等线" w:cs="Arial"/>
          <w:sz w:val="22"/>
        </w:rPr>
        <w:t>（2）</w:t>
      </w:r>
      <w:r>
        <w:rPr>
          <w:rFonts w:ascii="Arial" w:hAnsi="Arial" w:eastAsia="等线" w:cs="Arial"/>
          <w:sz w:val="22"/>
        </w:rPr>
        <w:t xml:space="preserve"> 思维：具有创造性、批判性、系统性和多学科交叉创新思维，能探索发现事物的本质联系和规律。</w:t>
      </w:r>
    </w:p>
    <w:p w14:paraId="47504916">
      <w:pPr>
        <w:adjustRightInd w:val="0"/>
        <w:snapToGrid w:val="0"/>
        <w:spacing w:before="120" w:after="120" w:line="360" w:lineRule="auto"/>
        <w:ind w:firstLine="440" w:firstLineChars="200"/>
        <w:jc w:val="left"/>
        <w:rPr>
          <w:rFonts w:ascii="Arial" w:hAnsi="Arial" w:eastAsia="等线" w:cs="Arial"/>
          <w:sz w:val="22"/>
        </w:rPr>
      </w:pPr>
      <w:r>
        <w:rPr>
          <w:rFonts w:hint="eastAsia" w:ascii="Arial" w:hAnsi="Arial" w:eastAsia="等线" w:cs="Arial"/>
          <w:sz w:val="22"/>
        </w:rPr>
        <w:t>（3）</w:t>
      </w:r>
      <w:r>
        <w:rPr>
          <w:rFonts w:ascii="Arial" w:hAnsi="Arial" w:eastAsia="等线" w:cs="Arial"/>
          <w:sz w:val="22"/>
        </w:rPr>
        <w:t xml:space="preserve"> 分析问题：应用数理化的基本原理分析、识别、表达复杂化学问题，并获得有效结论。</w:t>
      </w:r>
    </w:p>
    <w:p w14:paraId="673E6EDB">
      <w:pPr>
        <w:adjustRightInd w:val="0"/>
        <w:snapToGrid w:val="0"/>
        <w:spacing w:before="120" w:after="120" w:line="360" w:lineRule="auto"/>
        <w:ind w:firstLine="440" w:firstLineChars="200"/>
        <w:jc w:val="left"/>
        <w:rPr>
          <w:rFonts w:ascii="Arial" w:hAnsi="Arial" w:eastAsia="等线" w:cs="Arial"/>
          <w:sz w:val="22"/>
        </w:rPr>
      </w:pPr>
      <w:r>
        <w:rPr>
          <w:rFonts w:hint="eastAsia" w:ascii="Arial" w:hAnsi="Arial" w:eastAsia="等线" w:cs="Arial"/>
          <w:sz w:val="22"/>
        </w:rPr>
        <w:t>（4）</w:t>
      </w:r>
      <w:r>
        <w:rPr>
          <w:rFonts w:ascii="Arial" w:hAnsi="Arial" w:eastAsia="等线" w:cs="Arial"/>
          <w:sz w:val="22"/>
        </w:rPr>
        <w:t xml:space="preserve"> 研究能力：利用所掌握的化学知识、原理和研究方法，开展科学研究和技术创新。</w:t>
      </w:r>
    </w:p>
    <w:p w14:paraId="6A56A9AC">
      <w:pPr>
        <w:adjustRightInd w:val="0"/>
        <w:snapToGrid w:val="0"/>
        <w:spacing w:before="120" w:after="120" w:line="360" w:lineRule="auto"/>
        <w:ind w:firstLine="440" w:firstLineChars="200"/>
        <w:jc w:val="left"/>
        <w:rPr>
          <w:rFonts w:ascii="Arial" w:hAnsi="Arial" w:eastAsia="等线" w:cs="Arial"/>
          <w:sz w:val="22"/>
        </w:rPr>
      </w:pPr>
      <w:r>
        <w:rPr>
          <w:rFonts w:hint="eastAsia" w:ascii="Arial" w:hAnsi="Arial" w:eastAsia="等线" w:cs="Arial"/>
          <w:sz w:val="22"/>
        </w:rPr>
        <w:t>（5）</w:t>
      </w:r>
      <w:r>
        <w:rPr>
          <w:rFonts w:ascii="Arial" w:hAnsi="Arial" w:eastAsia="等线" w:cs="Arial"/>
          <w:sz w:val="22"/>
        </w:rPr>
        <w:t xml:space="preserve"> 使用现代工具：能选择、使用适宜的技术方法、资源和现代信息技术工具，解决复杂科学问题。</w:t>
      </w:r>
    </w:p>
    <w:p w14:paraId="516B9636">
      <w:pPr>
        <w:adjustRightInd w:val="0"/>
        <w:snapToGrid w:val="0"/>
        <w:spacing w:before="120" w:after="120" w:line="360" w:lineRule="auto"/>
        <w:ind w:firstLine="440" w:firstLineChars="200"/>
        <w:jc w:val="left"/>
        <w:rPr>
          <w:rFonts w:ascii="Arial" w:hAnsi="Arial" w:eastAsia="等线" w:cs="Arial"/>
          <w:sz w:val="22"/>
        </w:rPr>
      </w:pPr>
      <w:r>
        <w:rPr>
          <w:rFonts w:hint="eastAsia" w:ascii="Arial" w:hAnsi="Arial" w:eastAsia="等线" w:cs="Arial"/>
          <w:sz w:val="22"/>
        </w:rPr>
        <w:t>（6）</w:t>
      </w:r>
      <w:r>
        <w:rPr>
          <w:rFonts w:ascii="Arial" w:hAnsi="Arial" w:eastAsia="等线" w:cs="Arial"/>
          <w:sz w:val="22"/>
        </w:rPr>
        <w:t xml:space="preserve"> 环境与可持续发展：能正确理解和评价化学研究过程及成果对环境、社会可持续发展带来的影响。</w:t>
      </w:r>
    </w:p>
    <w:p w14:paraId="05116E98">
      <w:pPr>
        <w:adjustRightInd w:val="0"/>
        <w:snapToGrid w:val="0"/>
        <w:spacing w:before="120" w:after="120" w:line="360" w:lineRule="auto"/>
        <w:ind w:firstLine="440" w:firstLineChars="200"/>
        <w:jc w:val="left"/>
        <w:rPr>
          <w:rFonts w:ascii="Arial" w:hAnsi="Arial" w:eastAsia="等线" w:cs="Arial"/>
          <w:sz w:val="22"/>
        </w:rPr>
      </w:pPr>
      <w:r>
        <w:rPr>
          <w:rFonts w:hint="eastAsia" w:ascii="Arial" w:hAnsi="Arial" w:eastAsia="等线" w:cs="Arial"/>
          <w:sz w:val="22"/>
        </w:rPr>
        <w:t>（7）</w:t>
      </w:r>
      <w:r>
        <w:rPr>
          <w:rFonts w:ascii="Arial" w:hAnsi="Arial" w:eastAsia="等线" w:cs="Arial"/>
          <w:sz w:val="22"/>
        </w:rPr>
        <w:t xml:space="preserve"> 职业规范：具备人文社会科学素养，能够在科学研究和工程实践中理解并遵守职业道德规范。</w:t>
      </w:r>
    </w:p>
    <w:p w14:paraId="236C3869">
      <w:pPr>
        <w:adjustRightInd w:val="0"/>
        <w:snapToGrid w:val="0"/>
        <w:spacing w:before="120" w:after="120" w:line="360" w:lineRule="auto"/>
        <w:ind w:firstLine="440" w:firstLineChars="200"/>
        <w:jc w:val="left"/>
        <w:rPr>
          <w:rFonts w:ascii="Arial" w:hAnsi="Arial" w:eastAsia="等线" w:cs="Arial"/>
          <w:sz w:val="22"/>
        </w:rPr>
      </w:pPr>
      <w:r>
        <w:rPr>
          <w:rFonts w:hint="eastAsia" w:ascii="Arial" w:hAnsi="Arial" w:eastAsia="等线" w:cs="Arial"/>
          <w:sz w:val="22"/>
        </w:rPr>
        <w:t>（8）</w:t>
      </w:r>
      <w:r>
        <w:rPr>
          <w:rFonts w:ascii="Arial" w:hAnsi="Arial" w:eastAsia="等线" w:cs="Arial"/>
          <w:sz w:val="22"/>
        </w:rPr>
        <w:t xml:space="preserve"> 个人和团队：个人德智体美劳全面发展，具有团队意识，能在多学科背景下的团队中充分发挥个人的作用。</w:t>
      </w:r>
    </w:p>
    <w:p w14:paraId="1F5205CD">
      <w:pPr>
        <w:adjustRightInd w:val="0"/>
        <w:snapToGrid w:val="0"/>
        <w:spacing w:before="120" w:after="120" w:line="360" w:lineRule="auto"/>
        <w:ind w:firstLine="440" w:firstLineChars="200"/>
        <w:jc w:val="left"/>
        <w:rPr>
          <w:rFonts w:ascii="Arial" w:hAnsi="Arial" w:eastAsia="等线" w:cs="Arial"/>
          <w:sz w:val="22"/>
        </w:rPr>
      </w:pPr>
      <w:r>
        <w:rPr>
          <w:rFonts w:hint="eastAsia" w:ascii="Arial" w:hAnsi="Arial" w:eastAsia="等线" w:cs="Arial"/>
          <w:sz w:val="22"/>
        </w:rPr>
        <w:t>（9）</w:t>
      </w:r>
      <w:r>
        <w:rPr>
          <w:rFonts w:ascii="Arial" w:hAnsi="Arial" w:eastAsia="等线" w:cs="Arial"/>
          <w:sz w:val="22"/>
        </w:rPr>
        <w:t xml:space="preserve"> 沟通：能够就复杂科学问题与同行及社会公众进行有效沟通，准确传递信息并回应指令。具备一定的跨学科、跨文化沟通交流能力和国际合作能力。</w:t>
      </w:r>
    </w:p>
    <w:p w14:paraId="7F882538">
      <w:pPr>
        <w:adjustRightInd w:val="0"/>
        <w:snapToGrid w:val="0"/>
        <w:spacing w:before="120" w:after="120" w:line="360" w:lineRule="auto"/>
        <w:ind w:firstLine="440" w:firstLineChars="200"/>
        <w:jc w:val="left"/>
        <w:rPr>
          <w:rFonts w:ascii="Arial" w:hAnsi="Arial" w:eastAsia="等线" w:cs="Arial"/>
          <w:sz w:val="22"/>
        </w:rPr>
      </w:pPr>
      <w:r>
        <w:rPr>
          <w:rFonts w:hint="eastAsia" w:ascii="Arial" w:hAnsi="Arial" w:eastAsia="等线" w:cs="Arial"/>
          <w:sz w:val="22"/>
        </w:rPr>
        <w:t>（10）</w:t>
      </w:r>
      <w:r>
        <w:rPr>
          <w:rFonts w:ascii="Arial" w:hAnsi="Arial" w:eastAsia="等线" w:cs="Arial"/>
          <w:sz w:val="22"/>
        </w:rPr>
        <w:t xml:space="preserve"> 终身学习：笃信好学，能适应社会和个人职业发展需要，自觉、自主地进行终身学习。</w:t>
      </w:r>
    </w:p>
    <w:p w14:paraId="784F59A7">
      <w:pPr>
        <w:spacing w:before="300" w:after="120" w:line="288" w:lineRule="auto"/>
        <w:jc w:val="left"/>
        <w:outlineLvl w:val="2"/>
      </w:pPr>
      <w:bookmarkStart w:id="7" w:name="heading_7"/>
      <w:r>
        <w:rPr>
          <w:rFonts w:ascii="Arial" w:hAnsi="Arial" w:eastAsia="等线" w:cs="Arial"/>
          <w:b/>
          <w:sz w:val="30"/>
        </w:rPr>
        <w:t>2. 阶段性考核和动态进出办法</w:t>
      </w:r>
      <w:bookmarkEnd w:id="7"/>
    </w:p>
    <w:p w14:paraId="6CF98813">
      <w:pPr>
        <w:adjustRightInd w:val="0"/>
        <w:snapToGrid w:val="0"/>
        <w:spacing w:before="120" w:after="120" w:line="360" w:lineRule="auto"/>
        <w:ind w:firstLine="440" w:firstLineChars="200"/>
        <w:jc w:val="left"/>
      </w:pPr>
      <w:r>
        <w:rPr>
          <w:rFonts w:ascii="Arial" w:hAnsi="Arial" w:eastAsia="等线" w:cs="Arial"/>
          <w:sz w:val="22"/>
        </w:rPr>
        <w:t>对强基计划学生实行个性化培养和开放式动态管理。大学第一</w:t>
      </w:r>
      <w:r>
        <w:rPr>
          <w:rFonts w:hint="eastAsia" w:ascii="Arial" w:hAnsi="Arial" w:eastAsia="等线" w:cs="Arial"/>
          <w:sz w:val="22"/>
        </w:rPr>
        <w:t>学期</w:t>
      </w:r>
      <w:r>
        <w:rPr>
          <w:rFonts w:ascii="Arial" w:hAnsi="Arial" w:eastAsia="等线" w:cs="Arial"/>
          <w:sz w:val="22"/>
        </w:rPr>
        <w:t>实施通识教育，夯实数理化基础，培养基本的实验动手能力。第</w:t>
      </w:r>
      <w:r>
        <w:rPr>
          <w:rFonts w:hint="eastAsia" w:ascii="Arial" w:hAnsi="Arial" w:eastAsia="等线" w:cs="Arial"/>
          <w:sz w:val="22"/>
        </w:rPr>
        <w:t>2-6学期</w:t>
      </w:r>
      <w:r>
        <w:rPr>
          <w:rFonts w:ascii="Arial" w:hAnsi="Arial" w:eastAsia="等线" w:cs="Arial"/>
          <w:sz w:val="22"/>
        </w:rPr>
        <w:t>，在个性化培养方案指导下学习化学专业理论知识，参加实验训练和探索性实验项目，培养化学思维，强化实践能力。其中大学第二年经过实验室轮转和师生双向选择，确定学业导师并进入课题组，开始接受科研训练。大学第四年是本-研衔接阶段。学生可选修研究生课程，在导师指导下系统地开展科研工作，也可通过多种途径参加海外交流学习和实践，或者到与我校开展联合培养的科研院所实习，通过多种方式进一步提高专业知识、能力和水平。</w:t>
      </w:r>
    </w:p>
    <w:p w14:paraId="2088D8F4">
      <w:pPr>
        <w:adjustRightInd w:val="0"/>
        <w:snapToGrid w:val="0"/>
        <w:spacing w:before="120" w:after="120" w:line="360" w:lineRule="auto"/>
        <w:ind w:firstLine="440" w:firstLineChars="200"/>
        <w:jc w:val="left"/>
      </w:pPr>
      <w:r>
        <w:rPr>
          <w:rFonts w:ascii="Arial" w:hAnsi="Arial" w:eastAsia="等线" w:cs="Arial"/>
          <w:b/>
          <w:sz w:val="22"/>
        </w:rPr>
        <w:t>流转办法</w:t>
      </w:r>
      <w:r>
        <w:rPr>
          <w:rFonts w:ascii="Arial" w:hAnsi="Arial" w:eastAsia="等线" w:cs="Arial"/>
          <w:sz w:val="22"/>
        </w:rPr>
        <w:t>：学院以强基计划人才培养目标为指导，从学习成绩、科研能力、思想道德品格等方面对学生进行综合考核，兼顾学生的个人意愿，实施分阶段考核和动态进出管理。流出的学生进入应用化学专业班（普通一批招收）继续学习。大四上学期仍留在强基班，且符合我校人才培养要求的学生将获得“转段名额”，</w:t>
      </w:r>
      <w:r>
        <w:rPr>
          <w:rFonts w:hint="eastAsia" w:ascii="Arial" w:hAnsi="Arial" w:eastAsia="等线" w:cs="Arial"/>
          <w:sz w:val="22"/>
        </w:rPr>
        <w:t>可</w:t>
      </w:r>
      <w:r>
        <w:rPr>
          <w:rFonts w:ascii="Arial" w:hAnsi="Arial" w:eastAsia="等线" w:cs="Arial"/>
          <w:sz w:val="22"/>
        </w:rPr>
        <w:t>在我校本专业或相关服务国家战略重点领域方向的专业继续攻读硕士/博士研究生。</w:t>
      </w:r>
    </w:p>
    <w:p w14:paraId="64DC9958">
      <w:pPr>
        <w:spacing w:before="320" w:after="120" w:line="288" w:lineRule="auto"/>
        <w:jc w:val="left"/>
        <w:outlineLvl w:val="1"/>
      </w:pPr>
      <w:bookmarkStart w:id="8" w:name="heading_8"/>
      <w:r>
        <w:rPr>
          <w:rFonts w:ascii="Arial" w:hAnsi="Arial" w:eastAsia="等线" w:cs="Arial"/>
          <w:b/>
          <w:sz w:val="32"/>
        </w:rPr>
        <w:t>三、毕业要求及授予学位</w:t>
      </w:r>
      <w:bookmarkEnd w:id="8"/>
    </w:p>
    <w:p w14:paraId="0805B7B5">
      <w:pPr>
        <w:spacing w:before="300" w:after="120" w:line="288" w:lineRule="auto"/>
        <w:jc w:val="left"/>
        <w:outlineLvl w:val="2"/>
      </w:pPr>
      <w:bookmarkStart w:id="9" w:name="heading_9"/>
      <w:r>
        <w:rPr>
          <w:rFonts w:ascii="Arial" w:hAnsi="Arial" w:eastAsia="等线" w:cs="Arial"/>
          <w:b/>
          <w:sz w:val="30"/>
        </w:rPr>
        <w:t>【本科毕业】（获学士学位）</w:t>
      </w:r>
      <w:bookmarkEnd w:id="9"/>
    </w:p>
    <w:p w14:paraId="3715F228">
      <w:pPr>
        <w:adjustRightInd w:val="0"/>
        <w:snapToGrid w:val="0"/>
        <w:spacing w:before="120" w:after="120" w:line="360" w:lineRule="auto"/>
        <w:ind w:firstLine="440" w:firstLineChars="200"/>
        <w:jc w:val="left"/>
      </w:pPr>
      <w:r>
        <w:rPr>
          <w:rFonts w:ascii="Arial" w:hAnsi="Arial" w:eastAsia="等线" w:cs="Arial"/>
          <w:sz w:val="22"/>
        </w:rPr>
        <w:t>按照专业培养方案要求，完成本科阶段的课程学习，在品格、思维、知识、能力、视野等方面受到全方位的培养与锻炼，</w:t>
      </w:r>
      <w:r>
        <w:rPr>
          <w:rFonts w:hint="eastAsia" w:ascii="Arial" w:hAnsi="Arial" w:eastAsia="等线" w:cs="Arial"/>
          <w:sz w:val="22"/>
        </w:rPr>
        <w:t>具备</w:t>
      </w:r>
      <w:r>
        <w:rPr>
          <w:rFonts w:ascii="Arial" w:hAnsi="Arial" w:eastAsia="等线" w:cs="Arial"/>
          <w:sz w:val="22"/>
        </w:rPr>
        <w:t>在化学及相关学科独立开展工作的能力，参加毕业设计（论文）工作并通过论文答辩，授予学士学位。</w:t>
      </w:r>
    </w:p>
    <w:p w14:paraId="573B6141">
      <w:pPr>
        <w:spacing w:before="300" w:after="120" w:line="288" w:lineRule="auto"/>
        <w:jc w:val="left"/>
        <w:outlineLvl w:val="2"/>
      </w:pPr>
      <w:bookmarkStart w:id="10" w:name="heading_10"/>
      <w:r>
        <w:rPr>
          <w:rFonts w:ascii="Arial" w:hAnsi="Arial" w:eastAsia="等线" w:cs="Arial"/>
          <w:b/>
          <w:sz w:val="30"/>
        </w:rPr>
        <w:t>【研究生毕业】（获硕士学位）</w:t>
      </w:r>
      <w:bookmarkEnd w:id="10"/>
    </w:p>
    <w:p w14:paraId="46DF751E">
      <w:pPr>
        <w:adjustRightInd w:val="0"/>
        <w:snapToGrid w:val="0"/>
        <w:spacing w:before="120" w:after="120" w:line="360" w:lineRule="auto"/>
        <w:ind w:firstLine="440" w:firstLineChars="200"/>
        <w:jc w:val="left"/>
      </w:pPr>
      <w:r>
        <w:rPr>
          <w:rFonts w:ascii="Arial" w:hAnsi="Arial" w:eastAsia="等线" w:cs="Arial"/>
          <w:sz w:val="22"/>
        </w:rPr>
        <w:t>完成硕士阶段课程学习，面向化学学科未来发展重要领域，依托科研平台和科研项目确定研究课题，就所选课题开展深入系统的研究工作，取得优良的成果。达到硕士毕业要求，通过学位论文答辩，授予硕士学位。</w:t>
      </w:r>
    </w:p>
    <w:p w14:paraId="5C30A03F">
      <w:pPr>
        <w:spacing w:before="300" w:after="120" w:line="288" w:lineRule="auto"/>
        <w:jc w:val="left"/>
        <w:outlineLvl w:val="2"/>
      </w:pPr>
      <w:bookmarkStart w:id="11" w:name="heading_11"/>
      <w:r>
        <w:rPr>
          <w:rFonts w:ascii="Arial" w:hAnsi="Arial" w:eastAsia="等线" w:cs="Arial"/>
          <w:b/>
          <w:sz w:val="30"/>
        </w:rPr>
        <w:t>【研究生毕业】（获博士学位）</w:t>
      </w:r>
      <w:bookmarkEnd w:id="11"/>
    </w:p>
    <w:p w14:paraId="4102A4C2">
      <w:pPr>
        <w:adjustRightInd w:val="0"/>
        <w:snapToGrid w:val="0"/>
        <w:spacing w:before="120" w:after="120" w:line="360" w:lineRule="auto"/>
        <w:ind w:firstLine="440" w:firstLineChars="200"/>
        <w:jc w:val="left"/>
      </w:pPr>
      <w:r>
        <w:rPr>
          <w:rFonts w:ascii="Arial" w:hAnsi="Arial" w:eastAsia="等线" w:cs="Arial"/>
          <w:sz w:val="22"/>
        </w:rPr>
        <w:t>完成博士毕业所要求的课程学习，面向国家重大战略需求，依托大型科研平台、重大科研项目确定研究课题，就所选课题开展系统而深入的研究，取得突出的创新性研究成果，达到博士毕业要求，通过学位论文答辩，授予博士学位。</w:t>
      </w:r>
    </w:p>
    <w:p w14:paraId="60782855">
      <w:pPr>
        <w:spacing w:before="320" w:after="120" w:line="288" w:lineRule="auto"/>
        <w:jc w:val="left"/>
        <w:outlineLvl w:val="1"/>
      </w:pPr>
      <w:bookmarkStart w:id="12" w:name="heading_12"/>
      <w:r>
        <w:rPr>
          <w:rFonts w:ascii="Arial" w:hAnsi="Arial" w:eastAsia="等线" w:cs="Arial"/>
          <w:b/>
          <w:sz w:val="32"/>
        </w:rPr>
        <w:t>四、培养方式</w:t>
      </w:r>
      <w:bookmarkEnd w:id="12"/>
    </w:p>
    <w:p w14:paraId="63142942">
      <w:pPr>
        <w:adjustRightInd w:val="0"/>
        <w:snapToGrid w:val="0"/>
        <w:spacing w:before="120" w:after="120" w:line="360" w:lineRule="auto"/>
        <w:ind w:firstLine="440" w:firstLineChars="200"/>
        <w:jc w:val="left"/>
      </w:pPr>
      <w:r>
        <w:rPr>
          <w:rFonts w:ascii="Arial" w:hAnsi="Arial" w:eastAsia="等线" w:cs="Arial"/>
          <w:b/>
          <w:sz w:val="22"/>
        </w:rPr>
        <w:t>设置个性化培养方案，实行学分制管理</w:t>
      </w:r>
      <w:r>
        <w:rPr>
          <w:rFonts w:ascii="Arial" w:hAnsi="Arial" w:eastAsia="等线" w:cs="Arial"/>
          <w:sz w:val="22"/>
        </w:rPr>
        <w:t>。尊重学生的学科专业兴趣，引导其面向国家重大战略需求确定未来发展方向，为其量身订制个性化的培养计划和方案；实行学分制管理，打破学科和专业限制，允许学生在全校范围内选课，也可以去其他学校选课，或者专门聘请教师开课。</w:t>
      </w:r>
    </w:p>
    <w:p w14:paraId="47D4D870">
      <w:pPr>
        <w:adjustRightInd w:val="0"/>
        <w:snapToGrid w:val="0"/>
        <w:spacing w:before="120" w:after="120" w:line="360" w:lineRule="auto"/>
        <w:ind w:firstLine="440" w:firstLineChars="200"/>
        <w:jc w:val="left"/>
      </w:pPr>
      <w:r>
        <w:rPr>
          <w:rFonts w:ascii="Arial" w:hAnsi="Arial" w:eastAsia="等线" w:cs="Arial"/>
          <w:b/>
          <w:sz w:val="22"/>
        </w:rPr>
        <w:t>贯彻名师引领、导师制培养</w:t>
      </w:r>
      <w:r>
        <w:rPr>
          <w:rFonts w:ascii="Arial" w:hAnsi="Arial" w:eastAsia="等线" w:cs="Arial"/>
          <w:sz w:val="22"/>
        </w:rPr>
        <w:t>。聘请学术大师、教学名师、高层次科研人才参与学生培养工作，开出高阶性特色课程，担任学业导师，对学生进行全员、全方位、全过程的指导与培养。</w:t>
      </w:r>
    </w:p>
    <w:p w14:paraId="48EAE281">
      <w:pPr>
        <w:adjustRightInd w:val="0"/>
        <w:snapToGrid w:val="0"/>
        <w:spacing w:before="120" w:after="120" w:line="360" w:lineRule="auto"/>
        <w:ind w:firstLine="440" w:firstLineChars="200"/>
        <w:jc w:val="left"/>
      </w:pPr>
      <w:r>
        <w:rPr>
          <w:rFonts w:ascii="Arial" w:hAnsi="Arial" w:eastAsia="等线" w:cs="Arial"/>
          <w:b/>
          <w:sz w:val="22"/>
        </w:rPr>
        <w:t>实行小班化教学、小班化管理</w:t>
      </w:r>
      <w:r>
        <w:rPr>
          <w:rFonts w:ascii="Arial" w:hAnsi="Arial" w:eastAsia="等线" w:cs="Arial"/>
          <w:sz w:val="22"/>
        </w:rPr>
        <w:t>。强基计划学生单独编班，由教学名师和骨干教师讲授基础课</w:t>
      </w:r>
      <w:r>
        <w:rPr>
          <w:rFonts w:hint="eastAsia" w:ascii="Arial" w:hAnsi="Arial" w:eastAsia="等线" w:cs="Arial"/>
          <w:sz w:val="22"/>
        </w:rPr>
        <w:t>；邀</w:t>
      </w:r>
      <w:r>
        <w:rPr>
          <w:rFonts w:ascii="Arial" w:hAnsi="Arial" w:eastAsia="等线" w:cs="Arial"/>
          <w:sz w:val="22"/>
        </w:rPr>
        <w:t>请化学及相关学科高层次人才讲授专业必修课，并结合学科前沿与个人科研方向开设高阶选修课；增加全英文课程的占比；提高选修课的学分比例，满足不同专业方向学生在知识、能力发展方面的需要。</w:t>
      </w:r>
    </w:p>
    <w:p w14:paraId="55ACF5B9">
      <w:pPr>
        <w:adjustRightInd w:val="0"/>
        <w:snapToGrid w:val="0"/>
        <w:spacing w:before="120" w:after="120" w:line="360" w:lineRule="auto"/>
        <w:ind w:firstLine="440" w:firstLineChars="200"/>
        <w:jc w:val="left"/>
      </w:pPr>
      <w:r>
        <w:rPr>
          <w:rFonts w:ascii="Arial" w:hAnsi="Arial" w:eastAsia="等线" w:cs="Arial"/>
          <w:b/>
          <w:sz w:val="22"/>
        </w:rPr>
        <w:t>突出科学研究的育人作用</w:t>
      </w:r>
      <w:r>
        <w:rPr>
          <w:rFonts w:ascii="Arial" w:hAnsi="Arial" w:eastAsia="等线" w:cs="Arial"/>
          <w:sz w:val="22"/>
        </w:rPr>
        <w:t>。利用化学及相关学科国家级教学基地、实验教学中心等一流教学资源，推动学生开展创新性实验研究；依托我校强大的化学、化工、材料学科群的科研实践平台，为学生提供一流的实践机会；借助国家2011计划天津化学化工协同创新中心、国家级和省部级重点实验室、承担国家重点项目的课题组的科研资源，培养学生的基础学科创新研究能力。</w:t>
      </w:r>
    </w:p>
    <w:p w14:paraId="0986B6BB">
      <w:pPr>
        <w:adjustRightInd w:val="0"/>
        <w:snapToGrid w:val="0"/>
        <w:spacing w:before="120" w:after="120" w:line="360" w:lineRule="auto"/>
        <w:ind w:firstLine="440" w:firstLineChars="200"/>
        <w:jc w:val="left"/>
      </w:pPr>
      <w:r>
        <w:rPr>
          <w:rFonts w:ascii="Arial" w:hAnsi="Arial" w:eastAsia="等线" w:cs="Arial"/>
          <w:b/>
          <w:sz w:val="22"/>
        </w:rPr>
        <w:t>促进科教协同育人，培养国际竞争力</w:t>
      </w:r>
      <w:r>
        <w:rPr>
          <w:rFonts w:ascii="Arial" w:hAnsi="Arial" w:eastAsia="等线" w:cs="Arial"/>
          <w:sz w:val="22"/>
        </w:rPr>
        <w:t>。校内，发挥分子聚集态科学研究院、分子+研究院等化学相关研究院的平台和人才优势，拓宽应用化学强基计划人才的专业发展方向；校外，进一步加强与中科院化学所、国家纳米技术中心、中科院理化研究所等科研院所的合作，推动联合培养本科生和研究生向纵深发展，并寻求与更多的科研院所开展科教协同育人合作。</w:t>
      </w:r>
    </w:p>
    <w:p w14:paraId="7E34FA18">
      <w:pPr>
        <w:adjustRightInd w:val="0"/>
        <w:snapToGrid w:val="0"/>
        <w:spacing w:before="120" w:after="120" w:line="360" w:lineRule="auto"/>
        <w:ind w:firstLine="440" w:firstLineChars="200"/>
        <w:jc w:val="left"/>
      </w:pPr>
      <w:r>
        <w:rPr>
          <w:rFonts w:ascii="Arial" w:hAnsi="Arial" w:eastAsia="等线" w:cs="Arial"/>
          <w:sz w:val="22"/>
        </w:rPr>
        <w:t>应用化学专业与美国加州大学伯克利分校、美国佐治亚理工学院、新加坡国立大学、南洋理工大学等10余所国外知名高校开展了多种形式的本科生联合培养项目。此外，将通过资助学生参加国际会议、赴国外进行本科毕业设计、参加暑期研修、短期国外实践等，提高学生国际化视野、沟通交流能力与竞争力。</w:t>
      </w:r>
    </w:p>
    <w:p w14:paraId="01F75649">
      <w:pPr>
        <w:spacing w:before="320" w:after="120" w:line="288" w:lineRule="auto"/>
        <w:jc w:val="left"/>
        <w:outlineLvl w:val="1"/>
      </w:pPr>
      <w:bookmarkStart w:id="13" w:name="heading_13"/>
      <w:r>
        <w:rPr>
          <w:rFonts w:ascii="Arial" w:hAnsi="Arial" w:eastAsia="等线" w:cs="Arial"/>
          <w:b/>
          <w:sz w:val="32"/>
        </w:rPr>
        <w:t>五、课程设置</w:t>
      </w:r>
      <w:bookmarkEnd w:id="13"/>
    </w:p>
    <w:p w14:paraId="79A327F7">
      <w:pPr>
        <w:adjustRightInd w:val="0"/>
        <w:snapToGrid w:val="0"/>
        <w:spacing w:before="120" w:after="120" w:line="360" w:lineRule="auto"/>
        <w:ind w:firstLine="440" w:firstLineChars="200"/>
        <w:jc w:val="left"/>
      </w:pPr>
      <w:r>
        <w:rPr>
          <w:rFonts w:ascii="Arial" w:hAnsi="Arial" w:eastAsia="等线" w:cs="Arial"/>
          <w:sz w:val="22"/>
        </w:rPr>
        <w:t>从人才培养目标出发，构建适合学生未来发展的课程体系，通过灵活多样的模块化课程来满足不同专业方向学生的需求。</w:t>
      </w:r>
    </w:p>
    <w:p w14:paraId="02733632">
      <w:pPr>
        <w:spacing w:before="300" w:after="120" w:line="288" w:lineRule="auto"/>
        <w:jc w:val="left"/>
        <w:outlineLvl w:val="2"/>
      </w:pPr>
      <w:bookmarkStart w:id="14" w:name="heading_14"/>
      <w:r>
        <w:rPr>
          <w:rFonts w:ascii="Arial" w:hAnsi="Arial" w:eastAsia="等线" w:cs="Arial"/>
          <w:b/>
          <w:sz w:val="30"/>
        </w:rPr>
        <w:t>1. 通识教育课程</w:t>
      </w:r>
      <w:bookmarkEnd w:id="14"/>
    </w:p>
    <w:p w14:paraId="12DB500B">
      <w:pPr>
        <w:adjustRightInd w:val="0"/>
        <w:snapToGrid w:val="0"/>
        <w:spacing w:before="120" w:after="120" w:line="360" w:lineRule="auto"/>
        <w:ind w:firstLine="440" w:firstLineChars="200"/>
        <w:jc w:val="left"/>
      </w:pPr>
      <w:r>
        <w:rPr>
          <w:rFonts w:ascii="Arial" w:hAnsi="Arial" w:eastAsia="等线" w:cs="Arial"/>
          <w:sz w:val="22"/>
        </w:rPr>
        <w:t>包括思想政治理论课、体育与健康课、外语课、军事类课程、创新创业教育以及人文科学、社会科学、艺术与美学、科学和艺术、新工科类等模块化课程。学生通过均衡选课来拓宽视野、避免偏狭，培养独立思考与判断力、社会责任感和健全人格，提升艺术与人文综合素养。</w:t>
      </w:r>
    </w:p>
    <w:p w14:paraId="29F4ED9E">
      <w:pPr>
        <w:spacing w:before="300" w:after="120" w:line="288" w:lineRule="auto"/>
        <w:jc w:val="left"/>
        <w:outlineLvl w:val="2"/>
      </w:pPr>
      <w:bookmarkStart w:id="15" w:name="heading_15"/>
      <w:r>
        <w:rPr>
          <w:rFonts w:ascii="Arial" w:hAnsi="Arial" w:eastAsia="等线" w:cs="Arial"/>
          <w:b/>
          <w:sz w:val="30"/>
        </w:rPr>
        <w:t>2. 专业教育课程</w:t>
      </w:r>
      <w:bookmarkEnd w:id="15"/>
    </w:p>
    <w:p w14:paraId="2069C657">
      <w:pPr>
        <w:adjustRightInd w:val="0"/>
        <w:snapToGrid w:val="0"/>
        <w:spacing w:before="120" w:after="120" w:line="360" w:lineRule="auto"/>
        <w:ind w:firstLine="440" w:firstLineChars="200"/>
        <w:jc w:val="left"/>
      </w:pPr>
      <w:r>
        <w:rPr>
          <w:rFonts w:ascii="Arial" w:hAnsi="Arial" w:eastAsia="等线" w:cs="Arial"/>
          <w:sz w:val="22"/>
        </w:rPr>
        <w:t>由数理基础课程、大类基础课、专业核心课、专业选修课、实践教学课程组成。数理基础课程包括数学与物理类课程，大类基础课包括计算机与程序设计类课程。专业核心课程包括无机化学、分析化学、有机化学、物理化学、现代仪器分析。这些课程体现了化学教育的核心内容，是学生具备专业基本素质和解决化学问题所必需的课程。</w:t>
      </w:r>
    </w:p>
    <w:p w14:paraId="512E8E93">
      <w:pPr>
        <w:adjustRightInd w:val="0"/>
        <w:snapToGrid w:val="0"/>
        <w:spacing w:before="120" w:after="120" w:line="360" w:lineRule="auto"/>
        <w:ind w:firstLine="440" w:firstLineChars="200"/>
        <w:jc w:val="left"/>
      </w:pPr>
      <w:r>
        <w:rPr>
          <w:rFonts w:ascii="Arial" w:hAnsi="Arial" w:eastAsia="等线" w:cs="Arial"/>
          <w:sz w:val="22"/>
        </w:rPr>
        <w:t>专业选修课中，除了开设高分子化学、物质结构、生物化学、高等有机化学、表面化学、高分子物理、材料物理与化学（纳米科学入门）、有机光电子学、金属有机化学、精细有机合成化学、计算化学基础等10余门化学类选修课之外，还开设了工程制图基础、化工流体流动与传热、工业化学基础等交叉学科选修课。学生可从中选择适合自己专业方向的课程进行学习。选修课要求学分不低于</w:t>
      </w:r>
      <w:r>
        <w:rPr>
          <w:rFonts w:hint="eastAsia" w:ascii="Arial" w:hAnsi="Arial" w:eastAsia="等线" w:cs="Arial"/>
          <w:sz w:val="22"/>
        </w:rPr>
        <w:t>23</w:t>
      </w:r>
      <w:r>
        <w:rPr>
          <w:rFonts w:ascii="Arial" w:hAnsi="Arial" w:eastAsia="等线" w:cs="Arial"/>
          <w:sz w:val="22"/>
        </w:rPr>
        <w:t>。</w:t>
      </w:r>
    </w:p>
    <w:p w14:paraId="54130AB8">
      <w:pPr>
        <w:adjustRightInd w:val="0"/>
        <w:snapToGrid w:val="0"/>
        <w:spacing w:before="120" w:after="120" w:line="360" w:lineRule="auto"/>
        <w:ind w:firstLine="440" w:firstLineChars="200"/>
        <w:jc w:val="left"/>
      </w:pPr>
      <w:r>
        <w:rPr>
          <w:rFonts w:ascii="Arial" w:hAnsi="Arial" w:eastAsia="等线" w:cs="Arial"/>
          <w:sz w:val="22"/>
        </w:rPr>
        <w:t>实践教学环节课程包括物理实验、四大化学实验等专业基础实验课，以及综合化学实验、化学课程设计与实验、计算机实习、化工过程虚拟仿真实习等高阶实验课，通过循序渐进的实验和实践训练，逐步培养学生化学研究动手能力。</w:t>
      </w:r>
    </w:p>
    <w:p w14:paraId="3CCF001E">
      <w:pPr>
        <w:spacing w:before="300" w:after="120" w:line="288" w:lineRule="auto"/>
        <w:jc w:val="left"/>
        <w:outlineLvl w:val="2"/>
      </w:pPr>
      <w:bookmarkStart w:id="16" w:name="heading_16"/>
      <w:r>
        <w:rPr>
          <w:rFonts w:ascii="Arial" w:hAnsi="Arial" w:eastAsia="等线" w:cs="Arial"/>
          <w:b/>
          <w:sz w:val="30"/>
        </w:rPr>
        <w:t>3. 特色课程</w:t>
      </w:r>
      <w:bookmarkEnd w:id="16"/>
    </w:p>
    <w:p w14:paraId="0B9D3E35">
      <w:pPr>
        <w:adjustRightInd w:val="0"/>
        <w:snapToGrid w:val="0"/>
        <w:spacing w:before="120" w:after="120" w:line="360" w:lineRule="auto"/>
        <w:ind w:firstLine="440" w:firstLineChars="200"/>
        <w:jc w:val="left"/>
      </w:pPr>
      <w:r>
        <w:rPr>
          <w:rFonts w:hint="eastAsia" w:ascii="Arial" w:hAnsi="Arial" w:eastAsia="等线" w:cs="Arial"/>
          <w:sz w:val="22"/>
        </w:rPr>
        <w:t>（1）</w:t>
      </w:r>
      <w:r>
        <w:rPr>
          <w:rFonts w:ascii="Arial" w:hAnsi="Arial" w:eastAsia="等线" w:cs="Arial"/>
          <w:sz w:val="22"/>
        </w:rPr>
        <w:t xml:space="preserve"> 化学素养类课程，如化学与社会、化学的今天和诺贝尔奖评价、改变世界的化学分子及发明创造方法论、化学与生物前沿等，这些课程引导学生从化学的视角重新认识世界，并寻求利用化学来改造世界、为人类服务。</w:t>
      </w:r>
    </w:p>
    <w:p w14:paraId="314A54C5">
      <w:pPr>
        <w:adjustRightInd w:val="0"/>
        <w:snapToGrid w:val="0"/>
        <w:spacing w:before="120" w:after="120" w:line="360" w:lineRule="auto"/>
        <w:ind w:firstLine="440" w:firstLineChars="200"/>
        <w:jc w:val="left"/>
        <w:rPr>
          <w:rFonts w:ascii="Arial" w:hAnsi="Arial" w:eastAsia="等线" w:cs="Arial"/>
          <w:sz w:val="22"/>
        </w:rPr>
      </w:pPr>
      <w:r>
        <w:rPr>
          <w:rFonts w:hint="eastAsia" w:ascii="Arial" w:hAnsi="Arial" w:eastAsia="等线" w:cs="Arial"/>
          <w:sz w:val="22"/>
        </w:rPr>
        <w:t>（2）</w:t>
      </w:r>
      <w:r>
        <w:rPr>
          <w:rFonts w:ascii="Arial" w:hAnsi="Arial" w:eastAsia="等线" w:cs="Arial"/>
          <w:sz w:val="22"/>
        </w:rPr>
        <w:t xml:space="preserve"> 研究创新类课程，包括化学研究与训练</w:t>
      </w:r>
      <w:r>
        <w:rPr>
          <w:rFonts w:hint="eastAsia" w:ascii="Arial" w:hAnsi="Arial" w:eastAsia="等线" w:cs="Arial"/>
          <w:sz w:val="22"/>
        </w:rPr>
        <w:t>I</w:t>
      </w:r>
      <w:r>
        <w:rPr>
          <w:rFonts w:ascii="Arial" w:hAnsi="Arial" w:eastAsia="等线" w:cs="Arial"/>
          <w:sz w:val="22"/>
        </w:rPr>
        <w:t>和化学研究与训练</w:t>
      </w:r>
      <w:r>
        <w:rPr>
          <w:rFonts w:hint="eastAsia" w:ascii="Arial" w:hAnsi="Arial" w:eastAsia="等线" w:cs="Arial"/>
          <w:sz w:val="22"/>
        </w:rPr>
        <w:t>II，以及</w:t>
      </w:r>
      <w:r>
        <w:rPr>
          <w:rFonts w:ascii="Arial" w:hAnsi="Arial" w:eastAsia="等线" w:cs="Arial"/>
          <w:sz w:val="22"/>
        </w:rPr>
        <w:t>本科生科研训练。这类训练课为学生综合运用所学知识开展科学研究提供支持，可有效提升学生的化学研究能力和水平。</w:t>
      </w:r>
    </w:p>
    <w:p w14:paraId="1821A8D1">
      <w:pPr>
        <w:adjustRightInd w:val="0"/>
        <w:snapToGrid w:val="0"/>
        <w:spacing w:before="120" w:after="120" w:line="360" w:lineRule="auto"/>
        <w:ind w:firstLine="440" w:firstLineChars="200"/>
        <w:jc w:val="left"/>
      </w:pPr>
      <w:r>
        <w:rPr>
          <w:rFonts w:hint="eastAsia" w:ascii="Arial" w:hAnsi="Arial" w:eastAsia="等线" w:cs="Arial"/>
          <w:sz w:val="22"/>
        </w:rPr>
        <w:t>（3）</w:t>
      </w:r>
      <w:r>
        <w:rPr>
          <w:rFonts w:ascii="Arial" w:hAnsi="Arial" w:eastAsia="等线" w:cs="Arial"/>
          <w:sz w:val="22"/>
        </w:rPr>
        <w:t xml:space="preserve"> 创新创业训练及课外实践，包括创新课程、创业实践、学科竞赛等，旨在鼓励学生更深入体验创新过程，体会化学对社会与人类的贡献与影响。</w:t>
      </w:r>
    </w:p>
    <w:p w14:paraId="03C59C85">
      <w:pPr>
        <w:spacing w:before="320" w:after="120" w:line="288" w:lineRule="auto"/>
        <w:jc w:val="left"/>
        <w:outlineLvl w:val="1"/>
      </w:pPr>
      <w:bookmarkStart w:id="17" w:name="heading_17"/>
      <w:r>
        <w:rPr>
          <w:rFonts w:ascii="Arial" w:hAnsi="Arial" w:eastAsia="等线" w:cs="Arial"/>
          <w:b/>
          <w:sz w:val="32"/>
        </w:rPr>
        <w:t>六、配套保障</w:t>
      </w:r>
      <w:bookmarkEnd w:id="17"/>
    </w:p>
    <w:p w14:paraId="0598E7AC">
      <w:pPr>
        <w:spacing w:before="300" w:after="120" w:line="288" w:lineRule="auto"/>
        <w:jc w:val="left"/>
        <w:outlineLvl w:val="2"/>
      </w:pPr>
      <w:bookmarkStart w:id="18" w:name="heading_18"/>
      <w:r>
        <w:rPr>
          <w:rFonts w:ascii="Arial" w:hAnsi="Arial" w:eastAsia="等线" w:cs="Arial"/>
          <w:b/>
          <w:sz w:val="30"/>
        </w:rPr>
        <w:t>1.组织保障</w:t>
      </w:r>
      <w:bookmarkEnd w:id="18"/>
    </w:p>
    <w:p w14:paraId="70430787">
      <w:pPr>
        <w:adjustRightInd w:val="0"/>
        <w:snapToGrid w:val="0"/>
        <w:spacing w:before="120" w:after="120" w:line="360" w:lineRule="auto"/>
        <w:ind w:firstLine="440" w:firstLineChars="200"/>
        <w:jc w:val="left"/>
      </w:pPr>
      <w:r>
        <w:rPr>
          <w:rFonts w:ascii="Arial" w:hAnsi="Arial" w:eastAsia="等线" w:cs="Arial"/>
          <w:sz w:val="22"/>
        </w:rPr>
        <w:t>强基计划的实施与人才培养工作由学校有关部门统筹管理。教务处、研究生院、学工部、校团委协同相关部门，负责完成顶层设计、政策支持、激励保障、质量跟踪等工作。理学院和化学系建立“管理委员会</w:t>
      </w:r>
      <w:r>
        <w:rPr>
          <w:rFonts w:hint="eastAsia" w:ascii="Arial" w:hAnsi="Arial" w:eastAsia="等线" w:cs="Arial"/>
          <w:sz w:val="22"/>
        </w:rPr>
        <w:t>”“</w:t>
      </w:r>
      <w:r>
        <w:rPr>
          <w:rFonts w:ascii="Arial" w:hAnsi="Arial" w:eastAsia="等线" w:cs="Arial"/>
          <w:sz w:val="22"/>
        </w:rPr>
        <w:t>教学指导委员会”和“导师团队”三位一体的强基计划学生培养管理保障体系。管理委员会负责</w:t>
      </w:r>
      <w:r>
        <w:rPr>
          <w:rFonts w:hint="eastAsia" w:ascii="Arial" w:hAnsi="Arial" w:eastAsia="等线" w:cs="Arial"/>
          <w:sz w:val="22"/>
        </w:rPr>
        <w:t>制定</w:t>
      </w:r>
      <w:r>
        <w:rPr>
          <w:rFonts w:ascii="Arial" w:hAnsi="Arial" w:eastAsia="等线" w:cs="Arial"/>
          <w:sz w:val="22"/>
        </w:rPr>
        <w:t>人才培养的政策措施，统筹各类教学资源，为强基班学生提供一流的师资条件和一流的学习条件，创造一流的学术环境与氛围，并不断开拓新渠道，扩大科教协同育人范围。教学指导委员会负责对教育、教学、实践、科研训练等具体过程实施管理，研讨制定培养方案，遴选导师，对学生进行综合评价等，通过规范教学过程来保障人才培养质量。</w:t>
      </w:r>
    </w:p>
    <w:p w14:paraId="29F90429">
      <w:pPr>
        <w:adjustRightInd w:val="0"/>
        <w:snapToGrid w:val="0"/>
        <w:spacing w:before="120" w:after="120" w:line="360" w:lineRule="auto"/>
        <w:ind w:firstLine="440" w:firstLineChars="200"/>
        <w:jc w:val="left"/>
      </w:pPr>
      <w:r>
        <w:rPr>
          <w:rFonts w:ascii="Arial" w:hAnsi="Arial" w:eastAsia="等线" w:cs="Arial"/>
          <w:sz w:val="22"/>
        </w:rPr>
        <w:t>导师团队由师德高尚、责任心强、学术造诣高、科研创新能力强、能够坚持“以本为本”的教学名师和高层次人才组成，负责对自己指导的学生进行日常学业管理，引导学生树立远大理想，确定未来发展方向，规划课程学习和实践锻炼，并使学生尽早开始接受科研训练，通过科学研究促进知识学习、实践训练和综合素质的提升。</w:t>
      </w:r>
    </w:p>
    <w:p w14:paraId="48C67D8B">
      <w:pPr>
        <w:spacing w:before="300" w:after="120" w:line="288" w:lineRule="auto"/>
        <w:jc w:val="left"/>
        <w:outlineLvl w:val="2"/>
      </w:pPr>
      <w:bookmarkStart w:id="19" w:name="heading_19"/>
      <w:r>
        <w:rPr>
          <w:rFonts w:ascii="Arial" w:hAnsi="Arial" w:eastAsia="等线" w:cs="Arial"/>
          <w:b/>
          <w:sz w:val="30"/>
        </w:rPr>
        <w:t>2. 经费与资源保障</w:t>
      </w:r>
      <w:bookmarkEnd w:id="19"/>
    </w:p>
    <w:p w14:paraId="730017E3">
      <w:pPr>
        <w:adjustRightInd w:val="0"/>
        <w:snapToGrid w:val="0"/>
        <w:spacing w:before="120" w:after="120" w:line="360" w:lineRule="auto"/>
        <w:ind w:firstLine="440" w:firstLineChars="200"/>
        <w:jc w:val="left"/>
      </w:pPr>
      <w:r>
        <w:rPr>
          <w:rFonts w:ascii="Arial" w:hAnsi="Arial" w:eastAsia="等线" w:cs="Arial"/>
          <w:sz w:val="22"/>
        </w:rPr>
        <w:t>化学学科是“双一流”建设学科，学校对化学学科人才培养工作十分重视，除基本的教学设备费和业务费外，每年还单独划拨经费用于改善实验教学办学条件。强基计划实施以后，学校相关的经费支持预计会持续增加，化学系将优先保证强基计划学生在实验、实践、创新训练（参加竞赛、国内会议等）、对外交流等方面的资金投入，并严格做到专款专用。</w:t>
      </w:r>
    </w:p>
    <w:p w14:paraId="4539550C">
      <w:pPr>
        <w:adjustRightInd w:val="0"/>
        <w:snapToGrid w:val="0"/>
        <w:spacing w:before="120" w:after="120" w:line="360" w:lineRule="auto"/>
        <w:ind w:firstLine="440" w:firstLineChars="200"/>
        <w:jc w:val="left"/>
      </w:pPr>
      <w:r>
        <w:rPr>
          <w:rFonts w:ascii="Arial" w:hAnsi="Arial" w:eastAsia="等线" w:cs="Arial"/>
          <w:sz w:val="22"/>
        </w:rPr>
        <w:t>在现有资源基础上，化学学科还将积极为强基班学生争取更多的经费投入。进一步加强与国内外科研院所的合作，为学生争取更多的科研实践机会，提高联合培养奖学金的资助额度和比例。积极联系校友和其他社会资源，针对强基计划设立新的专项奖学金或创新基金。</w:t>
      </w:r>
    </w:p>
    <w:p w14:paraId="0EFE9922">
      <w:pPr>
        <w:spacing w:before="300" w:after="120" w:line="288" w:lineRule="auto"/>
        <w:jc w:val="left"/>
        <w:outlineLvl w:val="2"/>
      </w:pPr>
      <w:bookmarkStart w:id="20" w:name="heading_20"/>
      <w:r>
        <w:rPr>
          <w:rFonts w:ascii="Arial" w:hAnsi="Arial" w:eastAsia="等线" w:cs="Arial"/>
          <w:b/>
          <w:sz w:val="30"/>
        </w:rPr>
        <w:t>3. 师资保障</w:t>
      </w:r>
      <w:bookmarkEnd w:id="20"/>
    </w:p>
    <w:p w14:paraId="6987B636">
      <w:pPr>
        <w:adjustRightInd w:val="0"/>
        <w:snapToGrid w:val="0"/>
        <w:spacing w:before="120" w:after="120" w:line="360" w:lineRule="auto"/>
        <w:ind w:firstLine="440" w:firstLineChars="200"/>
        <w:jc w:val="left"/>
      </w:pPr>
      <w:r>
        <w:rPr>
          <w:rFonts w:hint="eastAsia" w:ascii="Arial" w:hAnsi="Arial" w:eastAsia="等线" w:cs="Arial"/>
          <w:sz w:val="22"/>
        </w:rPr>
        <w:t>（1）</w:t>
      </w:r>
      <w:r>
        <w:rPr>
          <w:rFonts w:ascii="Arial" w:hAnsi="Arial" w:eastAsia="等线" w:cs="Arial"/>
          <w:sz w:val="22"/>
        </w:rPr>
        <w:t xml:space="preserve"> 实行上课教师遴选制。强基计划学生的基础课由教学名师及各教研室的骨干教师承担，教师要有博士学位及海（境）外交流经历。专业课教师则由科研能力突出的各类国家级和市级高层次人才担任。严格执行教师的师风师德规范。</w:t>
      </w:r>
    </w:p>
    <w:p w14:paraId="067F985A">
      <w:pPr>
        <w:adjustRightInd w:val="0"/>
        <w:snapToGrid w:val="0"/>
        <w:spacing w:before="120" w:after="120" w:line="360" w:lineRule="auto"/>
        <w:ind w:firstLine="440" w:firstLineChars="200"/>
        <w:jc w:val="left"/>
      </w:pPr>
      <w:r>
        <w:rPr>
          <w:rFonts w:hint="eastAsia" w:ascii="Arial" w:hAnsi="Arial" w:eastAsia="等线" w:cs="Arial"/>
          <w:sz w:val="22"/>
        </w:rPr>
        <w:t>（2）</w:t>
      </w:r>
      <w:r>
        <w:rPr>
          <w:rFonts w:ascii="Arial" w:hAnsi="Arial" w:eastAsia="等线" w:cs="Arial"/>
          <w:sz w:val="22"/>
        </w:rPr>
        <w:t xml:space="preserve"> 完善学业导师的遴选和评价机制。学业导师要热爱学生培养工作，有丰富的教学和科研经历，有充足的科研经费，指导过研究生，能保证有充足的时间和精力投入学生指导工作。优先支持承担重大科研项目、重点课题的教师担任学业导师。学业导师要率先垂范，指导和帮助学生建立学术思维，养成良好学术道德和科学素养。教学指导委员会负责对学业导师的综合表现进行评价和反馈。</w:t>
      </w:r>
    </w:p>
    <w:p w14:paraId="1054BFFF">
      <w:pPr>
        <w:spacing w:before="300" w:after="120" w:line="288" w:lineRule="auto"/>
        <w:jc w:val="left"/>
        <w:outlineLvl w:val="2"/>
      </w:pPr>
      <w:bookmarkStart w:id="21" w:name="heading_21"/>
      <w:r>
        <w:rPr>
          <w:rFonts w:ascii="Arial" w:hAnsi="Arial" w:eastAsia="等线" w:cs="Arial"/>
          <w:b/>
          <w:sz w:val="30"/>
        </w:rPr>
        <w:t>4. 政策保障（免试推荐研究生、直博、公派留学、奖学金等方面政策）</w:t>
      </w:r>
      <w:bookmarkEnd w:id="21"/>
    </w:p>
    <w:p w14:paraId="3F58DB8F">
      <w:pPr>
        <w:adjustRightInd w:val="0"/>
        <w:snapToGrid w:val="0"/>
        <w:spacing w:before="120" w:after="120" w:line="360" w:lineRule="auto"/>
        <w:ind w:firstLine="440" w:firstLineChars="200"/>
        <w:jc w:val="left"/>
      </w:pPr>
      <w:r>
        <w:rPr>
          <w:rFonts w:ascii="Arial" w:hAnsi="Arial" w:eastAsia="等线" w:cs="Arial"/>
          <w:sz w:val="22"/>
        </w:rPr>
        <w:t>应用化学专业严格执行学校和学院关于免试推荐研究生、直博、公派留学、奖学金评定的有关政策，针对强基计划下达的推荐免试研究生优惠政策和名额，保证全部用于这部分学生。国内外高校、科研院所针对强基计划设置的专项奖学金和科研基金，也将做到专款专用。在对外交流合作中，向对方重点介绍强基计划，并在相关合作协议中明确列出面向强基计划的内容。</w:t>
      </w:r>
    </w:p>
    <w:p w14:paraId="50956CC8">
      <w:pPr>
        <w:spacing w:before="300" w:after="120" w:line="288" w:lineRule="auto"/>
        <w:jc w:val="left"/>
        <w:outlineLvl w:val="2"/>
      </w:pPr>
      <w:bookmarkStart w:id="22" w:name="heading_22"/>
      <w:r>
        <w:rPr>
          <w:rFonts w:ascii="Arial" w:hAnsi="Arial" w:eastAsia="等线" w:cs="Arial"/>
          <w:b/>
          <w:sz w:val="30"/>
        </w:rPr>
        <w:t xml:space="preserve">5. </w:t>
      </w:r>
      <w:r>
        <w:rPr>
          <w:rFonts w:hint="eastAsia" w:ascii="Arial" w:hAnsi="Arial" w:eastAsia="等线" w:cs="Arial"/>
          <w:b/>
          <w:sz w:val="30"/>
        </w:rPr>
        <w:t>其他</w:t>
      </w:r>
      <w:r>
        <w:rPr>
          <w:rFonts w:ascii="Arial" w:hAnsi="Arial" w:eastAsia="等线" w:cs="Arial"/>
          <w:b/>
          <w:sz w:val="30"/>
        </w:rPr>
        <w:t>激励机制</w:t>
      </w:r>
      <w:bookmarkEnd w:id="22"/>
    </w:p>
    <w:p w14:paraId="65DE1827">
      <w:pPr>
        <w:adjustRightInd w:val="0"/>
        <w:snapToGrid w:val="0"/>
        <w:spacing w:before="120" w:after="120" w:line="360" w:lineRule="auto"/>
        <w:ind w:firstLine="440" w:firstLineChars="200"/>
        <w:jc w:val="left"/>
      </w:pPr>
      <w:r>
        <w:rPr>
          <w:rFonts w:ascii="Arial" w:hAnsi="Arial" w:eastAsia="等线" w:cs="Arial"/>
          <w:sz w:val="22"/>
        </w:rPr>
        <w:t>对学习成绩优异的强基计划学生，在条件允许的前提下优先提供更多的奖学金资助，允许其优先选择感兴趣的课题组和研究方向，优先享受一流的科研条件和平台资源。</w:t>
      </w:r>
    </w:p>
    <w:p w14:paraId="4A096A75">
      <w:pPr>
        <w:adjustRightInd w:val="0"/>
        <w:snapToGrid w:val="0"/>
        <w:spacing w:before="120" w:after="120" w:line="360" w:lineRule="auto"/>
        <w:ind w:firstLine="440" w:firstLineChars="200"/>
        <w:jc w:val="left"/>
      </w:pPr>
      <w:r>
        <w:rPr>
          <w:rFonts w:ascii="Arial" w:hAnsi="Arial" w:eastAsia="等线" w:cs="Arial"/>
          <w:sz w:val="22"/>
        </w:rPr>
        <w:t>确定在本专业衔接读博的学生，大学第四年起享受研究生科研补助，第五年起按照博士生进行培养，享受有关待遇。对达到毕业要求的研究生，给予提前毕业的机会。</w:t>
      </w:r>
    </w:p>
    <w:p w14:paraId="4D5EA4D0">
      <w:pPr>
        <w:adjustRightInd w:val="0"/>
        <w:snapToGrid w:val="0"/>
        <w:spacing w:before="120" w:after="120" w:line="360" w:lineRule="auto"/>
        <w:ind w:firstLine="440" w:firstLineChars="200"/>
        <w:jc w:val="left"/>
      </w:pPr>
      <w:r>
        <w:rPr>
          <w:rFonts w:ascii="Arial" w:hAnsi="Arial" w:eastAsia="等线" w:cs="Arial"/>
          <w:sz w:val="22"/>
        </w:rPr>
        <w:t>强基计划招生及培养工作严格执行教育部相关政策规定。若遇教育部政策调整，则按新政策执行。本培养方案可能根据天津大学本科教育改革情况有所调整。</w:t>
      </w:r>
    </w:p>
    <w:p w14:paraId="30FE76BE">
      <w:pPr>
        <w:spacing w:before="120" w:after="120" w:line="288" w:lineRule="auto"/>
        <w:jc w:val="left"/>
      </w:pPr>
    </w:p>
    <w:sectPr>
      <w:pgSz w:w="11905"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C01"/>
    <w:rsid w:val="003C5A6A"/>
    <w:rsid w:val="004D5087"/>
    <w:rsid w:val="008A5793"/>
    <w:rsid w:val="00C04C01"/>
    <w:rsid w:val="00E871D3"/>
    <w:rsid w:val="07C06D44"/>
    <w:rsid w:val="18AD3930"/>
    <w:rsid w:val="32103A54"/>
    <w:rsid w:val="439418F5"/>
    <w:rsid w:val="58327C00"/>
    <w:rsid w:val="69EE3C11"/>
    <w:rsid w:val="75330E04"/>
    <w:rsid w:val="76F818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lang w:val="en-US" w:eastAsia="zh-CN" w:bidi="ar-SA"/>
    </w:rPr>
  </w:style>
  <w:style w:type="paragraph" w:styleId="2">
    <w:name w:val="heading 5"/>
    <w:basedOn w:val="1"/>
    <w:next w:val="1"/>
    <w:semiHidden/>
    <w:unhideWhenUsed/>
    <w:qFormat/>
    <w:uiPriority w:val="0"/>
    <w:pPr>
      <w:spacing w:beforeAutospacing="1" w:afterAutospacing="1"/>
      <w:jc w:val="left"/>
      <w:outlineLvl w:val="4"/>
    </w:pPr>
    <w:rPr>
      <w:rFonts w:hint="eastAsia" w:ascii="宋体" w:hAnsi="宋体"/>
      <w:b/>
      <w:bCs/>
      <w:sz w:val="20"/>
      <w:szCs w:val="20"/>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8"/>
    <w:uiPriority w:val="0"/>
    <w:pPr>
      <w:tabs>
        <w:tab w:val="center" w:pos="4153"/>
        <w:tab w:val="right" w:pos="8306"/>
      </w:tabs>
      <w:snapToGrid w:val="0"/>
      <w:jc w:val="left"/>
    </w:pPr>
    <w:rPr>
      <w:sz w:val="18"/>
      <w:szCs w:val="18"/>
    </w:rPr>
  </w:style>
  <w:style w:type="paragraph" w:styleId="4">
    <w:name w:val="header"/>
    <w:basedOn w:val="1"/>
    <w:link w:val="7"/>
    <w:uiPriority w:val="0"/>
    <w:pPr>
      <w:tabs>
        <w:tab w:val="center" w:pos="4153"/>
        <w:tab w:val="right" w:pos="8306"/>
      </w:tabs>
      <w:snapToGrid w:val="0"/>
      <w:jc w:val="center"/>
    </w:pPr>
    <w:rPr>
      <w:sz w:val="18"/>
      <w:szCs w:val="18"/>
    </w:rPr>
  </w:style>
  <w:style w:type="character" w:customStyle="1" w:styleId="7">
    <w:name w:val="页眉 字符"/>
    <w:basedOn w:val="6"/>
    <w:link w:val="4"/>
    <w:uiPriority w:val="0"/>
    <w:rPr>
      <w:sz w:val="18"/>
      <w:szCs w:val="18"/>
    </w:rPr>
  </w:style>
  <w:style w:type="character" w:customStyle="1" w:styleId="8">
    <w:name w:val="页脚 字符"/>
    <w:basedOn w:val="6"/>
    <w:link w:val="3"/>
    <w:uiPriority w:val="0"/>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6709</Words>
  <Characters>6848</Characters>
  <Lines>117</Lines>
  <Paragraphs>74</Paragraphs>
  <TotalTime>19</TotalTime>
  <ScaleCrop>false</ScaleCrop>
  <LinksUpToDate>false</LinksUpToDate>
  <CharactersWithSpaces>6880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2026-03-31T03:42:00Z</dcterms:created>
  <dc:creator>Apache POI</dc:creator>
  <cp:lastModifiedBy>张歌</cp:lastModifiedBy>
  <dcterms:modified xsi:type="dcterms:W3CDTF">2026-04-07T02:38:26Z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4167696ADC984BB787AD74896D877100_13</vt:lpwstr>
  </property>
  <property fmtid="{D5CDD505-2E9C-101B-9397-08002B2CF9AE}" pid="4" name="KSOTemplateDocerSaveRecord">
    <vt:lpwstr>eyJoZGlkIjoiMWNiNjRkZTJiZmZiOWYwZTQ5YWZkZDA1NjFmZGE1ZjMiLCJ1c2VySWQiOiIzNTUyMzk0MTgifQ==</vt:lpwstr>
  </property>
</Properties>
</file>