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936" w:after="312"/>
        <w:rPr>
          <w:color w:val="000000" w:themeColor="text1"/>
          <w14:textFill>
            <w14:solidFill>
              <w14:schemeClr w14:val="tx1"/>
            </w14:solidFill>
          </w14:textFill>
        </w:rPr>
      </w:pPr>
      <w:r>
        <w:rPr>
          <w:color w:val="000000" w:themeColor="text1"/>
          <w14:textFill>
            <w14:solidFill>
              <w14:schemeClr w14:val="tx1"/>
            </w14:solidFill>
          </w14:textFill>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color w:val="000000" w:themeColor="text1"/>
          <w14:textFill>
            <w14:solidFill>
              <w14:schemeClr w14:val="tx1"/>
            </w14:solidFill>
          </w14:textFill>
        </w:rPr>
        <w:instrText xml:space="preserve">ADDIN CNKISM.UserStyle</w:instrText>
      </w:r>
      <w:r>
        <w:rPr>
          <w:color w:val="000000" w:themeColor="text1"/>
          <w14:textFill>
            <w14:solidFill>
              <w14:schemeClr w14:val="tx1"/>
            </w14:solidFill>
          </w14:textFill>
        </w:rPr>
        <w:fldChar w:fldCharType="end"/>
      </w:r>
      <w:bookmarkStart w:id="0" w:name="_Toc89691565"/>
      <w:bookmarkStart w:id="1" w:name="_Toc89457148"/>
      <w:r>
        <w:rPr>
          <w:rFonts w:hint="eastAsia"/>
          <w:color w:val="000000" w:themeColor="text1"/>
          <w14:textFill>
            <w14:solidFill>
              <w14:schemeClr w14:val="tx1"/>
            </w14:solidFill>
          </w14:textFill>
        </w:rPr>
        <w:t>西南财经大学</w:t>
      </w:r>
      <w:r>
        <w:rPr>
          <w:rFonts w:hint="eastAsia"/>
          <w:color w:val="000000" w:themeColor="text1"/>
          <w:lang w:eastAsia="zh-CN"/>
          <w14:textFill>
            <w14:solidFill>
              <w14:schemeClr w14:val="tx1"/>
            </w14:solidFill>
          </w14:textFill>
        </w:rPr>
        <w:t>数学学院</w:t>
      </w:r>
      <w:r>
        <w:rPr>
          <w:rFonts w:hint="eastAsia"/>
          <w:color w:val="000000" w:themeColor="text1"/>
          <w14:textFill>
            <w14:solidFill>
              <w14:schemeClr w14:val="tx1"/>
            </w14:solidFill>
          </w14:textFill>
        </w:rPr>
        <w:t>推荐免试</w:t>
      </w:r>
      <w:r>
        <w:rPr>
          <w:color w:val="000000" w:themeColor="text1"/>
          <w14:textFill>
            <w14:solidFill>
              <w14:schemeClr w14:val="tx1"/>
            </w14:solidFill>
          </w14:textFill>
        </w:rPr>
        <w:br w:type="textWrapping"/>
      </w:r>
      <w:r>
        <w:rPr>
          <w:rFonts w:hint="eastAsia"/>
          <w:color w:val="000000" w:themeColor="text1"/>
          <w14:textFill>
            <w14:solidFill>
              <w14:schemeClr w14:val="tx1"/>
            </w14:solidFill>
          </w14:textFill>
        </w:rPr>
        <w:t>研究生工作实施细则</w:t>
      </w:r>
      <w:bookmarkEnd w:id="0"/>
      <w:bookmarkEnd w:id="1"/>
    </w:p>
    <w:p>
      <w:pPr>
        <w:spacing w:line="560" w:lineRule="exact"/>
        <w:rPr>
          <w:color w:val="000000" w:themeColor="text1"/>
          <w:sz w:val="28"/>
          <w:szCs w:val="28"/>
          <w14:textFill>
            <w14:solidFill>
              <w14:schemeClr w14:val="tx1"/>
            </w14:solidFill>
          </w14:textFill>
        </w:rPr>
      </w:pPr>
    </w:p>
    <w:p>
      <w:pPr>
        <w:pStyle w:val="3"/>
        <w:spacing w:before="312" w:after="312"/>
        <w:rPr>
          <w:color w:val="000000" w:themeColor="text1"/>
          <w14:textFill>
            <w14:solidFill>
              <w14:schemeClr w14:val="tx1"/>
            </w14:solidFill>
          </w14:textFill>
        </w:rPr>
      </w:pPr>
      <w:r>
        <w:rPr>
          <w:rFonts w:hint="eastAsia"/>
          <w:color w:val="000000" w:themeColor="text1"/>
          <w14:textFill>
            <w14:solidFill>
              <w14:schemeClr w14:val="tx1"/>
            </w14:solidFill>
          </w14:textFill>
        </w:rPr>
        <w:t>第一章  总  则</w:t>
      </w:r>
    </w:p>
    <w:p>
      <w:pPr>
        <w:spacing w:line="560" w:lineRule="exact"/>
        <w:ind w:firstLine="562"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b/>
          <w:color w:val="000000" w:themeColor="text1"/>
          <w:sz w:val="28"/>
          <w:szCs w:val="28"/>
          <w14:textFill>
            <w14:solidFill>
              <w14:schemeClr w14:val="tx1"/>
            </w14:solidFill>
          </w14:textFill>
        </w:rPr>
        <w:t>第一条</w:t>
      </w:r>
      <w:r>
        <w:rPr>
          <w:rFonts w:hint="eastAsia" w:ascii="Times New Roman" w:hAnsi="Times New Roman" w:eastAsia="仿宋_GB2312"/>
          <w:color w:val="000000" w:themeColor="text1"/>
          <w:sz w:val="28"/>
          <w:szCs w:val="28"/>
          <w14:textFill>
            <w14:solidFill>
              <w14:schemeClr w14:val="tx1"/>
            </w14:solidFill>
          </w14:textFill>
        </w:rPr>
        <w:t xml:space="preserve"> </w:t>
      </w:r>
      <w:r>
        <w:rPr>
          <w:rFonts w:ascii="Times New Roman" w:hAnsi="Times New Roman" w:eastAsia="仿宋_GB2312"/>
          <w:color w:val="000000" w:themeColor="text1"/>
          <w:sz w:val="28"/>
          <w:szCs w:val="28"/>
          <w14:textFill>
            <w14:solidFill>
              <w14:schemeClr w14:val="tx1"/>
            </w14:solidFill>
          </w14:textFill>
        </w:rPr>
        <w:t xml:space="preserve"> </w:t>
      </w:r>
      <w:r>
        <w:rPr>
          <w:rFonts w:hint="eastAsia" w:ascii="Times New Roman" w:hAnsi="Times New Roman" w:eastAsia="仿宋_GB2312"/>
          <w:color w:val="000000" w:themeColor="text1"/>
          <w:sz w:val="28"/>
          <w:szCs w:val="28"/>
          <w14:textFill>
            <w14:solidFill>
              <w14:schemeClr w14:val="tx1"/>
            </w14:solidFill>
          </w14:textFill>
        </w:rPr>
        <w:t>为加大拔尖创新人才选拔力度，根据《西南财经大学推荐免试研究生管理办法》（2</w:t>
      </w:r>
      <w:r>
        <w:rPr>
          <w:rFonts w:ascii="Times New Roman" w:hAnsi="Times New Roman" w:eastAsia="仿宋_GB2312"/>
          <w:color w:val="000000" w:themeColor="text1"/>
          <w:sz w:val="28"/>
          <w:szCs w:val="28"/>
          <w14:textFill>
            <w14:solidFill>
              <w14:schemeClr w14:val="tx1"/>
            </w14:solidFill>
          </w14:textFill>
        </w:rPr>
        <w:t>021</w:t>
      </w:r>
      <w:r>
        <w:rPr>
          <w:rFonts w:hint="eastAsia" w:ascii="Times New Roman" w:hAnsi="Times New Roman" w:eastAsia="仿宋_GB2312"/>
          <w:color w:val="000000" w:themeColor="text1"/>
          <w:sz w:val="28"/>
          <w:szCs w:val="28"/>
          <w14:textFill>
            <w14:solidFill>
              <w14:schemeClr w14:val="tx1"/>
            </w14:solidFill>
          </w14:textFill>
        </w:rPr>
        <w:t>年修订），制定本细则。</w:t>
      </w:r>
    </w:p>
    <w:p>
      <w:pPr>
        <w:spacing w:line="560" w:lineRule="exact"/>
        <w:ind w:firstLine="562"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b/>
          <w:color w:val="000000" w:themeColor="text1"/>
          <w:sz w:val="28"/>
          <w:szCs w:val="28"/>
          <w14:textFill>
            <w14:solidFill>
              <w14:schemeClr w14:val="tx1"/>
            </w14:solidFill>
          </w14:textFill>
        </w:rPr>
        <w:t>第二条</w:t>
      </w:r>
      <w:r>
        <w:rPr>
          <w:rFonts w:ascii="Times New Roman" w:hAnsi="Times New Roman" w:eastAsia="仿宋_GB2312" w:cs="Times New Roman"/>
          <w:color w:val="000000" w:themeColor="text1"/>
          <w:sz w:val="28"/>
          <w:szCs w:val="28"/>
          <w14:textFill>
            <w14:solidFill>
              <w14:schemeClr w14:val="tx1"/>
            </w14:solidFill>
          </w14:textFill>
        </w:rPr>
        <w:t xml:space="preserve">  </w:t>
      </w:r>
      <w:bookmarkStart w:id="2" w:name="_Hlk85478260"/>
      <w:r>
        <w:rPr>
          <w:rFonts w:hint="eastAsia" w:ascii="Times New Roman" w:hAnsi="Times New Roman" w:eastAsia="仿宋_GB2312"/>
          <w:color w:val="000000" w:themeColor="text1"/>
          <w:sz w:val="28"/>
          <w:szCs w:val="28"/>
          <w14:textFill>
            <w14:solidFill>
              <w14:schemeClr w14:val="tx1"/>
            </w14:solidFill>
          </w14:textFill>
        </w:rPr>
        <w:t>学院推荐优秀应届本科毕业生免试攻读硕士学位研究生工作小组</w:t>
      </w:r>
      <w:bookmarkEnd w:id="2"/>
      <w:r>
        <w:rPr>
          <w:rFonts w:hint="eastAsia" w:ascii="Times New Roman" w:hAnsi="Times New Roman" w:eastAsia="仿宋_GB2312"/>
          <w:color w:val="000000" w:themeColor="text1"/>
          <w:sz w:val="28"/>
          <w:szCs w:val="28"/>
          <w14:textFill>
            <w14:solidFill>
              <w14:schemeClr w14:val="tx1"/>
            </w14:solidFill>
          </w14:textFill>
        </w:rPr>
        <w:t>构成如下。</w:t>
      </w:r>
    </w:p>
    <w:p>
      <w:pPr>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color w:val="000000" w:themeColor="text1"/>
          <w:sz w:val="28"/>
          <w:szCs w:val="28"/>
          <w14:textFill>
            <w14:solidFill>
              <w14:schemeClr w14:val="tx1"/>
            </w14:solidFill>
          </w14:textFill>
        </w:rPr>
        <w:t>组长：(执行)院长、分党委书记</w:t>
      </w:r>
    </w:p>
    <w:p>
      <w:pPr>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color w:val="000000" w:themeColor="text1"/>
          <w:sz w:val="28"/>
          <w:szCs w:val="28"/>
          <w14:textFill>
            <w14:solidFill>
              <w14:schemeClr w14:val="tx1"/>
            </w14:solidFill>
          </w14:textFill>
        </w:rPr>
        <w:t>成员：分党委副书记、副院长、教授代表、系主任代表、所长代表、辅导员代表、学生代表。</w:t>
      </w:r>
    </w:p>
    <w:p>
      <w:pPr>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color w:val="000000" w:themeColor="text1"/>
          <w:sz w:val="28"/>
          <w:szCs w:val="28"/>
          <w14:textFill>
            <w14:solidFill>
              <w14:schemeClr w14:val="tx1"/>
            </w14:solidFill>
          </w14:textFill>
        </w:rPr>
        <w:t>秘书：本科教学秘书</w:t>
      </w:r>
    </w:p>
    <w:p>
      <w:pPr>
        <w:pStyle w:val="3"/>
        <w:spacing w:before="312" w:after="312"/>
        <w:rPr>
          <w:color w:val="000000" w:themeColor="text1"/>
          <w14:textFill>
            <w14:solidFill>
              <w14:schemeClr w14:val="tx1"/>
            </w14:solidFill>
          </w14:textFill>
        </w:rPr>
      </w:pPr>
      <w:r>
        <w:rPr>
          <w:rFonts w:hint="eastAsia"/>
          <w:color w:val="000000" w:themeColor="text1"/>
          <w14:textFill>
            <w14:solidFill>
              <w14:schemeClr w14:val="tx1"/>
            </w14:solidFill>
          </w14:textFill>
        </w:rPr>
        <w:t>第二章  推荐条件和程序</w:t>
      </w:r>
    </w:p>
    <w:p>
      <w:pPr>
        <w:spacing w:line="560" w:lineRule="exact"/>
        <w:ind w:firstLine="562"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b/>
          <w:color w:val="000000" w:themeColor="text1"/>
          <w:sz w:val="28"/>
          <w:szCs w:val="28"/>
          <w14:textFill>
            <w14:solidFill>
              <w14:schemeClr w14:val="tx1"/>
            </w14:solidFill>
          </w14:textFill>
        </w:rPr>
        <w:t>第三条</w:t>
      </w:r>
      <w:r>
        <w:rPr>
          <w:rFonts w:hint="eastAsia" w:ascii="Times New Roman" w:hAnsi="Times New Roman" w:eastAsia="仿宋_GB2312"/>
          <w:color w:val="000000" w:themeColor="text1"/>
          <w:sz w:val="28"/>
          <w:szCs w:val="28"/>
          <w14:textFill>
            <w14:solidFill>
              <w14:schemeClr w14:val="tx1"/>
            </w14:solidFill>
          </w14:textFill>
        </w:rPr>
        <w:t xml:space="preserve">  推免生基本条件</w:t>
      </w:r>
    </w:p>
    <w:p>
      <w:pPr>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color w:val="000000" w:themeColor="text1"/>
          <w:sz w:val="28"/>
          <w:szCs w:val="28"/>
          <w14:textFill>
            <w14:solidFill>
              <w14:schemeClr w14:val="tx1"/>
            </w14:solidFill>
          </w14:textFill>
        </w:rPr>
        <w:t>（一）拥护中国共产党的领导，热爱祖国，品德优良，遵纪守法，身心健康。</w:t>
      </w:r>
    </w:p>
    <w:p>
      <w:pPr>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color w:val="000000" w:themeColor="text1"/>
          <w:sz w:val="28"/>
          <w:szCs w:val="28"/>
          <w14:textFill>
            <w14:solidFill>
              <w14:schemeClr w14:val="tx1"/>
            </w14:solidFill>
          </w14:textFill>
        </w:rPr>
        <w:t>（二）纳入国家普通本科招生计划录取的应届本科毕业生（不含第二学士学位）。</w:t>
      </w:r>
    </w:p>
    <w:p>
      <w:pPr>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color w:val="000000" w:themeColor="text1"/>
          <w:sz w:val="28"/>
          <w:szCs w:val="28"/>
          <w14:textFill>
            <w14:solidFill>
              <w14:schemeClr w14:val="tx1"/>
            </w14:solidFill>
          </w14:textFill>
        </w:rPr>
        <w:t>（三）诚实守信，学风端正，在校期间品学兼优，无考试作弊和学术不端行为记录，无未解除的纪律处分。</w:t>
      </w:r>
    </w:p>
    <w:p>
      <w:pPr>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color w:val="000000" w:themeColor="text1"/>
          <w:sz w:val="28"/>
          <w:szCs w:val="28"/>
          <w14:textFill>
            <w14:solidFill>
              <w14:schemeClr w14:val="tx1"/>
            </w14:solidFill>
          </w14:textFill>
        </w:rPr>
        <w:t>（四）学术研究兴趣浓厚，有较强的创新意识、创新能力和专业能力。</w:t>
      </w:r>
    </w:p>
    <w:p>
      <w:pPr>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color w:val="000000" w:themeColor="text1"/>
          <w:sz w:val="28"/>
          <w:szCs w:val="28"/>
          <w14:textFill>
            <w14:solidFill>
              <w14:schemeClr w14:val="tx1"/>
            </w14:solidFill>
          </w14:textFill>
        </w:rPr>
        <w:t>（五）满足以下学业条件</w:t>
      </w:r>
    </w:p>
    <w:p>
      <w:pPr>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r>
        <w:rPr>
          <w:rFonts w:ascii="Times New Roman" w:hAnsi="Times New Roman" w:eastAsia="仿宋_GB2312"/>
          <w:color w:val="000000" w:themeColor="text1"/>
          <w:sz w:val="28"/>
          <w:szCs w:val="28"/>
          <w14:textFill>
            <w14:solidFill>
              <w14:schemeClr w14:val="tx1"/>
            </w14:solidFill>
          </w14:textFill>
        </w:rPr>
        <w:t>1</w:t>
      </w:r>
      <w:r>
        <w:rPr>
          <w:rFonts w:hint="eastAsia" w:ascii="Times New Roman" w:hAnsi="Times New Roman" w:eastAsia="仿宋_GB2312"/>
          <w:color w:val="000000" w:themeColor="text1"/>
          <w:sz w:val="28"/>
          <w:szCs w:val="28"/>
          <w14:textFill>
            <w14:solidFill>
              <w14:schemeClr w14:val="tx1"/>
            </w14:solidFill>
          </w14:textFill>
        </w:rPr>
        <w:t>．</w:t>
      </w:r>
      <w:r>
        <w:rPr>
          <w:rFonts w:ascii="Times New Roman" w:hAnsi="Times New Roman" w:eastAsia="仿宋_GB2312"/>
          <w:color w:val="000000" w:themeColor="text1"/>
          <w:sz w:val="28"/>
          <w:szCs w:val="28"/>
          <w14:textFill>
            <w14:solidFill>
              <w14:schemeClr w14:val="tx1"/>
            </w14:solidFill>
          </w14:textFill>
        </w:rPr>
        <w:t>学分条件</w:t>
      </w:r>
    </w:p>
    <w:p>
      <w:pPr>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color w:val="000000" w:themeColor="text1"/>
          <w:sz w:val="28"/>
          <w:szCs w:val="28"/>
          <w14:textFill>
            <w14:solidFill>
              <w14:schemeClr w14:val="tx1"/>
            </w14:solidFill>
          </w14:textFill>
        </w:rPr>
        <w:t>修读并获得本专业人才培养方案规定的前三学年全部必修学分。如因学校或学院更改教学计划导致必修课程未开设，不影响学生报名资格。</w:t>
      </w:r>
    </w:p>
    <w:p>
      <w:pPr>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r>
        <w:rPr>
          <w:rFonts w:ascii="Times New Roman" w:hAnsi="Times New Roman" w:eastAsia="仿宋_GB2312"/>
          <w:color w:val="000000" w:themeColor="text1"/>
          <w:sz w:val="28"/>
          <w:szCs w:val="28"/>
          <w14:textFill>
            <w14:solidFill>
              <w14:schemeClr w14:val="tx1"/>
            </w14:solidFill>
          </w14:textFill>
        </w:rPr>
        <w:t>2</w:t>
      </w:r>
      <w:r>
        <w:rPr>
          <w:rFonts w:hint="eastAsia" w:ascii="Times New Roman" w:hAnsi="Times New Roman" w:eastAsia="仿宋_GB2312"/>
          <w:color w:val="000000" w:themeColor="text1"/>
          <w:sz w:val="28"/>
          <w:szCs w:val="28"/>
          <w14:textFill>
            <w14:solidFill>
              <w14:schemeClr w14:val="tx1"/>
            </w14:solidFill>
          </w14:textFill>
        </w:rPr>
        <w:t>．</w:t>
      </w:r>
      <w:r>
        <w:rPr>
          <w:rFonts w:ascii="Times New Roman" w:hAnsi="Times New Roman" w:eastAsia="仿宋_GB2312"/>
          <w:color w:val="000000" w:themeColor="text1"/>
          <w:sz w:val="28"/>
          <w:szCs w:val="28"/>
          <w14:textFill>
            <w14:solidFill>
              <w14:schemeClr w14:val="tx1"/>
            </w14:solidFill>
          </w14:textFill>
        </w:rPr>
        <w:t>成绩条件</w:t>
      </w:r>
    </w:p>
    <w:p>
      <w:pPr>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color w:val="000000" w:themeColor="text1"/>
          <w:sz w:val="28"/>
          <w:szCs w:val="28"/>
          <w14:textFill>
            <w14:solidFill>
              <w14:schemeClr w14:val="tx1"/>
            </w14:solidFill>
          </w14:textFill>
        </w:rPr>
        <w:t>本专业培养方案中已修读的通识教育基础课程、大学科基础课程、专业必修课程以及专业方向课程学分绩点在</w:t>
      </w:r>
      <w:r>
        <w:rPr>
          <w:rFonts w:ascii="Times New Roman" w:hAnsi="Times New Roman" w:eastAsia="仿宋_GB2312"/>
          <w:color w:val="000000" w:themeColor="text1"/>
          <w:sz w:val="28"/>
          <w:szCs w:val="28"/>
          <w14:textFill>
            <w14:solidFill>
              <w14:schemeClr w14:val="tx1"/>
            </w14:solidFill>
          </w14:textFill>
        </w:rPr>
        <w:t>2.5</w:t>
      </w:r>
      <w:r>
        <w:rPr>
          <w:rFonts w:hint="eastAsia" w:ascii="Times New Roman" w:hAnsi="Times New Roman" w:eastAsia="仿宋_GB2312"/>
          <w:color w:val="000000" w:themeColor="text1"/>
          <w:sz w:val="28"/>
          <w:szCs w:val="28"/>
          <w14:textFill>
            <w14:solidFill>
              <w14:schemeClr w14:val="tx1"/>
            </w14:solidFill>
          </w14:textFill>
        </w:rPr>
        <w:t>及以上。所有课程的课程性质以教务系统为准</w:t>
      </w:r>
      <w:r>
        <w:rPr>
          <w:rFonts w:hint="eastAsia" w:ascii="Times New Roman" w:hAnsi="Times New Roman" w:eastAsia="仿宋_GB2312"/>
          <w:color w:val="000000" w:themeColor="text1"/>
          <w:sz w:val="28"/>
          <w:szCs w:val="28"/>
          <w:lang w:eastAsia="zh-CN"/>
          <w14:textFill>
            <w14:solidFill>
              <w14:schemeClr w14:val="tx1"/>
            </w14:solidFill>
          </w14:textFill>
        </w:rPr>
        <w:t>，且用第一次成绩计算</w:t>
      </w:r>
      <w:r>
        <w:rPr>
          <w:rFonts w:hint="eastAsia" w:ascii="Times New Roman" w:hAnsi="Times New Roman" w:eastAsia="仿宋_GB2312"/>
          <w:color w:val="000000" w:themeColor="text1"/>
          <w:sz w:val="28"/>
          <w:szCs w:val="28"/>
          <w14:textFill>
            <w14:solidFill>
              <w14:schemeClr w14:val="tx1"/>
            </w14:solidFill>
          </w14:textFill>
        </w:rPr>
        <w:t>。</w:t>
      </w:r>
    </w:p>
    <w:p>
      <w:pPr>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r>
        <w:rPr>
          <w:rFonts w:ascii="Times New Roman" w:hAnsi="Times New Roman" w:eastAsia="仿宋_GB2312"/>
          <w:color w:val="000000" w:themeColor="text1"/>
          <w:sz w:val="28"/>
          <w:szCs w:val="28"/>
          <w14:textFill>
            <w14:solidFill>
              <w14:schemeClr w14:val="tx1"/>
            </w14:solidFill>
          </w14:textFill>
        </w:rPr>
        <w:t>3</w:t>
      </w:r>
      <w:r>
        <w:rPr>
          <w:rFonts w:hint="eastAsia" w:ascii="Times New Roman" w:hAnsi="Times New Roman" w:eastAsia="仿宋_GB2312"/>
          <w:color w:val="000000" w:themeColor="text1"/>
          <w:sz w:val="28"/>
          <w:szCs w:val="28"/>
          <w14:textFill>
            <w14:solidFill>
              <w14:schemeClr w14:val="tx1"/>
            </w14:solidFill>
          </w14:textFill>
        </w:rPr>
        <w:t>．</w:t>
      </w:r>
      <w:r>
        <w:rPr>
          <w:rFonts w:ascii="Times New Roman" w:hAnsi="Times New Roman" w:eastAsia="仿宋_GB2312"/>
          <w:color w:val="000000" w:themeColor="text1"/>
          <w:sz w:val="28"/>
          <w:szCs w:val="28"/>
          <w14:textFill>
            <w14:solidFill>
              <w14:schemeClr w14:val="tx1"/>
            </w14:solidFill>
          </w14:textFill>
        </w:rPr>
        <w:t>外语条件</w:t>
      </w:r>
    </w:p>
    <w:p>
      <w:pPr>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r>
        <w:rPr>
          <w:rFonts w:ascii="Times New Roman" w:hAnsi="Times New Roman" w:eastAsia="仿宋_GB2312"/>
          <w:color w:val="000000" w:themeColor="text1"/>
          <w:sz w:val="28"/>
          <w:szCs w:val="28"/>
          <w14:textFill>
            <w14:solidFill>
              <w14:schemeClr w14:val="tx1"/>
            </w14:solidFill>
          </w14:textFill>
        </w:rPr>
        <w:t>学生外语水平满足以下条件之一：大学英语（或其它语种）四级考试成绩在530分及以上；大学英语（或其它语种）六级考试成绩在430分及以上；雅思IELTS成绩6.0及以上；托福TOFEL、GMAT成绩达到满分的65％及以上；</w:t>
      </w:r>
      <w:r>
        <w:rPr>
          <w:rFonts w:ascii="Times New Roman" w:hAnsi="Times New Roman" w:eastAsia="仿宋_GB2312" w:cs="Times New Roman"/>
          <w:color w:val="000000" w:themeColor="text1"/>
          <w:kern w:val="0"/>
          <w:sz w:val="28"/>
          <w:szCs w:val="28"/>
          <w14:textFill>
            <w14:solidFill>
              <w14:schemeClr w14:val="tx1"/>
            </w14:solidFill>
          </w14:textFill>
        </w:rPr>
        <w:t>GRE</w:t>
      </w:r>
      <w:r>
        <w:rPr>
          <w:rFonts w:hint="eastAsia" w:ascii="Times New Roman" w:hAnsi="Times New Roman" w:eastAsia="仿宋_GB2312" w:cs="Times New Roman"/>
          <w:color w:val="000000" w:themeColor="text1"/>
          <w:kern w:val="0"/>
          <w:sz w:val="28"/>
          <w:szCs w:val="28"/>
          <w14:textFill>
            <w14:solidFill>
              <w14:schemeClr w14:val="tx1"/>
            </w14:solidFill>
          </w14:textFill>
        </w:rPr>
        <w:t>成绩达到</w:t>
      </w:r>
      <w:r>
        <w:rPr>
          <w:rFonts w:ascii="Times New Roman" w:hAnsi="Times New Roman" w:eastAsia="仿宋_GB2312" w:cs="Times New Roman"/>
          <w:color w:val="000000" w:themeColor="text1"/>
          <w:kern w:val="0"/>
          <w:sz w:val="28"/>
          <w:szCs w:val="28"/>
          <w14:textFill>
            <w14:solidFill>
              <w14:schemeClr w14:val="tx1"/>
            </w14:solidFill>
          </w14:textFill>
        </w:rPr>
        <w:t>310</w:t>
      </w:r>
      <w:r>
        <w:rPr>
          <w:rFonts w:hint="eastAsia" w:ascii="Times New Roman" w:hAnsi="Times New Roman" w:eastAsia="仿宋_GB2312" w:cs="Times New Roman"/>
          <w:color w:val="000000" w:themeColor="text1"/>
          <w:kern w:val="0"/>
          <w:sz w:val="28"/>
          <w:szCs w:val="28"/>
          <w14:textFill>
            <w14:solidFill>
              <w14:schemeClr w14:val="tx1"/>
            </w14:solidFill>
          </w14:textFill>
        </w:rPr>
        <w:t>分及以上</w:t>
      </w:r>
      <w:r>
        <w:rPr>
          <w:rFonts w:ascii="Times New Roman" w:hAnsi="Times New Roman" w:eastAsia="仿宋_GB2312"/>
          <w:color w:val="000000" w:themeColor="text1"/>
          <w:sz w:val="28"/>
          <w:szCs w:val="28"/>
          <w14:textFill>
            <w14:solidFill>
              <w14:schemeClr w14:val="tx1"/>
            </w14:solidFill>
          </w14:textFill>
        </w:rPr>
        <w:t>。</w:t>
      </w:r>
    </w:p>
    <w:p>
      <w:pPr>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color w:val="000000" w:themeColor="text1"/>
          <w:sz w:val="28"/>
          <w:szCs w:val="28"/>
          <w14:textFill>
            <w14:solidFill>
              <w14:schemeClr w14:val="tx1"/>
            </w14:solidFill>
          </w14:textFill>
        </w:rPr>
        <w:t>上述外语成绩均应为在大学期间参加考试并取得的成绩。</w:t>
      </w:r>
    </w:p>
    <w:p>
      <w:pPr>
        <w:spacing w:line="560" w:lineRule="exact"/>
        <w:ind w:firstLine="562"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b/>
          <w:bCs/>
          <w:color w:val="000000" w:themeColor="text1"/>
          <w:sz w:val="28"/>
          <w:szCs w:val="28"/>
          <w14:textFill>
            <w14:solidFill>
              <w14:schemeClr w14:val="tx1"/>
            </w14:solidFill>
          </w14:textFill>
        </w:rPr>
        <w:t>第四条</w:t>
      </w:r>
      <w:r>
        <w:rPr>
          <w:rFonts w:hint="eastAsia" w:ascii="Times New Roman" w:hAnsi="Times New Roman" w:eastAsia="仿宋_GB2312"/>
          <w:color w:val="000000" w:themeColor="text1"/>
          <w:sz w:val="28"/>
          <w:szCs w:val="28"/>
          <w14:textFill>
            <w14:solidFill>
              <w14:schemeClr w14:val="tx1"/>
            </w14:solidFill>
          </w14:textFill>
        </w:rPr>
        <w:t xml:space="preserve"> </w:t>
      </w:r>
      <w:r>
        <w:rPr>
          <w:rFonts w:ascii="Times New Roman" w:hAnsi="Times New Roman" w:eastAsia="仿宋_GB2312"/>
          <w:color w:val="000000" w:themeColor="text1"/>
          <w:sz w:val="28"/>
          <w:szCs w:val="28"/>
          <w14:textFill>
            <w14:solidFill>
              <w14:schemeClr w14:val="tx1"/>
            </w14:solidFill>
          </w14:textFill>
        </w:rPr>
        <w:t xml:space="preserve"> </w:t>
      </w:r>
      <w:r>
        <w:rPr>
          <w:rFonts w:hint="eastAsia" w:ascii="Times New Roman" w:hAnsi="Times New Roman" w:eastAsia="仿宋_GB2312"/>
          <w:color w:val="000000" w:themeColor="text1"/>
          <w:sz w:val="28"/>
          <w:szCs w:val="28"/>
          <w14:textFill>
            <w14:solidFill>
              <w14:schemeClr w14:val="tx1"/>
            </w14:solidFill>
          </w14:textFill>
        </w:rPr>
        <w:t>推荐工作程序</w:t>
      </w:r>
    </w:p>
    <w:p>
      <w:pPr>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cs="Times New Roman"/>
          <w:color w:val="000000" w:themeColor="text1"/>
          <w:sz w:val="28"/>
          <w:szCs w:val="28"/>
          <w14:textFill>
            <w14:solidFill>
              <w14:schemeClr w14:val="tx1"/>
            </w14:solidFill>
          </w14:textFill>
        </w:rPr>
        <w:t>（一）学校下达当年推免生工作计划。</w:t>
      </w:r>
    </w:p>
    <w:p>
      <w:pPr>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color w:val="000000" w:themeColor="text1"/>
          <w:sz w:val="28"/>
          <w:szCs w:val="28"/>
          <w14:textFill>
            <w14:solidFill>
              <w14:schemeClr w14:val="tx1"/>
            </w14:solidFill>
          </w14:textFill>
        </w:rPr>
        <w:t>（二）学院工作小组根据学校推免生工作计划制定本学院工作计划，向学生进行宣传并接受报名。</w:t>
      </w:r>
    </w:p>
    <w:p>
      <w:pPr>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color w:val="000000" w:themeColor="text1"/>
          <w:sz w:val="28"/>
          <w:szCs w:val="28"/>
          <w14:textFill>
            <w14:solidFill>
              <w14:schemeClr w14:val="tx1"/>
            </w14:solidFill>
          </w14:textFill>
        </w:rPr>
        <w:t>（三）学生符合本办法第三条所规定的条件，可向学院提交申请，推免相关工作人员有直系亲属或利益相关人员报名参加推免招生的应主动申请回避，有非直系亲属等报名参加推免招生的要主动报备。相关学生申请推免资格时也应主动向学校报备声明。申请学生填写教育部统一制定格式的《普通高等学校推荐免试攻读硕士学位研究生资格申请表》，并提交以下证明材料：</w:t>
      </w:r>
    </w:p>
    <w:p>
      <w:pPr>
        <w:pStyle w:val="15"/>
        <w:adjustRightInd w:val="0"/>
        <w:snapToGrid w:val="0"/>
        <w:spacing w:before="0" w:after="0" w:afterAutospacing="0" w:line="560" w:lineRule="exact"/>
        <w:ind w:firstLine="560" w:firstLineChars="200"/>
        <w:jc w:val="both"/>
        <w:rPr>
          <w:rFonts w:ascii="Times New Roman" w:hAnsi="Times New Roman" w:eastAsia="仿宋_GB2312" w:cstheme="minorBidi"/>
          <w:color w:val="000000" w:themeColor="text1"/>
          <w:kern w:val="2"/>
          <w:sz w:val="28"/>
          <w:szCs w:val="28"/>
          <w14:textFill>
            <w14:solidFill>
              <w14:schemeClr w14:val="tx1"/>
            </w14:solidFill>
          </w14:textFill>
        </w:rPr>
      </w:pPr>
      <w:r>
        <w:rPr>
          <w:rFonts w:hint="eastAsia" w:ascii="Times New Roman" w:hAnsi="Times New Roman" w:eastAsia="仿宋_GB2312" w:cstheme="minorBidi"/>
          <w:color w:val="000000" w:themeColor="text1"/>
          <w:kern w:val="2"/>
          <w:sz w:val="28"/>
          <w:szCs w:val="28"/>
          <w14:textFill>
            <w14:solidFill>
              <w14:schemeClr w14:val="tx1"/>
            </w14:solidFill>
          </w14:textFill>
        </w:rPr>
        <w:t>1．《普通高等学校推荐免试攻读硕士学位研究生资格登记表》（须经学院工作小组审核后盖章，并报学校领导小组审核）。</w:t>
      </w:r>
    </w:p>
    <w:p>
      <w:pPr>
        <w:pStyle w:val="15"/>
        <w:adjustRightInd w:val="0"/>
        <w:snapToGrid w:val="0"/>
        <w:spacing w:before="0" w:after="0" w:afterAutospacing="0" w:line="560" w:lineRule="exact"/>
        <w:ind w:firstLine="560" w:firstLineChars="200"/>
        <w:jc w:val="both"/>
        <w:rPr>
          <w:rFonts w:ascii="Times New Roman" w:hAnsi="Times New Roman" w:eastAsia="仿宋_GB2312" w:cstheme="minorBidi"/>
          <w:color w:val="000000" w:themeColor="text1"/>
          <w:kern w:val="2"/>
          <w:sz w:val="28"/>
          <w:szCs w:val="28"/>
          <w14:textFill>
            <w14:solidFill>
              <w14:schemeClr w14:val="tx1"/>
            </w14:solidFill>
          </w14:textFill>
        </w:rPr>
      </w:pPr>
      <w:r>
        <w:rPr>
          <w:rFonts w:hint="eastAsia" w:ascii="Times New Roman" w:hAnsi="Times New Roman" w:eastAsia="仿宋_GB2312" w:cstheme="minorBidi"/>
          <w:color w:val="000000" w:themeColor="text1"/>
          <w:kern w:val="2"/>
          <w:sz w:val="28"/>
          <w:szCs w:val="28"/>
          <w14:textFill>
            <w14:solidFill>
              <w14:schemeClr w14:val="tx1"/>
            </w14:solidFill>
          </w14:textFill>
        </w:rPr>
        <w:t>2．相关成绩证明（包括在校成绩单，英语四六级成绩证明）。</w:t>
      </w:r>
    </w:p>
    <w:p>
      <w:pPr>
        <w:pStyle w:val="15"/>
        <w:adjustRightInd w:val="0"/>
        <w:snapToGrid w:val="0"/>
        <w:spacing w:before="0" w:after="0" w:afterAutospacing="0" w:line="560" w:lineRule="exact"/>
        <w:ind w:firstLine="560" w:firstLineChars="200"/>
        <w:jc w:val="both"/>
        <w:rPr>
          <w:rFonts w:ascii="Times New Roman" w:hAnsi="Times New Roman" w:eastAsia="仿宋_GB2312" w:cstheme="minorBidi"/>
          <w:color w:val="000000" w:themeColor="text1"/>
          <w:kern w:val="2"/>
          <w:sz w:val="28"/>
          <w:szCs w:val="28"/>
          <w14:textFill>
            <w14:solidFill>
              <w14:schemeClr w14:val="tx1"/>
            </w14:solidFill>
          </w14:textFill>
        </w:rPr>
      </w:pPr>
      <w:r>
        <w:rPr>
          <w:rFonts w:hint="eastAsia" w:ascii="Times New Roman" w:hAnsi="Times New Roman" w:eastAsia="仿宋_GB2312" w:cstheme="minorBidi"/>
          <w:color w:val="000000" w:themeColor="text1"/>
          <w:kern w:val="2"/>
          <w:sz w:val="28"/>
          <w:szCs w:val="28"/>
          <w14:textFill>
            <w14:solidFill>
              <w14:schemeClr w14:val="tx1"/>
            </w14:solidFill>
          </w14:textFill>
        </w:rPr>
        <w:t>3．加分项目对应的证明材料。</w:t>
      </w:r>
    </w:p>
    <w:p>
      <w:pPr>
        <w:pStyle w:val="15"/>
        <w:adjustRightInd w:val="0"/>
        <w:snapToGrid w:val="0"/>
        <w:spacing w:before="0" w:after="0" w:afterAutospacing="0" w:line="560" w:lineRule="exact"/>
        <w:ind w:firstLine="560" w:firstLineChars="200"/>
        <w:jc w:val="both"/>
        <w:rPr>
          <w:rFonts w:ascii="Times New Roman" w:hAnsi="Times New Roman" w:eastAsia="仿宋_GB2312" w:cstheme="minorBidi"/>
          <w:color w:val="000000" w:themeColor="text1"/>
          <w:kern w:val="2"/>
          <w:sz w:val="28"/>
          <w:szCs w:val="28"/>
          <w14:textFill>
            <w14:solidFill>
              <w14:schemeClr w14:val="tx1"/>
            </w14:solidFill>
          </w14:textFill>
        </w:rPr>
      </w:pPr>
      <w:r>
        <w:rPr>
          <w:rFonts w:hint="eastAsia" w:ascii="Times New Roman" w:hAnsi="Times New Roman" w:eastAsia="仿宋_GB2312" w:cstheme="minorBidi"/>
          <w:color w:val="000000" w:themeColor="text1"/>
          <w:kern w:val="2"/>
          <w:sz w:val="28"/>
          <w:szCs w:val="28"/>
          <w14:textFill>
            <w14:solidFill>
              <w14:schemeClr w14:val="tx1"/>
            </w14:solidFill>
          </w14:textFill>
        </w:rPr>
        <w:t>4．论文封面、目录、正文，目录页上要标明自己名字所在位置。</w:t>
      </w:r>
    </w:p>
    <w:p>
      <w:pPr>
        <w:pStyle w:val="15"/>
        <w:adjustRightInd w:val="0"/>
        <w:snapToGrid w:val="0"/>
        <w:spacing w:before="0" w:after="0" w:afterAutospacing="0" w:line="560" w:lineRule="exact"/>
        <w:ind w:firstLine="560" w:firstLineChars="200"/>
        <w:jc w:val="both"/>
        <w:rPr>
          <w:rFonts w:ascii="Times New Roman" w:hAnsi="Times New Roman" w:eastAsia="仿宋_GB2312" w:cstheme="minorBidi"/>
          <w:color w:val="000000" w:themeColor="text1"/>
          <w:kern w:val="2"/>
          <w:sz w:val="28"/>
          <w:szCs w:val="28"/>
          <w14:textFill>
            <w14:solidFill>
              <w14:schemeClr w14:val="tx1"/>
            </w14:solidFill>
          </w14:textFill>
        </w:rPr>
      </w:pPr>
      <w:r>
        <w:rPr>
          <w:rFonts w:hint="eastAsia" w:ascii="Times New Roman" w:hAnsi="Times New Roman" w:eastAsia="仿宋_GB2312" w:cstheme="minorBidi"/>
          <w:color w:val="000000" w:themeColor="text1"/>
          <w:kern w:val="2"/>
          <w:sz w:val="28"/>
          <w:szCs w:val="28"/>
          <w14:textFill>
            <w14:solidFill>
              <w14:schemeClr w14:val="tx1"/>
            </w14:solidFill>
          </w14:textFill>
        </w:rPr>
        <w:t>5．两名副教授以上职称（至少1名教授）教师的联名推荐信。</w:t>
      </w:r>
    </w:p>
    <w:p>
      <w:pPr>
        <w:pStyle w:val="15"/>
        <w:adjustRightInd w:val="0"/>
        <w:snapToGrid w:val="0"/>
        <w:spacing w:before="0" w:after="0" w:afterAutospacing="0" w:line="560" w:lineRule="exact"/>
        <w:ind w:firstLine="560" w:firstLineChars="200"/>
        <w:jc w:val="both"/>
        <w:rPr>
          <w:rFonts w:ascii="Times New Roman" w:hAnsi="Times New Roman" w:eastAsia="仿宋_GB2312" w:cstheme="minorBidi"/>
          <w:color w:val="000000" w:themeColor="text1"/>
          <w:kern w:val="2"/>
          <w:sz w:val="28"/>
          <w:szCs w:val="28"/>
          <w14:textFill>
            <w14:solidFill>
              <w14:schemeClr w14:val="tx1"/>
            </w14:solidFill>
          </w14:textFill>
        </w:rPr>
      </w:pPr>
      <w:r>
        <w:rPr>
          <w:rFonts w:hint="eastAsia" w:ascii="Times New Roman" w:hAnsi="Times New Roman" w:eastAsia="仿宋_GB2312" w:cstheme="minorBidi"/>
          <w:color w:val="000000" w:themeColor="text1"/>
          <w:kern w:val="2"/>
          <w:sz w:val="28"/>
          <w:szCs w:val="28"/>
          <w14:textFill>
            <w14:solidFill>
              <w14:schemeClr w14:val="tx1"/>
            </w14:solidFill>
          </w14:textFill>
        </w:rPr>
        <w:t>以上材料均要提供原件和复印件，统一装入档案袋，在档案袋封面写明材料目录，档案袋内的材料要按照目录顺序排列。</w:t>
      </w:r>
    </w:p>
    <w:p>
      <w:pPr>
        <w:pStyle w:val="15"/>
        <w:adjustRightInd w:val="0"/>
        <w:snapToGrid w:val="0"/>
        <w:spacing w:before="0" w:after="0" w:afterAutospacing="0" w:line="560" w:lineRule="exact"/>
        <w:ind w:firstLine="560" w:firstLineChars="200"/>
        <w:jc w:val="both"/>
        <w:rPr>
          <w:rFonts w:ascii="Times New Roman" w:hAnsi="Times New Roman" w:eastAsia="仿宋_GB2312" w:cstheme="minorBidi"/>
          <w:color w:val="000000" w:themeColor="text1"/>
          <w:kern w:val="2"/>
          <w:sz w:val="28"/>
          <w:szCs w:val="28"/>
          <w14:textFill>
            <w14:solidFill>
              <w14:schemeClr w14:val="tx1"/>
            </w14:solidFill>
          </w14:textFill>
        </w:rPr>
      </w:pPr>
      <w:r>
        <w:rPr>
          <w:rFonts w:hint="eastAsia" w:ascii="Times New Roman" w:hAnsi="Times New Roman" w:eastAsia="仿宋_GB2312" w:cstheme="minorBidi"/>
          <w:color w:val="000000" w:themeColor="text1"/>
          <w:kern w:val="2"/>
          <w:sz w:val="28"/>
          <w:szCs w:val="28"/>
          <w14:textFill>
            <w14:solidFill>
              <w14:schemeClr w14:val="tx1"/>
            </w14:solidFill>
          </w14:textFill>
        </w:rPr>
        <w:t>（四）凡符合条件者，由学院进行综合测评（含综合评分排名和思想品德考核）。</w:t>
      </w:r>
    </w:p>
    <w:p>
      <w:pPr>
        <w:pStyle w:val="15"/>
        <w:adjustRightInd w:val="0"/>
        <w:snapToGrid w:val="0"/>
        <w:spacing w:before="0" w:after="0" w:afterAutospacing="0" w:line="560" w:lineRule="exact"/>
        <w:ind w:firstLine="560" w:firstLineChars="200"/>
        <w:jc w:val="both"/>
        <w:rPr>
          <w:rFonts w:ascii="Times New Roman" w:hAnsi="Times New Roman" w:eastAsia="仿宋_GB2312" w:cstheme="minorBidi"/>
          <w:color w:val="000000" w:themeColor="text1"/>
          <w:kern w:val="2"/>
          <w:sz w:val="28"/>
          <w:szCs w:val="28"/>
          <w14:textFill>
            <w14:solidFill>
              <w14:schemeClr w14:val="tx1"/>
            </w14:solidFill>
          </w14:textFill>
        </w:rPr>
      </w:pPr>
      <w:r>
        <w:rPr>
          <w:rFonts w:hint="eastAsia" w:ascii="Times New Roman" w:hAnsi="Times New Roman" w:eastAsia="仿宋_GB2312" w:cstheme="minorBidi"/>
          <w:color w:val="000000" w:themeColor="text1"/>
          <w:kern w:val="2"/>
          <w:sz w:val="28"/>
          <w:szCs w:val="28"/>
          <w14:textFill>
            <w14:solidFill>
              <w14:schemeClr w14:val="tx1"/>
            </w14:solidFill>
          </w14:textFill>
        </w:rPr>
        <w:t xml:space="preserve">思想品德考核作为推免生遴选的重要内容和录取的重要依据，思想品德考核不合格者不参与综合评分，不予推荐录取。思想品德考核另行制定。 </w:t>
      </w:r>
    </w:p>
    <w:p>
      <w:pPr>
        <w:pStyle w:val="15"/>
        <w:adjustRightInd w:val="0"/>
        <w:snapToGrid w:val="0"/>
        <w:spacing w:before="0" w:after="0" w:afterAutospacing="0" w:line="560" w:lineRule="exact"/>
        <w:ind w:firstLine="560" w:firstLineChars="200"/>
        <w:jc w:val="both"/>
        <w:rPr>
          <w:rFonts w:ascii="Times New Roman" w:hAnsi="Times New Roman" w:eastAsia="仿宋_GB2312" w:cstheme="minorBidi"/>
          <w:color w:val="000000" w:themeColor="text1"/>
          <w:kern w:val="2"/>
          <w:sz w:val="28"/>
          <w:szCs w:val="28"/>
          <w14:textFill>
            <w14:solidFill>
              <w14:schemeClr w14:val="tx1"/>
            </w14:solidFill>
          </w14:textFill>
        </w:rPr>
      </w:pPr>
      <w:r>
        <w:rPr>
          <w:rFonts w:hint="eastAsia" w:ascii="Times New Roman" w:hAnsi="Times New Roman" w:eastAsia="仿宋_GB2312" w:cstheme="minorBidi"/>
          <w:color w:val="000000" w:themeColor="text1"/>
          <w:kern w:val="2"/>
          <w:sz w:val="28"/>
          <w:szCs w:val="28"/>
          <w14:textFill>
            <w14:solidFill>
              <w14:schemeClr w14:val="tx1"/>
            </w14:solidFill>
          </w14:textFill>
        </w:rPr>
        <w:t>学院成立专家审核小组审核推免生综合评分成绩。专家组成员见第一章总则第二条。对申请推免资格学生的科研创新成果、论文（文章）、竞赛获奖奖项及内容进行审核鉴定，排除抄袭、造假、冒名及有名无实等情况，并组织相关学生在一定范围进行公开答辩，专家审核小组及每位成员都要给出明确审核鉴定意见并签字存档。答辩全程要录音录像，答辩结果要公开，未通过审核鉴定或答辩的学生不得推荐。</w:t>
      </w:r>
    </w:p>
    <w:p>
      <w:pPr>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color w:val="000000" w:themeColor="text1"/>
          <w:sz w:val="28"/>
          <w:szCs w:val="28"/>
          <w14:textFill>
            <w14:solidFill>
              <w14:schemeClr w14:val="tx1"/>
            </w14:solidFill>
          </w14:textFill>
        </w:rPr>
        <w:t>（五）学院按综合测评成绩排序后在本学院内向学生公示名单。公示期间若有学生被取消资格或自愿放弃，学院可按照排名顺序依次递补，公示期结束，不再进行递补工作。</w:t>
      </w:r>
    </w:p>
    <w:p>
      <w:pPr>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color w:val="000000" w:themeColor="text1"/>
          <w:sz w:val="28"/>
          <w:szCs w:val="28"/>
          <w14:textFill>
            <w14:solidFill>
              <w14:schemeClr w14:val="tx1"/>
            </w14:solidFill>
          </w14:textFill>
        </w:rPr>
        <w:t>（六）学校领导小组根据教育部规定，综合考虑学院应届毕业生总数、深造率、学科发展情况等因素，确定下达各学院推免生指标。</w:t>
      </w:r>
    </w:p>
    <w:p>
      <w:pPr>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color w:val="000000" w:themeColor="text1"/>
          <w:sz w:val="28"/>
          <w:szCs w:val="28"/>
          <w14:textFill>
            <w14:solidFill>
              <w14:schemeClr w14:val="tx1"/>
            </w14:solidFill>
          </w14:textFill>
        </w:rPr>
        <w:t>（七）学院工作小组根据学校领导小组下达的推免生指标，按照公示的推免生综合测评成绩排名顺序，择优确定学院推荐名单。</w:t>
      </w:r>
    </w:p>
    <w:p>
      <w:pPr>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color w:val="000000" w:themeColor="text1"/>
          <w:sz w:val="28"/>
          <w:szCs w:val="28"/>
          <w14:textFill>
            <w14:solidFill>
              <w14:schemeClr w14:val="tx1"/>
            </w14:solidFill>
          </w14:textFill>
        </w:rPr>
        <w:t>（八）学校复审学院推荐名单并公示，公示期间若有学生被取消资格或自愿放弃，学院可按照排名顺序依次递补。</w:t>
      </w:r>
    </w:p>
    <w:p>
      <w:pPr>
        <w:pStyle w:val="3"/>
        <w:spacing w:before="312" w:after="312"/>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第三章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综合测评</w:t>
      </w:r>
    </w:p>
    <w:p>
      <w:pPr>
        <w:pStyle w:val="15"/>
        <w:adjustRightInd w:val="0"/>
        <w:snapToGrid w:val="0"/>
        <w:spacing w:before="0" w:after="0" w:afterAutospacing="0" w:line="560" w:lineRule="exact"/>
        <w:ind w:firstLine="562" w:firstLineChars="200"/>
        <w:jc w:val="both"/>
        <w:rPr>
          <w:rFonts w:ascii="Times New Roman" w:hAnsi="Times New Roman" w:eastAsia="仿宋_GB2312" w:cstheme="minorBidi"/>
          <w:color w:val="000000" w:themeColor="text1"/>
          <w:kern w:val="2"/>
          <w:sz w:val="28"/>
          <w:szCs w:val="28"/>
          <w14:textFill>
            <w14:solidFill>
              <w14:schemeClr w14:val="tx1"/>
            </w14:solidFill>
          </w14:textFill>
        </w:rPr>
      </w:pPr>
      <w:r>
        <w:rPr>
          <w:rFonts w:hint="eastAsia" w:ascii="Times New Roman" w:hAnsi="Times New Roman" w:eastAsia="仿宋_GB2312" w:cstheme="minorBidi"/>
          <w:b/>
          <w:color w:val="000000" w:themeColor="text1"/>
          <w:kern w:val="2"/>
          <w:sz w:val="28"/>
          <w:szCs w:val="28"/>
          <w14:textFill>
            <w14:solidFill>
              <w14:schemeClr w14:val="tx1"/>
            </w14:solidFill>
          </w14:textFill>
        </w:rPr>
        <w:t>第五条</w:t>
      </w:r>
      <w:r>
        <w:rPr>
          <w:rFonts w:ascii="Times New Roman" w:hAnsi="Times New Roman" w:eastAsia="仿宋_GB2312" w:cstheme="minorBidi"/>
          <w:color w:val="000000" w:themeColor="text1"/>
          <w:kern w:val="2"/>
          <w:sz w:val="28"/>
          <w:szCs w:val="28"/>
          <w14:textFill>
            <w14:solidFill>
              <w14:schemeClr w14:val="tx1"/>
            </w14:solidFill>
          </w14:textFill>
        </w:rPr>
        <w:t xml:space="preserve"> </w:t>
      </w:r>
      <w:r>
        <w:rPr>
          <w:rFonts w:hint="eastAsia" w:ascii="Times New Roman" w:hAnsi="Times New Roman" w:eastAsia="仿宋_GB2312" w:cstheme="minorBidi"/>
          <w:color w:val="000000" w:themeColor="text1"/>
          <w:kern w:val="2"/>
          <w:sz w:val="28"/>
          <w:szCs w:val="28"/>
          <w14:textFill>
            <w14:solidFill>
              <w14:schemeClr w14:val="tx1"/>
            </w14:solidFill>
          </w14:textFill>
        </w:rPr>
        <w:t>按照《西南财经大学推免生综合测评成绩评定暂行办法》及相关要求进行综合测评。</w:t>
      </w:r>
    </w:p>
    <w:p>
      <w:pPr>
        <w:pStyle w:val="15"/>
        <w:adjustRightInd w:val="0"/>
        <w:snapToGrid w:val="0"/>
        <w:spacing w:before="0" w:after="0" w:afterAutospacing="0" w:line="560" w:lineRule="exact"/>
        <w:ind w:firstLine="560" w:firstLineChars="200"/>
        <w:jc w:val="both"/>
        <w:rPr>
          <w:rFonts w:ascii="Times New Roman" w:hAnsi="Times New Roman" w:eastAsia="仿宋_GB2312" w:cstheme="minorBidi"/>
          <w:color w:val="000000" w:themeColor="text1"/>
          <w:kern w:val="2"/>
          <w:sz w:val="28"/>
          <w:szCs w:val="28"/>
          <w14:textFill>
            <w14:solidFill>
              <w14:schemeClr w14:val="tx1"/>
            </w14:solidFill>
          </w14:textFill>
        </w:rPr>
      </w:pPr>
      <w:r>
        <w:rPr>
          <w:rFonts w:hint="eastAsia" w:ascii="Times New Roman" w:hAnsi="Times New Roman" w:eastAsia="仿宋_GB2312" w:cstheme="minorBidi"/>
          <w:color w:val="000000" w:themeColor="text1"/>
          <w:kern w:val="2"/>
          <w:sz w:val="28"/>
          <w:szCs w:val="28"/>
          <w14:textFill>
            <w14:solidFill>
              <w14:schemeClr w14:val="tx1"/>
            </w14:solidFill>
          </w14:textFill>
        </w:rPr>
        <w:t>（一）对学生政治态度、思想表现、道德品质、科学精神、诚实守信、遵纪守法等方面进行考察。思想品德考核不合格者不予推荐。</w:t>
      </w:r>
    </w:p>
    <w:p>
      <w:pPr>
        <w:pStyle w:val="15"/>
        <w:adjustRightInd w:val="0"/>
        <w:snapToGrid w:val="0"/>
        <w:spacing w:before="0" w:after="0" w:afterAutospacing="0" w:line="560" w:lineRule="exact"/>
        <w:ind w:firstLine="560" w:firstLineChars="200"/>
        <w:jc w:val="both"/>
        <w:rPr>
          <w:rFonts w:ascii="Times New Roman" w:hAnsi="Times New Roman" w:eastAsia="仿宋_GB2312" w:cstheme="minorBidi"/>
          <w:color w:val="000000" w:themeColor="text1"/>
          <w:kern w:val="2"/>
          <w:sz w:val="28"/>
          <w:szCs w:val="28"/>
          <w14:textFill>
            <w14:solidFill>
              <w14:schemeClr w14:val="tx1"/>
            </w14:solidFill>
          </w14:textFill>
        </w:rPr>
      </w:pPr>
      <w:r>
        <w:rPr>
          <w:rFonts w:hint="eastAsia" w:ascii="Times New Roman" w:hAnsi="Times New Roman" w:eastAsia="仿宋_GB2312" w:cstheme="minorBidi"/>
          <w:color w:val="000000" w:themeColor="text1"/>
          <w:kern w:val="2"/>
          <w:sz w:val="28"/>
          <w:szCs w:val="28"/>
          <w14:textFill>
            <w14:solidFill>
              <w14:schemeClr w14:val="tx1"/>
            </w14:solidFill>
          </w14:textFill>
        </w:rPr>
        <w:t>（二）综合测评成绩构成</w:t>
      </w:r>
    </w:p>
    <w:p>
      <w:pPr>
        <w:pStyle w:val="15"/>
        <w:adjustRightInd w:val="0"/>
        <w:snapToGrid w:val="0"/>
        <w:spacing w:before="0" w:after="0" w:afterAutospacing="0" w:line="560" w:lineRule="exact"/>
        <w:ind w:firstLine="560" w:firstLineChars="200"/>
        <w:jc w:val="both"/>
        <w:rPr>
          <w:rFonts w:ascii="Times New Roman" w:hAnsi="Times New Roman" w:eastAsia="仿宋_GB2312" w:cstheme="minorBidi"/>
          <w:color w:val="000000" w:themeColor="text1"/>
          <w:kern w:val="2"/>
          <w:sz w:val="28"/>
          <w:szCs w:val="28"/>
          <w14:textFill>
            <w14:solidFill>
              <w14:schemeClr w14:val="tx1"/>
            </w14:solidFill>
          </w14:textFill>
        </w:rPr>
      </w:pPr>
      <w:r>
        <w:rPr>
          <w:rFonts w:hint="eastAsia" w:ascii="Times New Roman" w:hAnsi="Times New Roman" w:eastAsia="仿宋_GB2312" w:cstheme="minorBidi"/>
          <w:color w:val="000000" w:themeColor="text1"/>
          <w:kern w:val="2"/>
          <w:sz w:val="28"/>
          <w:szCs w:val="28"/>
          <w14:textFill>
            <w14:solidFill>
              <w14:schemeClr w14:val="tx1"/>
            </w14:solidFill>
          </w14:textFill>
        </w:rPr>
        <w:t>综合测评成绩</w:t>
      </w:r>
      <w:r>
        <w:rPr>
          <w:rFonts w:ascii="Times New Roman" w:hAnsi="Times New Roman" w:eastAsia="仿宋_GB2312" w:cstheme="minorBidi"/>
          <w:color w:val="000000" w:themeColor="text1"/>
          <w:kern w:val="2"/>
          <w:sz w:val="28"/>
          <w:szCs w:val="28"/>
          <w14:textFill>
            <w14:solidFill>
              <w14:schemeClr w14:val="tx1"/>
            </w14:solidFill>
          </w14:textFill>
        </w:rPr>
        <w:t>=学业成绩×70%+综合能力</w:t>
      </w:r>
      <w:r>
        <w:rPr>
          <w:rFonts w:hint="eastAsia" w:ascii="Times New Roman" w:hAnsi="Times New Roman" w:eastAsia="仿宋_GB2312" w:cstheme="minorBidi"/>
          <w:color w:val="000000" w:themeColor="text1"/>
          <w:kern w:val="2"/>
          <w:sz w:val="28"/>
          <w:szCs w:val="28"/>
          <w14:textFill>
            <w14:solidFill>
              <w14:schemeClr w14:val="tx1"/>
            </w14:solidFill>
          </w14:textFill>
        </w:rPr>
        <w:t>加分（含拔尖项目加分）</w:t>
      </w:r>
      <w:r>
        <w:rPr>
          <w:rFonts w:ascii="Times New Roman" w:hAnsi="Times New Roman" w:eastAsia="仿宋_GB2312" w:cstheme="minorBidi"/>
          <w:color w:val="000000" w:themeColor="text1"/>
          <w:kern w:val="2"/>
          <w:sz w:val="28"/>
          <w:szCs w:val="28"/>
          <w14:textFill>
            <w14:solidFill>
              <w14:schemeClr w14:val="tx1"/>
            </w14:solidFill>
          </w14:textFill>
        </w:rPr>
        <w:t>×30%</w:t>
      </w:r>
    </w:p>
    <w:p>
      <w:pPr>
        <w:tabs>
          <w:tab w:val="left" w:pos="690"/>
        </w:tabs>
        <w:spacing w:line="560" w:lineRule="exact"/>
        <w:ind w:firstLine="562"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b/>
          <w:bCs/>
          <w:color w:val="000000" w:themeColor="text1"/>
          <w:sz w:val="28"/>
          <w:szCs w:val="28"/>
          <w14:textFill>
            <w14:solidFill>
              <w14:schemeClr w14:val="tx1"/>
            </w14:solidFill>
          </w14:textFill>
        </w:rPr>
        <w:t>第六条</w:t>
      </w:r>
      <w:r>
        <w:rPr>
          <w:rFonts w:hint="eastAsia" w:ascii="Times New Roman" w:hAnsi="Times New Roman" w:eastAsia="仿宋_GB2312"/>
          <w:color w:val="000000" w:themeColor="text1"/>
          <w:sz w:val="28"/>
          <w:szCs w:val="28"/>
          <w14:textFill>
            <w14:solidFill>
              <w14:schemeClr w14:val="tx1"/>
            </w14:solidFill>
          </w14:textFill>
        </w:rPr>
        <w:t xml:space="preserve"> 评分细则</w:t>
      </w:r>
    </w:p>
    <w:p>
      <w:pPr>
        <w:widowControl/>
        <w:spacing w:line="560" w:lineRule="exact"/>
        <w:ind w:firstLine="562" w:firstLineChars="200"/>
        <w:rPr>
          <w:rFonts w:ascii="Times New Roman" w:hAnsi="Times New Roman" w:eastAsia="仿宋_GB2312"/>
          <w:b/>
          <w:color w:val="000000" w:themeColor="text1"/>
          <w:sz w:val="28"/>
          <w:szCs w:val="28"/>
          <w14:textFill>
            <w14:solidFill>
              <w14:schemeClr w14:val="tx1"/>
            </w14:solidFill>
          </w14:textFill>
        </w:rPr>
      </w:pPr>
      <w:r>
        <w:rPr>
          <w:rFonts w:hint="eastAsia" w:ascii="Times New Roman" w:hAnsi="Times New Roman" w:eastAsia="仿宋_GB2312"/>
          <w:b/>
          <w:color w:val="000000" w:themeColor="text1"/>
          <w:sz w:val="28"/>
          <w:szCs w:val="28"/>
          <w14:textFill>
            <w14:solidFill>
              <w14:schemeClr w14:val="tx1"/>
            </w14:solidFill>
          </w14:textFill>
        </w:rPr>
        <w:t>（一）学业成绩</w:t>
      </w:r>
    </w:p>
    <w:p>
      <w:pPr>
        <w:widowControl/>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color w:val="000000" w:themeColor="text1"/>
          <w:sz w:val="28"/>
          <w:szCs w:val="28"/>
          <w14:textFill>
            <w14:solidFill>
              <w14:schemeClr w14:val="tx1"/>
            </w14:solidFill>
          </w14:textFill>
        </w:rPr>
        <w:t>学业成绩满分</w:t>
      </w:r>
      <w:r>
        <w:rPr>
          <w:rFonts w:ascii="Times New Roman" w:hAnsi="Times New Roman" w:eastAsia="仿宋_GB2312"/>
          <w:color w:val="000000" w:themeColor="text1"/>
          <w:sz w:val="28"/>
          <w:szCs w:val="28"/>
          <w14:textFill>
            <w14:solidFill>
              <w14:schemeClr w14:val="tx1"/>
            </w14:solidFill>
          </w14:textFill>
        </w:rPr>
        <w:t>100分</w:t>
      </w:r>
      <w:r>
        <w:rPr>
          <w:rFonts w:hint="eastAsia" w:ascii="Times New Roman" w:hAnsi="Times New Roman" w:eastAsia="仿宋_GB2312"/>
          <w:color w:val="000000" w:themeColor="text1"/>
          <w:sz w:val="28"/>
          <w:szCs w:val="28"/>
          <w14:textFill>
            <w14:solidFill>
              <w14:schemeClr w14:val="tx1"/>
            </w14:solidFill>
          </w14:textFill>
        </w:rPr>
        <w:t>，超过1</w:t>
      </w:r>
      <w:r>
        <w:rPr>
          <w:rFonts w:ascii="Times New Roman" w:hAnsi="Times New Roman" w:eastAsia="仿宋_GB2312"/>
          <w:color w:val="000000" w:themeColor="text1"/>
          <w:sz w:val="28"/>
          <w:szCs w:val="28"/>
          <w14:textFill>
            <w14:solidFill>
              <w14:schemeClr w14:val="tx1"/>
            </w14:solidFill>
          </w14:textFill>
        </w:rPr>
        <w:t>00</w:t>
      </w:r>
      <w:r>
        <w:rPr>
          <w:rFonts w:hint="eastAsia" w:ascii="Times New Roman" w:hAnsi="Times New Roman" w:eastAsia="仿宋_GB2312"/>
          <w:color w:val="000000" w:themeColor="text1"/>
          <w:sz w:val="28"/>
          <w:szCs w:val="28"/>
          <w14:textFill>
            <w14:solidFill>
              <w14:schemeClr w14:val="tx1"/>
            </w14:solidFill>
          </w14:textFill>
        </w:rPr>
        <w:t>分按10</w:t>
      </w:r>
      <w:r>
        <w:rPr>
          <w:rFonts w:ascii="Times New Roman" w:hAnsi="Times New Roman" w:eastAsia="仿宋_GB2312"/>
          <w:color w:val="000000" w:themeColor="text1"/>
          <w:sz w:val="28"/>
          <w:szCs w:val="28"/>
          <w14:textFill>
            <w14:solidFill>
              <w14:schemeClr w14:val="tx1"/>
            </w14:solidFill>
          </w14:textFill>
        </w:rPr>
        <w:t>0</w:t>
      </w:r>
      <w:r>
        <w:rPr>
          <w:rFonts w:hint="eastAsia" w:ascii="Times New Roman" w:hAnsi="Times New Roman" w:eastAsia="仿宋_GB2312"/>
          <w:color w:val="000000" w:themeColor="text1"/>
          <w:sz w:val="28"/>
          <w:szCs w:val="28"/>
          <w14:textFill>
            <w14:solidFill>
              <w14:schemeClr w14:val="tx1"/>
            </w14:solidFill>
          </w14:textFill>
        </w:rPr>
        <w:t>分计算。</w:t>
      </w:r>
    </w:p>
    <w:p>
      <w:pPr>
        <w:widowControl/>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color w:val="000000" w:themeColor="text1"/>
          <w:sz w:val="28"/>
          <w:szCs w:val="28"/>
          <w14:textFill>
            <w14:solidFill>
              <w14:schemeClr w14:val="tx1"/>
            </w14:solidFill>
          </w14:textFill>
        </w:rPr>
        <w:t>学业成绩</w:t>
      </w:r>
      <w:r>
        <w:rPr>
          <w:rFonts w:ascii="Times New Roman" w:hAnsi="Times New Roman" w:eastAsia="仿宋_GB2312"/>
          <w:color w:val="000000" w:themeColor="text1"/>
          <w:sz w:val="28"/>
          <w:szCs w:val="28"/>
          <w14:textFill>
            <w14:solidFill>
              <w14:schemeClr w14:val="tx1"/>
            </w14:solidFill>
          </w14:textFill>
        </w:rPr>
        <w:t>=∑（某门课程成绩×该课程学分）／∑课程学分</w:t>
      </w:r>
    </w:p>
    <w:p>
      <w:pPr>
        <w:widowControl/>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color w:val="000000" w:themeColor="text1"/>
          <w:sz w:val="28"/>
          <w:szCs w:val="28"/>
          <w14:textFill>
            <w14:solidFill>
              <w14:schemeClr w14:val="tx1"/>
            </w14:solidFill>
          </w14:textFill>
        </w:rPr>
        <w:t>根据在校学习期间前三学年的课程学习成绩及相应学分计算学业加权平均成绩，含通识教育基础课程、大学科基础课程、专业必修课程和专业方向课程，但不含文化素质课和全校任选课。在校学习期间的各门课程学习成绩只以学生第一次参加考试成绩作为计分依据，课程性质以培养方案为准。外出交流生应在申请推免生资格前，完成学分认定及成绩转换后参与成绩排名。</w:t>
      </w:r>
    </w:p>
    <w:p>
      <w:pPr>
        <w:widowControl/>
        <w:spacing w:line="560" w:lineRule="exact"/>
        <w:ind w:firstLine="562" w:firstLineChars="200"/>
        <w:rPr>
          <w:rFonts w:ascii="Times New Roman" w:hAnsi="Times New Roman" w:eastAsia="仿宋_GB2312"/>
          <w:b/>
          <w:color w:val="000000" w:themeColor="text1"/>
          <w:sz w:val="28"/>
          <w:szCs w:val="28"/>
          <w14:textFill>
            <w14:solidFill>
              <w14:schemeClr w14:val="tx1"/>
            </w14:solidFill>
          </w14:textFill>
        </w:rPr>
      </w:pPr>
      <w:r>
        <w:rPr>
          <w:rFonts w:hint="eastAsia" w:ascii="Times New Roman" w:hAnsi="Times New Roman" w:eastAsia="仿宋_GB2312"/>
          <w:b/>
          <w:color w:val="000000" w:themeColor="text1"/>
          <w:sz w:val="28"/>
          <w:szCs w:val="28"/>
          <w14:textFill>
            <w14:solidFill>
              <w14:schemeClr w14:val="tx1"/>
            </w14:solidFill>
          </w14:textFill>
        </w:rPr>
        <w:t>（二）综合能力加分</w:t>
      </w:r>
    </w:p>
    <w:p>
      <w:pPr>
        <w:pStyle w:val="15"/>
        <w:adjustRightInd w:val="0"/>
        <w:snapToGrid w:val="0"/>
        <w:spacing w:before="0" w:after="0" w:afterAutospacing="0" w:line="560" w:lineRule="exact"/>
        <w:ind w:firstLine="560" w:firstLineChars="200"/>
        <w:jc w:val="both"/>
        <w:rPr>
          <w:rFonts w:ascii="Times New Roman" w:hAnsi="Times New Roman" w:eastAsia="仿宋_GB2312" w:cs="Times New Roman"/>
          <w:color w:val="000000" w:themeColor="text1"/>
          <w:kern w:val="2"/>
          <w:sz w:val="28"/>
          <w:szCs w:val="28"/>
          <w14:textFill>
            <w14:solidFill>
              <w14:schemeClr w14:val="tx1"/>
            </w14:solidFill>
          </w14:textFill>
        </w:rPr>
      </w:pPr>
      <w:r>
        <w:rPr>
          <w:rFonts w:hint="eastAsia" w:ascii="Times New Roman" w:hAnsi="Times New Roman" w:eastAsia="仿宋_GB2312"/>
          <w:color w:val="000000" w:themeColor="text1"/>
          <w:sz w:val="28"/>
          <w:szCs w:val="28"/>
          <w14:textFill>
            <w14:solidFill>
              <w14:schemeClr w14:val="tx1"/>
            </w14:solidFill>
          </w14:textFill>
        </w:rPr>
        <w:t>综合能力加分满分为100分</w:t>
      </w:r>
      <w:r>
        <w:rPr>
          <w:rFonts w:hint="eastAsia" w:ascii="Times New Roman" w:hAnsi="Times New Roman" w:eastAsia="仿宋_GB2312" w:cs="Times New Roman"/>
          <w:color w:val="000000" w:themeColor="text1"/>
          <w:kern w:val="2"/>
          <w:sz w:val="28"/>
          <w:szCs w:val="28"/>
          <w14:textFill>
            <w14:solidFill>
              <w14:schemeClr w14:val="tx1"/>
            </w14:solidFill>
          </w14:textFill>
        </w:rPr>
        <w:t>，分为科研创新能力加分（满分60分）和素质能力加分（满分40分）两部分。</w:t>
      </w:r>
    </w:p>
    <w:p>
      <w:pPr>
        <w:widowControl/>
        <w:spacing w:line="560" w:lineRule="exact"/>
        <w:ind w:firstLine="562" w:firstLineChars="200"/>
        <w:rPr>
          <w:rFonts w:ascii="Times New Roman" w:hAnsi="Times New Roman" w:eastAsia="仿宋_GB2312"/>
          <w:b/>
          <w:bCs/>
          <w:color w:val="000000" w:themeColor="text1"/>
          <w:sz w:val="28"/>
          <w:szCs w:val="28"/>
          <w14:textFill>
            <w14:solidFill>
              <w14:schemeClr w14:val="tx1"/>
            </w14:solidFill>
          </w14:textFill>
        </w:rPr>
      </w:pPr>
      <w:r>
        <w:rPr>
          <w:rFonts w:hint="eastAsia" w:ascii="Times New Roman" w:hAnsi="Times New Roman" w:eastAsia="仿宋_GB2312"/>
          <w:b/>
          <w:bCs/>
          <w:color w:val="000000" w:themeColor="text1"/>
          <w:sz w:val="28"/>
          <w:szCs w:val="28"/>
          <w14:textFill>
            <w14:solidFill>
              <w14:schemeClr w14:val="tx1"/>
            </w14:solidFill>
          </w14:textFill>
        </w:rPr>
        <w:t>第一部分：科研创新能力加分（满分60分）</w:t>
      </w:r>
    </w:p>
    <w:p>
      <w:pPr>
        <w:pStyle w:val="15"/>
        <w:adjustRightInd w:val="0"/>
        <w:snapToGrid w:val="0"/>
        <w:spacing w:before="0" w:after="0" w:afterAutospacing="0" w:line="560" w:lineRule="exact"/>
        <w:ind w:firstLine="560" w:firstLineChars="200"/>
        <w:jc w:val="both"/>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color w:val="000000" w:themeColor="text1"/>
          <w:sz w:val="28"/>
          <w:szCs w:val="28"/>
          <w14:textFill>
            <w14:solidFill>
              <w14:schemeClr w14:val="tx1"/>
            </w14:solidFill>
          </w14:textFill>
        </w:rPr>
        <w:t>科研创新能力加分包含科研成果类、创新创业类、学科竞赛类三类。</w:t>
      </w:r>
      <w:r>
        <w:rPr>
          <w:rFonts w:hint="eastAsia" w:ascii="Times New Roman" w:hAnsi="Times New Roman" w:eastAsia="仿宋_GB2312" w:cs="Times New Roman"/>
          <w:color w:val="000000" w:themeColor="text1"/>
          <w:kern w:val="2"/>
          <w:sz w:val="28"/>
          <w:szCs w:val="28"/>
          <w14:textFill>
            <w14:solidFill>
              <w14:schemeClr w14:val="tx1"/>
            </w14:solidFill>
          </w14:textFill>
        </w:rPr>
        <w:t>科研创新能力加分满分不超过6</w:t>
      </w:r>
      <w:r>
        <w:rPr>
          <w:rFonts w:ascii="Times New Roman" w:hAnsi="Times New Roman" w:eastAsia="仿宋_GB2312" w:cs="Times New Roman"/>
          <w:color w:val="000000" w:themeColor="text1"/>
          <w:kern w:val="2"/>
          <w:sz w:val="28"/>
          <w:szCs w:val="28"/>
          <w14:textFill>
            <w14:solidFill>
              <w14:schemeClr w14:val="tx1"/>
            </w14:solidFill>
          </w14:textFill>
        </w:rPr>
        <w:t>0</w:t>
      </w:r>
      <w:r>
        <w:rPr>
          <w:rFonts w:hint="eastAsia" w:ascii="Times New Roman" w:hAnsi="Times New Roman" w:eastAsia="仿宋_GB2312" w:cs="Times New Roman"/>
          <w:color w:val="000000" w:themeColor="text1"/>
          <w:kern w:val="2"/>
          <w:sz w:val="28"/>
          <w:szCs w:val="28"/>
          <w14:textFill>
            <w14:solidFill>
              <w14:schemeClr w14:val="tx1"/>
            </w14:solidFill>
          </w14:textFill>
        </w:rPr>
        <w:t>分（科研成果类上限</w:t>
      </w:r>
      <w:r>
        <w:rPr>
          <w:rFonts w:ascii="Times New Roman" w:hAnsi="Times New Roman" w:eastAsia="仿宋_GB2312" w:cs="Times New Roman"/>
          <w:color w:val="000000" w:themeColor="text1"/>
          <w:kern w:val="2"/>
          <w:sz w:val="28"/>
          <w:szCs w:val="28"/>
          <w14:textFill>
            <w14:solidFill>
              <w14:schemeClr w14:val="tx1"/>
            </w14:solidFill>
          </w14:textFill>
        </w:rPr>
        <w:t>40</w:t>
      </w:r>
      <w:r>
        <w:rPr>
          <w:rFonts w:hint="eastAsia" w:ascii="Times New Roman" w:hAnsi="Times New Roman" w:eastAsia="仿宋_GB2312" w:cs="Times New Roman"/>
          <w:color w:val="000000" w:themeColor="text1"/>
          <w:kern w:val="2"/>
          <w:sz w:val="28"/>
          <w:szCs w:val="28"/>
          <w14:textFill>
            <w14:solidFill>
              <w14:schemeClr w14:val="tx1"/>
            </w14:solidFill>
          </w14:textFill>
        </w:rPr>
        <w:t>分、创新创业类上限20分，学科竞赛类上限</w:t>
      </w:r>
      <w:r>
        <w:rPr>
          <w:rFonts w:ascii="Times New Roman" w:hAnsi="Times New Roman" w:eastAsia="仿宋_GB2312" w:cs="Times New Roman"/>
          <w:color w:val="000000" w:themeColor="text1"/>
          <w:kern w:val="2"/>
          <w:sz w:val="28"/>
          <w:szCs w:val="28"/>
          <w14:textFill>
            <w14:solidFill>
              <w14:schemeClr w14:val="tx1"/>
            </w14:solidFill>
          </w14:textFill>
        </w:rPr>
        <w:t>40</w:t>
      </w:r>
      <w:r>
        <w:rPr>
          <w:rFonts w:hint="eastAsia" w:ascii="Times New Roman" w:hAnsi="Times New Roman" w:eastAsia="仿宋_GB2312" w:cs="Times New Roman"/>
          <w:color w:val="000000" w:themeColor="text1"/>
          <w:kern w:val="2"/>
          <w:sz w:val="28"/>
          <w:szCs w:val="28"/>
          <w14:textFill>
            <w14:solidFill>
              <w14:schemeClr w14:val="tx1"/>
            </w14:solidFill>
          </w14:textFill>
        </w:rPr>
        <w:t>分），科研创新能力加分中校级奖励加分不超过9分。</w:t>
      </w:r>
    </w:p>
    <w:p>
      <w:pPr>
        <w:widowControl/>
        <w:spacing w:line="560" w:lineRule="exact"/>
        <w:ind w:firstLine="562" w:firstLineChars="200"/>
        <w:rPr>
          <w:rFonts w:ascii="Times New Roman" w:hAnsi="Times New Roman" w:eastAsia="仿宋_GB2312"/>
          <w:b/>
          <w:bCs/>
          <w:color w:val="000000" w:themeColor="text1"/>
          <w:sz w:val="28"/>
          <w:szCs w:val="28"/>
          <w14:textFill>
            <w14:solidFill>
              <w14:schemeClr w14:val="tx1"/>
            </w14:solidFill>
          </w14:textFill>
        </w:rPr>
      </w:pPr>
      <w:r>
        <w:rPr>
          <w:rFonts w:ascii="Times New Roman" w:hAnsi="Times New Roman" w:eastAsia="仿宋_GB2312"/>
          <w:b/>
          <w:bCs/>
          <w:color w:val="000000" w:themeColor="text1"/>
          <w:sz w:val="28"/>
          <w:szCs w:val="28"/>
          <w14:textFill>
            <w14:solidFill>
              <w14:schemeClr w14:val="tx1"/>
            </w14:solidFill>
          </w14:textFill>
        </w:rPr>
        <w:t>1</w:t>
      </w:r>
      <w:r>
        <w:rPr>
          <w:rFonts w:hint="eastAsia" w:ascii="Times New Roman" w:hAnsi="Times New Roman" w:eastAsia="仿宋_GB2312"/>
          <w:b/>
          <w:bCs/>
          <w:color w:val="000000" w:themeColor="text1"/>
          <w:sz w:val="28"/>
          <w:szCs w:val="28"/>
          <w14:textFill>
            <w14:solidFill>
              <w14:schemeClr w14:val="tx1"/>
            </w14:solidFill>
          </w14:textFill>
        </w:rPr>
        <w:t>．科研成果类（满分</w:t>
      </w:r>
      <w:r>
        <w:rPr>
          <w:rFonts w:ascii="Times New Roman" w:hAnsi="Times New Roman" w:eastAsia="仿宋_GB2312"/>
          <w:b/>
          <w:bCs/>
          <w:color w:val="000000" w:themeColor="text1"/>
          <w:sz w:val="28"/>
          <w:szCs w:val="28"/>
          <w14:textFill>
            <w14:solidFill>
              <w14:schemeClr w14:val="tx1"/>
            </w14:solidFill>
          </w14:textFill>
        </w:rPr>
        <w:t>4</w:t>
      </w:r>
      <w:r>
        <w:rPr>
          <w:rFonts w:hint="eastAsia" w:ascii="Times New Roman" w:hAnsi="Times New Roman" w:eastAsia="仿宋_GB2312"/>
          <w:b/>
          <w:bCs/>
          <w:color w:val="000000" w:themeColor="text1"/>
          <w:sz w:val="28"/>
          <w:szCs w:val="28"/>
          <w14:textFill>
            <w14:solidFill>
              <w14:schemeClr w14:val="tx1"/>
            </w14:solidFill>
          </w14:textFill>
        </w:rPr>
        <w:t>0分）</w:t>
      </w:r>
    </w:p>
    <w:p>
      <w:pPr>
        <w:widowControl/>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color w:val="000000" w:themeColor="text1"/>
          <w:sz w:val="28"/>
          <w:szCs w:val="28"/>
          <w14:textFill>
            <w14:solidFill>
              <w14:schemeClr w14:val="tx1"/>
            </w14:solidFill>
          </w14:textFill>
        </w:rPr>
        <w:t>科研成果类主要为发表学术论文、科研训练等方面。同一学生在此类的同一方面有多项加分情况，只计一项。学生与直系亲属或学历、职称、职务明显高于本人者合作的科研成果仅作为参考，不纳入学生本人推免遴选综合测评成绩计算体系，同等条件下可优先考虑。科研成果的认定依据学校</w:t>
      </w:r>
      <w:r>
        <w:rPr>
          <w:rFonts w:hint="eastAsia" w:ascii="Times New Roman" w:hAnsi="Times New Roman" w:eastAsia="仿宋_GB2312"/>
          <w:color w:val="000000" w:themeColor="text1"/>
          <w:sz w:val="28"/>
          <w14:textFill>
            <w14:solidFill>
              <w14:schemeClr w14:val="tx1"/>
            </w14:solidFill>
          </w14:textFill>
        </w:rPr>
        <w:t>《</w:t>
      </w:r>
      <w:r>
        <w:rPr>
          <w:rFonts w:hint="eastAsia" w:ascii="Times New Roman" w:hAnsi="Times New Roman" w:eastAsia="仿宋_GB2312"/>
          <w:color w:val="000000" w:themeColor="text1"/>
          <w:sz w:val="28"/>
          <w:szCs w:val="28"/>
          <w14:textFill>
            <w14:solidFill>
              <w14:schemeClr w14:val="tx1"/>
            </w14:solidFill>
          </w14:textFill>
        </w:rPr>
        <w:t>西南财经大学教师教学科研社会服务成果认定标准与奖励办法（2018 版） (2020 年修订)》，并提供原件及复印件审核，用稿通知一律不予承认。</w:t>
      </w:r>
      <w:r>
        <w:rPr>
          <w:rFonts w:hint="eastAsia" w:ascii="仿宋_GB2312" w:eastAsia="仿宋_GB2312"/>
          <w:sz w:val="28"/>
          <w:szCs w:val="28"/>
        </w:rPr>
        <w:t>学术方面加分见表1。</w:t>
      </w:r>
    </w:p>
    <w:p>
      <w:pPr>
        <w:widowControl/>
        <w:jc w:val="center"/>
        <w:rPr>
          <w:rFonts w:ascii="仿宋_GB2312" w:hAnsi="Times New Roman" w:eastAsia="仿宋_GB2312" w:cs="Times New Roman"/>
          <w:sz w:val="24"/>
          <w:szCs w:val="24"/>
        </w:rPr>
      </w:pPr>
      <w:r>
        <w:rPr>
          <w:rFonts w:hint="eastAsia" w:ascii="仿宋_GB2312" w:hAnsi="Times New Roman" w:eastAsia="仿宋_GB2312" w:cs="宋体"/>
          <w:b/>
          <w:bCs/>
          <w:kern w:val="0"/>
          <w:sz w:val="24"/>
          <w:szCs w:val="24"/>
        </w:rPr>
        <w:t>表</w:t>
      </w:r>
      <w:r>
        <w:rPr>
          <w:rFonts w:ascii="仿宋_GB2312" w:hAnsi="Times New Roman" w:eastAsia="仿宋_GB2312" w:cs="宋体"/>
          <w:b/>
          <w:bCs/>
          <w:kern w:val="0"/>
          <w:sz w:val="24"/>
          <w:szCs w:val="24"/>
        </w:rPr>
        <w:t>1</w:t>
      </w:r>
      <w:r>
        <w:rPr>
          <w:rFonts w:hint="eastAsia" w:ascii="仿宋_GB2312" w:hAnsi="Times New Roman" w:eastAsia="仿宋_GB2312" w:cs="宋体"/>
          <w:b/>
          <w:bCs/>
          <w:kern w:val="0"/>
          <w:sz w:val="24"/>
          <w:szCs w:val="24"/>
        </w:rPr>
        <w:t>：</w:t>
      </w:r>
      <w:r>
        <w:rPr>
          <w:rFonts w:hint="eastAsia" w:ascii="仿宋_GB2312" w:hAnsi="Times New Roman" w:eastAsia="仿宋_GB2312" w:cs="Times New Roman"/>
          <w:sz w:val="24"/>
          <w:szCs w:val="24"/>
        </w:rPr>
        <w:t>学术论文获奖加分</w:t>
      </w:r>
    </w:p>
    <w:tbl>
      <w:tblPr>
        <w:tblStyle w:val="9"/>
        <w:tblW w:w="4528"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2827"/>
        <w:gridCol w:w="1701"/>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827" w:type="dxa"/>
            <w:tcBorders>
              <w:top w:val="outset" w:color="auto" w:sz="6" w:space="0"/>
              <w:left w:val="outset" w:color="auto" w:sz="6" w:space="0"/>
              <w:bottom w:val="outset" w:color="auto" w:sz="6" w:space="0"/>
              <w:right w:val="outset" w:color="auto" w:sz="6" w:space="0"/>
            </w:tcBorders>
          </w:tcPr>
          <w:p>
            <w:pPr>
              <w:widowControl/>
              <w:jc w:val="center"/>
              <w:rPr>
                <w:rFonts w:ascii="仿宋_GB2312" w:hAnsi="Times New Roman" w:eastAsia="仿宋_GB2312" w:cs="Times New Roman"/>
                <w:b/>
                <w:sz w:val="24"/>
                <w:szCs w:val="24"/>
              </w:rPr>
            </w:pPr>
            <w:r>
              <w:rPr>
                <w:rFonts w:hint="eastAsia" w:ascii="仿宋_GB2312" w:hAnsi="Times New Roman" w:eastAsia="仿宋_GB2312" w:cs="Times New Roman"/>
                <w:b/>
                <w:sz w:val="24"/>
                <w:szCs w:val="24"/>
              </w:rPr>
              <w:t>等级</w:t>
            </w:r>
          </w:p>
        </w:tc>
        <w:tc>
          <w:tcPr>
            <w:tcW w:w="1701" w:type="dxa"/>
            <w:tcBorders>
              <w:top w:val="outset" w:color="auto" w:sz="6" w:space="0"/>
              <w:left w:val="outset" w:color="auto" w:sz="6" w:space="0"/>
              <w:bottom w:val="outset" w:color="auto" w:sz="6" w:space="0"/>
              <w:right w:val="outset" w:color="auto" w:sz="6" w:space="0"/>
            </w:tcBorders>
          </w:tcPr>
          <w:p>
            <w:pPr>
              <w:widowControl/>
              <w:jc w:val="center"/>
              <w:rPr>
                <w:rFonts w:ascii="仿宋_GB2312" w:hAnsi="Times New Roman" w:eastAsia="仿宋_GB2312" w:cs="Times New Roman"/>
                <w:b/>
                <w:sz w:val="24"/>
                <w:szCs w:val="24"/>
              </w:rPr>
            </w:pPr>
            <w:r>
              <w:rPr>
                <w:rFonts w:hint="eastAsia" w:ascii="仿宋_GB2312" w:hAnsi="Times New Roman" w:eastAsia="仿宋_GB2312" w:cs="Times New Roman"/>
                <w:b/>
                <w:sz w:val="24"/>
                <w:szCs w:val="24"/>
              </w:rPr>
              <w:t>加分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827" w:type="dxa"/>
            <w:tcBorders>
              <w:top w:val="outset" w:color="auto" w:sz="6" w:space="0"/>
              <w:left w:val="outset" w:color="auto" w:sz="6" w:space="0"/>
              <w:bottom w:val="outset" w:color="auto" w:sz="6" w:space="0"/>
              <w:right w:val="outset" w:color="auto" w:sz="6" w:space="0"/>
            </w:tcBorders>
          </w:tcPr>
          <w:p>
            <w:pPr>
              <w:widowControl/>
              <w:jc w:val="center"/>
              <w:rPr>
                <w:rFonts w:ascii="仿宋_GB2312" w:hAnsi="Times New Roman" w:eastAsia="仿宋_GB2312" w:cs="Times New Roman"/>
                <w:sz w:val="24"/>
                <w:szCs w:val="24"/>
              </w:rPr>
            </w:pPr>
            <w:r>
              <w:rPr>
                <w:rFonts w:ascii="仿宋_GB2312" w:hAnsi="Times New Roman" w:eastAsia="仿宋_GB2312" w:cs="Times New Roman"/>
                <w:sz w:val="24"/>
                <w:szCs w:val="24"/>
              </w:rPr>
              <w:t>A级成果</w:t>
            </w:r>
          </w:p>
        </w:tc>
        <w:tc>
          <w:tcPr>
            <w:tcW w:w="1701" w:type="dxa"/>
            <w:tcBorders>
              <w:top w:val="outset" w:color="auto" w:sz="6" w:space="0"/>
              <w:left w:val="outset" w:color="auto" w:sz="6" w:space="0"/>
              <w:bottom w:val="outset" w:color="auto" w:sz="6" w:space="0"/>
              <w:right w:val="outset" w:color="auto" w:sz="6" w:space="0"/>
            </w:tcBorders>
            <w:vAlign w:val="center"/>
          </w:tcPr>
          <w:p>
            <w:pPr>
              <w:widowControl/>
              <w:jc w:val="center"/>
              <w:rPr>
                <w:rFonts w:ascii="仿宋_GB2312" w:hAnsi="Times New Roman" w:eastAsia="仿宋_GB2312" w:cs="Times New Roman"/>
                <w:sz w:val="24"/>
                <w:szCs w:val="24"/>
              </w:rPr>
            </w:pPr>
            <w:r>
              <w:rPr>
                <w:rFonts w:ascii="仿宋_GB2312" w:hAnsi="Times New Roman" w:eastAsia="仿宋_GB2312" w:cs="Times New Roman"/>
                <w:sz w:val="24"/>
                <w:szCs w:val="24"/>
              </w:rPr>
              <w:t>40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827" w:type="dxa"/>
            <w:tcBorders>
              <w:top w:val="outset" w:color="auto" w:sz="6" w:space="0"/>
              <w:left w:val="outset" w:color="auto" w:sz="6" w:space="0"/>
              <w:bottom w:val="outset" w:color="auto" w:sz="6" w:space="0"/>
              <w:right w:val="outset" w:color="auto" w:sz="6" w:space="0"/>
            </w:tcBorders>
          </w:tcPr>
          <w:p>
            <w:pPr>
              <w:widowControl/>
              <w:jc w:val="center"/>
              <w:rPr>
                <w:rFonts w:ascii="仿宋_GB2312" w:hAnsi="Times New Roman" w:eastAsia="仿宋_GB2312" w:cs="Times New Roman"/>
                <w:sz w:val="24"/>
                <w:szCs w:val="24"/>
              </w:rPr>
            </w:pPr>
            <w:r>
              <w:rPr>
                <w:rFonts w:ascii="仿宋_GB2312" w:hAnsi="Times New Roman" w:eastAsia="仿宋_GB2312" w:cs="Times New Roman"/>
                <w:sz w:val="24"/>
                <w:szCs w:val="24"/>
              </w:rPr>
              <w:t>B级成果</w:t>
            </w:r>
          </w:p>
        </w:tc>
        <w:tc>
          <w:tcPr>
            <w:tcW w:w="1701" w:type="dxa"/>
            <w:tcBorders>
              <w:top w:val="outset" w:color="auto" w:sz="6" w:space="0"/>
              <w:left w:val="outset" w:color="auto" w:sz="6" w:space="0"/>
              <w:bottom w:val="outset" w:color="auto" w:sz="6" w:space="0"/>
              <w:right w:val="outset" w:color="auto" w:sz="6" w:space="0"/>
            </w:tcBorders>
            <w:vAlign w:val="center"/>
          </w:tcPr>
          <w:p>
            <w:pPr>
              <w:widowControl/>
              <w:jc w:val="center"/>
              <w:rPr>
                <w:rFonts w:ascii="仿宋_GB2312" w:hAnsi="Times New Roman" w:eastAsia="仿宋_GB2312" w:cs="Times New Roman"/>
                <w:sz w:val="24"/>
                <w:szCs w:val="24"/>
              </w:rPr>
            </w:pPr>
            <w:r>
              <w:rPr>
                <w:rFonts w:ascii="仿宋_GB2312" w:hAnsi="Times New Roman" w:eastAsia="仿宋_GB2312" w:cs="Times New Roman"/>
                <w:sz w:val="24"/>
                <w:szCs w:val="24"/>
              </w:rPr>
              <w:t>20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827" w:type="dxa"/>
            <w:tcBorders>
              <w:top w:val="outset" w:color="auto" w:sz="6" w:space="0"/>
              <w:left w:val="outset" w:color="auto" w:sz="6" w:space="0"/>
              <w:bottom w:val="outset" w:color="auto" w:sz="6" w:space="0"/>
              <w:right w:val="outset" w:color="auto" w:sz="6" w:space="0"/>
            </w:tcBorders>
            <w:vAlign w:val="center"/>
          </w:tcPr>
          <w:p>
            <w:pPr>
              <w:widowControl/>
              <w:jc w:val="center"/>
              <w:rPr>
                <w:rFonts w:ascii="仿宋_GB2312" w:hAnsi="Times New Roman" w:eastAsia="仿宋_GB2312" w:cs="Times New Roman"/>
                <w:sz w:val="24"/>
                <w:szCs w:val="24"/>
              </w:rPr>
            </w:pPr>
            <w:r>
              <w:rPr>
                <w:rFonts w:ascii="仿宋_GB2312" w:hAnsi="Times New Roman" w:eastAsia="仿宋_GB2312" w:cs="Times New Roman"/>
                <w:sz w:val="24"/>
                <w:szCs w:val="24"/>
              </w:rPr>
              <w:t>C级成果</w:t>
            </w:r>
          </w:p>
        </w:tc>
        <w:tc>
          <w:tcPr>
            <w:tcW w:w="1701" w:type="dxa"/>
            <w:tcBorders>
              <w:top w:val="outset" w:color="auto" w:sz="6" w:space="0"/>
              <w:left w:val="outset" w:color="auto" w:sz="6" w:space="0"/>
              <w:bottom w:val="outset" w:color="auto" w:sz="6" w:space="0"/>
              <w:right w:val="outset" w:color="auto" w:sz="6" w:space="0"/>
            </w:tcBorders>
            <w:vAlign w:val="center"/>
          </w:tcPr>
          <w:p>
            <w:pPr>
              <w:widowControl/>
              <w:jc w:val="center"/>
              <w:rPr>
                <w:rFonts w:ascii="仿宋_GB2312" w:hAnsi="Times New Roman" w:eastAsia="仿宋_GB2312" w:cs="Times New Roman"/>
                <w:sz w:val="24"/>
                <w:szCs w:val="24"/>
              </w:rPr>
            </w:pPr>
            <w:r>
              <w:rPr>
                <w:rFonts w:ascii="仿宋_GB2312" w:hAnsi="Times New Roman" w:eastAsia="仿宋_GB2312" w:cs="Times New Roman"/>
                <w:sz w:val="24"/>
                <w:szCs w:val="24"/>
              </w:rPr>
              <w:t>5</w:t>
            </w:r>
          </w:p>
        </w:tc>
      </w:tr>
    </w:tbl>
    <w:p>
      <w:pPr>
        <w:spacing w:line="560" w:lineRule="exact"/>
        <w:ind w:firstLine="482" w:firstLineChars="200"/>
        <w:rPr>
          <w:rFonts w:ascii="仿宋_GB2312" w:hAnsi="Times New Roman" w:eastAsia="仿宋_GB2312"/>
          <w:color w:val="000000" w:themeColor="text1"/>
          <w:sz w:val="24"/>
          <w:szCs w:val="24"/>
          <w14:textFill>
            <w14:solidFill>
              <w14:schemeClr w14:val="tx1"/>
            </w14:solidFill>
          </w14:textFill>
        </w:rPr>
      </w:pPr>
      <w:r>
        <w:rPr>
          <w:rFonts w:hint="eastAsia" w:ascii="仿宋_GB2312" w:hAnsi="Times New Roman" w:eastAsia="仿宋_GB2312"/>
          <w:b/>
          <w:bCs/>
          <w:color w:val="000000" w:themeColor="text1"/>
          <w:sz w:val="24"/>
          <w:szCs w:val="24"/>
          <w14:textFill>
            <w14:solidFill>
              <w14:schemeClr w14:val="tx1"/>
            </w14:solidFill>
          </w14:textFill>
        </w:rPr>
        <w:t>注释：</w:t>
      </w:r>
      <w:r>
        <w:rPr>
          <w:rFonts w:hint="eastAsia" w:ascii="Times New Roman" w:hAnsi="Times New Roman" w:eastAsia="仿宋_GB2312"/>
          <w:color w:val="000000" w:themeColor="text1"/>
          <w:kern w:val="0"/>
          <w14:textFill>
            <w14:solidFill>
              <w14:schemeClr w14:val="tx1"/>
            </w14:solidFill>
          </w14:textFill>
        </w:rPr>
        <w:t>①</w:t>
      </w:r>
      <w:r>
        <w:rPr>
          <w:rFonts w:hint="eastAsia" w:ascii="仿宋_GB2312" w:hAnsi="Times New Roman" w:eastAsia="仿宋_GB2312"/>
          <w:color w:val="000000" w:themeColor="text1"/>
          <w:sz w:val="24"/>
          <w:szCs w:val="24"/>
          <w14:textFill>
            <w14:solidFill>
              <w14:schemeClr w14:val="tx1"/>
            </w14:solidFill>
          </w14:textFill>
        </w:rPr>
        <w:t>如科研处有新的期刊分类，是否设置过度期以科研处要求为准。</w:t>
      </w:r>
    </w:p>
    <w:p>
      <w:pPr>
        <w:spacing w:line="560" w:lineRule="exact"/>
        <w:ind w:firstLine="480" w:firstLineChars="200"/>
        <w:rPr>
          <w:rFonts w:ascii="仿宋_GB2312" w:hAnsi="Times New Roman" w:eastAsia="仿宋_GB2312"/>
          <w:color w:val="000000" w:themeColor="text1"/>
          <w:sz w:val="24"/>
          <w:szCs w:val="24"/>
          <w14:textFill>
            <w14:solidFill>
              <w14:schemeClr w14:val="tx1"/>
            </w14:solidFill>
          </w14:textFill>
        </w:rPr>
      </w:pPr>
      <w:r>
        <w:rPr>
          <w:rFonts w:hint="eastAsia" w:ascii="仿宋_GB2312" w:hAnsi="Times New Roman" w:eastAsia="仿宋_GB2312"/>
          <w:color w:val="000000" w:themeColor="text1"/>
          <w:sz w:val="24"/>
          <w:szCs w:val="24"/>
          <w14:textFill>
            <w14:solidFill>
              <w14:schemeClr w14:val="tx1"/>
            </w14:solidFill>
          </w14:textFill>
        </w:rPr>
        <w:t xml:space="preserve">②申请加分的论文只加独立作者或第一作者，其余作者不加分。 </w:t>
      </w:r>
    </w:p>
    <w:p>
      <w:pPr>
        <w:spacing w:line="560" w:lineRule="exact"/>
        <w:ind w:firstLine="480" w:firstLineChars="200"/>
        <w:rPr>
          <w:rFonts w:ascii="仿宋_GB2312" w:hAnsi="Times New Roman" w:eastAsia="仿宋_GB2312"/>
          <w:color w:val="000000" w:themeColor="text1"/>
          <w:sz w:val="24"/>
          <w:szCs w:val="24"/>
          <w14:textFill>
            <w14:solidFill>
              <w14:schemeClr w14:val="tx1"/>
            </w14:solidFill>
          </w14:textFill>
        </w:rPr>
      </w:pPr>
      <w:r>
        <w:rPr>
          <w:rFonts w:hint="eastAsia" w:ascii="等线" w:hAnsi="等线" w:eastAsia="等线"/>
          <w:color w:val="000000" w:themeColor="text1"/>
          <w:sz w:val="24"/>
          <w:szCs w:val="24"/>
          <w14:textFill>
            <w14:solidFill>
              <w14:schemeClr w14:val="tx1"/>
            </w14:solidFill>
          </w14:textFill>
        </w:rPr>
        <w:t>③</w:t>
      </w:r>
      <w:r>
        <w:rPr>
          <w:rFonts w:hint="eastAsia" w:ascii="仿宋_GB2312" w:hAnsi="Times New Roman" w:eastAsia="仿宋_GB2312"/>
          <w:color w:val="000000" w:themeColor="text1"/>
          <w:sz w:val="24"/>
          <w:szCs w:val="24"/>
          <w14:textFill>
            <w14:solidFill>
              <w14:schemeClr w14:val="tx1"/>
            </w14:solidFill>
          </w14:textFill>
        </w:rPr>
        <w:t>学院将对申请论文发表刊物进行审查，在学术声誉不佳期刊发表的论文不加分。</w:t>
      </w:r>
    </w:p>
    <w:p>
      <w:pPr>
        <w:spacing w:line="560" w:lineRule="exact"/>
        <w:ind w:firstLine="562" w:firstLineChars="200"/>
        <w:rPr>
          <w:rFonts w:ascii="Times New Roman" w:hAnsi="Times New Roman" w:eastAsia="仿宋_GB2312"/>
          <w:b/>
          <w:color w:val="000000" w:themeColor="text1"/>
          <w:sz w:val="28"/>
          <w:szCs w:val="28"/>
          <w14:textFill>
            <w14:solidFill>
              <w14:schemeClr w14:val="tx1"/>
            </w14:solidFill>
          </w14:textFill>
        </w:rPr>
      </w:pPr>
      <w:r>
        <w:rPr>
          <w:rFonts w:hint="eastAsia" w:ascii="Times New Roman" w:hAnsi="Times New Roman" w:eastAsia="仿宋_GB2312"/>
          <w:b/>
          <w:color w:val="000000" w:themeColor="text1"/>
          <w:sz w:val="28"/>
          <w:szCs w:val="28"/>
          <w14:textFill>
            <w14:solidFill>
              <w14:schemeClr w14:val="tx1"/>
            </w14:solidFill>
          </w14:textFill>
        </w:rPr>
        <w:t>2．创新创业类（</w:t>
      </w:r>
      <w:r>
        <w:rPr>
          <w:rFonts w:hint="eastAsia" w:ascii="Times New Roman" w:hAnsi="Times New Roman" w:eastAsia="仿宋_GB2312"/>
          <w:b/>
          <w:bCs/>
          <w:color w:val="000000" w:themeColor="text1"/>
          <w:sz w:val="28"/>
          <w:szCs w:val="28"/>
          <w14:textFill>
            <w14:solidFill>
              <w14:schemeClr w14:val="tx1"/>
            </w14:solidFill>
          </w14:textFill>
        </w:rPr>
        <w:t>满分</w:t>
      </w:r>
      <w:r>
        <w:rPr>
          <w:rFonts w:hint="eastAsia" w:ascii="Times New Roman" w:hAnsi="Times New Roman" w:eastAsia="仿宋_GB2312"/>
          <w:b/>
          <w:color w:val="000000" w:themeColor="text1"/>
          <w:sz w:val="28"/>
          <w:szCs w:val="28"/>
          <w14:textFill>
            <w14:solidFill>
              <w14:schemeClr w14:val="tx1"/>
            </w14:solidFill>
          </w14:textFill>
        </w:rPr>
        <w:t>20分）</w:t>
      </w:r>
    </w:p>
    <w:p>
      <w:pPr>
        <w:widowControl/>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color w:val="000000" w:themeColor="text1"/>
          <w:sz w:val="28"/>
          <w:szCs w:val="28"/>
          <w14:textFill>
            <w14:solidFill>
              <w14:schemeClr w14:val="tx1"/>
            </w14:solidFill>
          </w14:textFill>
        </w:rPr>
        <w:t>参加学校统一组织的大学生创新创业项目、科研创新项目立项并获奖。同一学生在此类的同一方面有多项加分情况，只计一项。与直系亲属或学历，职称，职务明显高于本人合作的竞赛，不纳入学生本人推免综合成绩体系，</w:t>
      </w:r>
      <w:r>
        <w:rPr>
          <w:rFonts w:hint="eastAsia" w:ascii="仿宋_GB2312" w:eastAsia="仿宋_GB2312"/>
          <w:sz w:val="28"/>
          <w:szCs w:val="28"/>
        </w:rPr>
        <w:t>加分明细见表2加分内容见表</w:t>
      </w:r>
      <w:r>
        <w:rPr>
          <w:rFonts w:ascii="仿宋_GB2312" w:eastAsia="仿宋_GB2312"/>
          <w:sz w:val="28"/>
          <w:szCs w:val="28"/>
        </w:rPr>
        <w:t>3</w:t>
      </w:r>
      <w:r>
        <w:rPr>
          <w:rFonts w:hint="eastAsia" w:ascii="仿宋_GB2312" w:eastAsia="仿宋_GB2312"/>
          <w:sz w:val="28"/>
          <w:szCs w:val="28"/>
        </w:rPr>
        <w:t>。</w:t>
      </w:r>
    </w:p>
    <w:p>
      <w:pPr>
        <w:widowControl/>
        <w:jc w:val="center"/>
        <w:rPr>
          <w:rFonts w:ascii="仿宋_GB2312" w:hAnsi="Times New Roman" w:eastAsia="仿宋_GB2312" w:cs="Times New Roman"/>
          <w:b/>
          <w:sz w:val="24"/>
          <w:szCs w:val="24"/>
        </w:rPr>
      </w:pPr>
      <w:r>
        <w:rPr>
          <w:rFonts w:hint="eastAsia" w:ascii="仿宋_GB2312" w:hAnsi="Times New Roman" w:eastAsia="仿宋_GB2312" w:cs="宋体"/>
          <w:b/>
          <w:bCs/>
          <w:kern w:val="0"/>
          <w:sz w:val="24"/>
          <w:szCs w:val="24"/>
        </w:rPr>
        <w:t>表</w:t>
      </w:r>
      <w:r>
        <w:rPr>
          <w:rFonts w:ascii="仿宋_GB2312" w:hAnsi="Times New Roman" w:eastAsia="仿宋_GB2312" w:cs="宋体"/>
          <w:b/>
          <w:bCs/>
          <w:kern w:val="0"/>
          <w:sz w:val="24"/>
          <w:szCs w:val="24"/>
        </w:rPr>
        <w:t>2</w:t>
      </w:r>
      <w:r>
        <w:rPr>
          <w:rFonts w:hint="eastAsia" w:ascii="仿宋_GB2312" w:hAnsi="Times New Roman" w:eastAsia="仿宋_GB2312" w:cs="宋体"/>
          <w:b/>
          <w:bCs/>
          <w:kern w:val="0"/>
          <w:sz w:val="24"/>
          <w:szCs w:val="24"/>
        </w:rPr>
        <w:t>：</w:t>
      </w:r>
      <w:r>
        <w:rPr>
          <w:rFonts w:hint="eastAsia" w:ascii="仿宋_GB2312" w:hAnsi="Times New Roman" w:eastAsia="仿宋_GB2312" w:cs="Times New Roman"/>
          <w:b/>
          <w:sz w:val="24"/>
          <w:szCs w:val="24"/>
        </w:rPr>
        <w:t>创新创业类加分</w:t>
      </w:r>
    </w:p>
    <w:tbl>
      <w:tblPr>
        <w:tblStyle w:val="9"/>
        <w:tblW w:w="8639"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2552"/>
        <w:gridCol w:w="6087"/>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552" w:type="dxa"/>
            <w:tcBorders>
              <w:top w:val="outset" w:color="auto" w:sz="6" w:space="0"/>
              <w:left w:val="outset" w:color="auto" w:sz="6" w:space="0"/>
              <w:bottom w:val="outset" w:color="auto" w:sz="6" w:space="0"/>
              <w:right w:val="outset" w:color="auto" w:sz="6" w:space="0"/>
            </w:tcBorders>
          </w:tcPr>
          <w:p>
            <w:pPr>
              <w:widowControl/>
              <w:jc w:val="center"/>
              <w:rPr>
                <w:rFonts w:ascii="仿宋_GB2312" w:hAnsi="Times New Roman" w:eastAsia="仿宋_GB2312" w:cs="Times New Roman"/>
                <w:b/>
                <w:sz w:val="24"/>
                <w:szCs w:val="24"/>
              </w:rPr>
            </w:pPr>
            <w:r>
              <w:rPr>
                <w:rFonts w:hint="eastAsia" w:ascii="仿宋_GB2312" w:hAnsi="Times New Roman" w:eastAsia="仿宋_GB2312" w:cs="Times New Roman"/>
                <w:b/>
                <w:sz w:val="24"/>
                <w:szCs w:val="24"/>
              </w:rPr>
              <w:t>等级</w:t>
            </w:r>
          </w:p>
        </w:tc>
        <w:tc>
          <w:tcPr>
            <w:tcW w:w="6087" w:type="dxa"/>
            <w:tcBorders>
              <w:top w:val="outset" w:color="auto" w:sz="6" w:space="0"/>
              <w:left w:val="outset" w:color="auto" w:sz="6" w:space="0"/>
              <w:bottom w:val="outset" w:color="auto" w:sz="6" w:space="0"/>
              <w:right w:val="outset" w:color="auto" w:sz="6" w:space="0"/>
            </w:tcBorders>
          </w:tcPr>
          <w:p>
            <w:pPr>
              <w:widowControl/>
              <w:jc w:val="center"/>
              <w:rPr>
                <w:rFonts w:ascii="仿宋_GB2312" w:hAnsi="Times New Roman" w:eastAsia="仿宋_GB2312" w:cs="Times New Roman"/>
                <w:b/>
                <w:sz w:val="24"/>
                <w:szCs w:val="24"/>
              </w:rPr>
            </w:pPr>
            <w:r>
              <w:rPr>
                <w:rFonts w:hint="eastAsia" w:ascii="仿宋_GB2312" w:hAnsi="Times New Roman" w:eastAsia="仿宋_GB2312" w:cs="Times New Roman"/>
                <w:b/>
                <w:sz w:val="24"/>
                <w:szCs w:val="24"/>
              </w:rPr>
              <w:t>加分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0" w:hRule="atLeast"/>
          <w:jc w:val="center"/>
        </w:trPr>
        <w:tc>
          <w:tcPr>
            <w:tcW w:w="2552" w:type="dxa"/>
            <w:tcBorders>
              <w:top w:val="outset" w:color="auto" w:sz="6" w:space="0"/>
              <w:left w:val="outset" w:color="auto" w:sz="6" w:space="0"/>
              <w:bottom w:val="outset" w:color="auto" w:sz="6" w:space="0"/>
              <w:right w:val="outset" w:color="auto" w:sz="6" w:space="0"/>
            </w:tcBorders>
            <w:vAlign w:val="center"/>
          </w:tcPr>
          <w:p>
            <w:pPr>
              <w:widowControl/>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国家级</w:t>
            </w:r>
          </w:p>
        </w:tc>
        <w:tc>
          <w:tcPr>
            <w:tcW w:w="6087" w:type="dxa"/>
            <w:tcBorders>
              <w:top w:val="outset" w:color="auto" w:sz="6" w:space="0"/>
              <w:left w:val="outset" w:color="auto" w:sz="6" w:space="0"/>
              <w:bottom w:val="outset" w:color="auto" w:sz="6" w:space="0"/>
              <w:right w:val="outset" w:color="auto" w:sz="6" w:space="0"/>
            </w:tcBorders>
            <w:vAlign w:val="center"/>
          </w:tcPr>
          <w:p>
            <w:pPr>
              <w:widowControl/>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第一负责学生加</w:t>
            </w:r>
            <w:r>
              <w:rPr>
                <w:rFonts w:ascii="仿宋_GB2312" w:hAnsi="Times New Roman" w:eastAsia="仿宋_GB2312" w:cs="Times New Roman"/>
                <w:sz w:val="24"/>
                <w:szCs w:val="24"/>
              </w:rPr>
              <w:t>10分，成员加5分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44" w:hRule="atLeast"/>
          <w:jc w:val="center"/>
        </w:trPr>
        <w:tc>
          <w:tcPr>
            <w:tcW w:w="2552" w:type="dxa"/>
            <w:tcBorders>
              <w:top w:val="outset" w:color="auto" w:sz="6" w:space="0"/>
              <w:left w:val="outset" w:color="auto" w:sz="6" w:space="0"/>
              <w:bottom w:val="outset" w:color="auto" w:sz="6" w:space="0"/>
              <w:right w:val="outset" w:color="auto" w:sz="6" w:space="0"/>
            </w:tcBorders>
            <w:vAlign w:val="center"/>
          </w:tcPr>
          <w:p>
            <w:pPr>
              <w:widowControl/>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省级</w:t>
            </w:r>
          </w:p>
        </w:tc>
        <w:tc>
          <w:tcPr>
            <w:tcW w:w="6087" w:type="dxa"/>
            <w:tcBorders>
              <w:top w:val="outset" w:color="auto" w:sz="6" w:space="0"/>
              <w:left w:val="outset" w:color="auto" w:sz="6" w:space="0"/>
              <w:bottom w:val="outset" w:color="auto" w:sz="6" w:space="0"/>
              <w:right w:val="outset" w:color="auto" w:sz="6" w:space="0"/>
            </w:tcBorders>
            <w:vAlign w:val="center"/>
          </w:tcPr>
          <w:p>
            <w:pPr>
              <w:widowControl/>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第一负责学生加</w:t>
            </w:r>
            <w:r>
              <w:rPr>
                <w:rFonts w:ascii="仿宋_GB2312" w:hAnsi="Times New Roman" w:eastAsia="仿宋_GB2312" w:cs="Times New Roman"/>
                <w:sz w:val="24"/>
                <w:szCs w:val="24"/>
              </w:rPr>
              <w:t>8分，成员加4分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0" w:hRule="atLeast"/>
          <w:jc w:val="center"/>
        </w:trPr>
        <w:tc>
          <w:tcPr>
            <w:tcW w:w="2552" w:type="dxa"/>
            <w:tcBorders>
              <w:top w:val="outset" w:color="auto" w:sz="6" w:space="0"/>
              <w:left w:val="outset" w:color="auto" w:sz="6" w:space="0"/>
              <w:bottom w:val="outset" w:color="auto" w:sz="6" w:space="0"/>
              <w:right w:val="outset" w:color="auto" w:sz="6" w:space="0"/>
            </w:tcBorders>
            <w:vAlign w:val="center"/>
          </w:tcPr>
          <w:p>
            <w:pPr>
              <w:widowControl/>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校级</w:t>
            </w:r>
          </w:p>
        </w:tc>
        <w:tc>
          <w:tcPr>
            <w:tcW w:w="6087" w:type="dxa"/>
            <w:tcBorders>
              <w:top w:val="outset" w:color="auto" w:sz="6" w:space="0"/>
              <w:left w:val="outset" w:color="auto" w:sz="6" w:space="0"/>
              <w:bottom w:val="outset" w:color="auto" w:sz="6" w:space="0"/>
              <w:right w:val="outset" w:color="auto" w:sz="6" w:space="0"/>
            </w:tcBorders>
            <w:vAlign w:val="center"/>
          </w:tcPr>
          <w:p>
            <w:pPr>
              <w:widowControl/>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第一负责学生加</w:t>
            </w:r>
            <w:r>
              <w:rPr>
                <w:rFonts w:ascii="仿宋_GB2312" w:hAnsi="Times New Roman" w:eastAsia="仿宋_GB2312" w:cs="Times New Roman"/>
                <w:sz w:val="24"/>
                <w:szCs w:val="24"/>
              </w:rPr>
              <w:t>6分，成员加3分</w:t>
            </w:r>
          </w:p>
        </w:tc>
      </w:tr>
    </w:tbl>
    <w:p>
      <w:pPr>
        <w:widowControl/>
        <w:ind w:firstLine="482" w:firstLineChars="200"/>
        <w:jc w:val="center"/>
        <w:rPr>
          <w:rFonts w:ascii="仿宋_GB2312" w:eastAsia="仿宋_GB2312"/>
          <w:sz w:val="24"/>
          <w:szCs w:val="24"/>
        </w:rPr>
      </w:pPr>
      <w:r>
        <w:rPr>
          <w:rFonts w:hint="eastAsia" w:ascii="仿宋_GB2312" w:eastAsia="仿宋_GB2312"/>
          <w:b/>
          <w:sz w:val="24"/>
          <w:szCs w:val="24"/>
        </w:rPr>
        <w:t>注释：</w:t>
      </w:r>
      <w:r>
        <w:rPr>
          <w:rFonts w:hint="eastAsia" w:ascii="仿宋_GB2312" w:hAnsi="Times New Roman" w:eastAsia="仿宋_GB2312"/>
          <w:sz w:val="24"/>
          <w:szCs w:val="24"/>
        </w:rPr>
        <w:t>成果入选该项目论文集，第一负责人再加</w:t>
      </w:r>
      <w:r>
        <w:rPr>
          <w:rFonts w:ascii="仿宋_GB2312" w:hAnsi="Times New Roman" w:eastAsia="仿宋_GB2312"/>
          <w:sz w:val="24"/>
          <w:szCs w:val="24"/>
        </w:rPr>
        <w:t>3分</w:t>
      </w:r>
      <w:r>
        <w:rPr>
          <w:rFonts w:hint="eastAsia" w:ascii="仿宋_GB2312" w:hAnsi="Times New Roman" w:eastAsia="仿宋_GB2312"/>
          <w:sz w:val="24"/>
          <w:szCs w:val="24"/>
        </w:rPr>
        <w:t>，成员加</w:t>
      </w:r>
      <w:r>
        <w:rPr>
          <w:rFonts w:ascii="仿宋_GB2312" w:hAnsi="Times New Roman" w:eastAsia="仿宋_GB2312"/>
          <w:sz w:val="24"/>
          <w:szCs w:val="24"/>
        </w:rPr>
        <w:t>1.5</w:t>
      </w:r>
      <w:r>
        <w:rPr>
          <w:rFonts w:hint="eastAsia" w:ascii="仿宋_GB2312" w:hAnsi="Times New Roman" w:eastAsia="仿宋_GB2312"/>
          <w:sz w:val="24"/>
          <w:szCs w:val="24"/>
        </w:rPr>
        <w:t>分。</w:t>
      </w:r>
    </w:p>
    <w:p>
      <w:pPr>
        <w:widowControl/>
        <w:spacing w:line="560" w:lineRule="exact"/>
        <w:ind w:firstLine="482" w:firstLineChars="200"/>
        <w:jc w:val="center"/>
        <w:rPr>
          <w:rFonts w:ascii="Times New Roman" w:hAnsi="Times New Roman" w:eastAsia="仿宋_GB2312"/>
          <w:b/>
          <w:bCs/>
          <w:color w:val="000000" w:themeColor="text1"/>
          <w:sz w:val="28"/>
          <w:szCs w:val="28"/>
          <w14:textFill>
            <w14:solidFill>
              <w14:schemeClr w14:val="tx1"/>
            </w14:solidFill>
          </w14:textFill>
        </w:rPr>
      </w:pPr>
      <w:r>
        <w:rPr>
          <w:rFonts w:hint="eastAsia" w:ascii="仿宋_GB2312" w:hAnsi="Times New Roman" w:eastAsia="仿宋_GB2312"/>
          <w:b/>
          <w:bCs/>
          <w:sz w:val="24"/>
          <w:szCs w:val="24"/>
        </w:rPr>
        <w:t>表</w:t>
      </w:r>
      <w:r>
        <w:rPr>
          <w:rFonts w:ascii="仿宋_GB2312" w:hAnsi="Times New Roman" w:eastAsia="仿宋_GB2312"/>
          <w:b/>
          <w:bCs/>
          <w:sz w:val="24"/>
          <w:szCs w:val="24"/>
        </w:rPr>
        <w:t>3</w:t>
      </w:r>
      <w:r>
        <w:rPr>
          <w:rFonts w:hint="eastAsia" w:ascii="仿宋_GB2312" w:hAnsi="Times New Roman" w:eastAsia="仿宋_GB2312"/>
          <w:b/>
          <w:bCs/>
          <w:sz w:val="24"/>
          <w:szCs w:val="24"/>
        </w:rPr>
        <w:t>：创新创业类</w:t>
      </w:r>
    </w:p>
    <w:tbl>
      <w:tblPr>
        <w:tblStyle w:val="9"/>
        <w:tblW w:w="8765" w:type="dxa"/>
        <w:jc w:val="center"/>
        <w:tblLayout w:type="autofit"/>
        <w:tblCellMar>
          <w:top w:w="0" w:type="dxa"/>
          <w:left w:w="108" w:type="dxa"/>
          <w:bottom w:w="0" w:type="dxa"/>
          <w:right w:w="108" w:type="dxa"/>
        </w:tblCellMar>
      </w:tblPr>
      <w:tblGrid>
        <w:gridCol w:w="2102"/>
        <w:gridCol w:w="3471"/>
        <w:gridCol w:w="3192"/>
      </w:tblGrid>
      <w:tr>
        <w:tblPrEx>
          <w:tblCellMar>
            <w:top w:w="0" w:type="dxa"/>
            <w:left w:w="108" w:type="dxa"/>
            <w:bottom w:w="0" w:type="dxa"/>
            <w:right w:w="108" w:type="dxa"/>
          </w:tblCellMar>
        </w:tblPrEx>
        <w:trPr>
          <w:trHeight w:val="20" w:hRule="atLeast"/>
          <w:jc w:val="center"/>
        </w:trPr>
        <w:tc>
          <w:tcPr>
            <w:tcW w:w="2102" w:type="dxa"/>
            <w:tcBorders>
              <w:top w:val="single" w:color="auto" w:sz="4" w:space="0"/>
              <w:left w:val="single" w:color="auto" w:sz="4" w:space="0"/>
              <w:bottom w:val="single" w:color="000000" w:sz="4" w:space="0"/>
              <w:right w:val="single" w:color="auto" w:sz="4" w:space="0"/>
            </w:tcBorders>
            <w:vAlign w:val="center"/>
          </w:tcPr>
          <w:p>
            <w:pPr>
              <w:pStyle w:val="16"/>
              <w:rPr>
                <w:b/>
                <w:color w:val="000000" w:themeColor="text1"/>
                <w14:textFill>
                  <w14:solidFill>
                    <w14:schemeClr w14:val="tx1"/>
                  </w14:solidFill>
                </w14:textFill>
              </w:rPr>
            </w:pPr>
            <w:r>
              <w:rPr>
                <w:rFonts w:hint="eastAsia"/>
                <w:b/>
                <w:color w:val="000000" w:themeColor="text1"/>
                <w14:textFill>
                  <w14:solidFill>
                    <w14:schemeClr w14:val="tx1"/>
                  </w14:solidFill>
                </w14:textFill>
              </w:rPr>
              <w:t>方 面</w:t>
            </w:r>
          </w:p>
        </w:tc>
        <w:tc>
          <w:tcPr>
            <w:tcW w:w="3471" w:type="dxa"/>
            <w:tcBorders>
              <w:top w:val="single" w:color="auto" w:sz="4" w:space="0"/>
              <w:left w:val="nil"/>
              <w:bottom w:val="single" w:color="auto" w:sz="4" w:space="0"/>
              <w:right w:val="single" w:color="auto" w:sz="4" w:space="0"/>
            </w:tcBorders>
            <w:vAlign w:val="center"/>
          </w:tcPr>
          <w:p>
            <w:pPr>
              <w:pStyle w:val="16"/>
              <w:rPr>
                <w:b/>
                <w:color w:val="000000" w:themeColor="text1"/>
                <w14:textFill>
                  <w14:solidFill>
                    <w14:schemeClr w14:val="tx1"/>
                  </w14:solidFill>
                </w14:textFill>
              </w:rPr>
            </w:pPr>
            <w:r>
              <w:rPr>
                <w:rFonts w:hint="eastAsia"/>
                <w:b/>
                <w:color w:val="000000" w:themeColor="text1"/>
                <w14:textFill>
                  <w14:solidFill>
                    <w14:schemeClr w14:val="tx1"/>
                  </w14:solidFill>
                </w14:textFill>
              </w:rPr>
              <w:t>活动、比赛</w:t>
            </w:r>
          </w:p>
        </w:tc>
        <w:tc>
          <w:tcPr>
            <w:tcW w:w="3192" w:type="dxa"/>
            <w:tcBorders>
              <w:top w:val="single" w:color="auto" w:sz="4" w:space="0"/>
              <w:left w:val="single" w:color="auto" w:sz="4" w:space="0"/>
              <w:bottom w:val="single" w:color="000000" w:sz="4" w:space="0"/>
              <w:right w:val="single" w:color="auto" w:sz="4" w:space="0"/>
            </w:tcBorders>
            <w:vAlign w:val="center"/>
          </w:tcPr>
          <w:p>
            <w:pPr>
              <w:pStyle w:val="16"/>
              <w:rPr>
                <w:b/>
                <w:color w:val="000000" w:themeColor="text1"/>
                <w14:textFill>
                  <w14:solidFill>
                    <w14:schemeClr w14:val="tx1"/>
                  </w14:solidFill>
                </w14:textFill>
              </w:rPr>
            </w:pPr>
            <w:r>
              <w:rPr>
                <w:rFonts w:hint="eastAsia"/>
                <w:b/>
                <w:color w:val="000000" w:themeColor="text1"/>
                <w14:textFill>
                  <w14:solidFill>
                    <w14:schemeClr w14:val="tx1"/>
                  </w14:solidFill>
                </w14:textFill>
              </w:rPr>
              <w:t>级别和加分</w:t>
            </w:r>
          </w:p>
        </w:tc>
      </w:tr>
      <w:tr>
        <w:tblPrEx>
          <w:tblCellMar>
            <w:top w:w="0" w:type="dxa"/>
            <w:left w:w="108" w:type="dxa"/>
            <w:bottom w:w="0" w:type="dxa"/>
            <w:right w:w="108" w:type="dxa"/>
          </w:tblCellMar>
        </w:tblPrEx>
        <w:trPr>
          <w:trHeight w:val="20" w:hRule="atLeast"/>
          <w:jc w:val="center"/>
        </w:trPr>
        <w:tc>
          <w:tcPr>
            <w:tcW w:w="2102" w:type="dxa"/>
            <w:vMerge w:val="restart"/>
            <w:tcBorders>
              <w:top w:val="single" w:color="auto" w:sz="4" w:space="0"/>
              <w:left w:val="single" w:color="auto" w:sz="4" w:space="0"/>
              <w:right w:val="single" w:color="auto" w:sz="4"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创新创业竞赛获奖方面（可协商调整明细）</w:t>
            </w:r>
          </w:p>
        </w:tc>
        <w:tc>
          <w:tcPr>
            <w:tcW w:w="3471" w:type="dxa"/>
            <w:tcBorders>
              <w:top w:val="single" w:color="auto" w:sz="4" w:space="0"/>
              <w:left w:val="nil"/>
              <w:bottom w:val="single" w:color="auto" w:sz="4" w:space="0"/>
              <w:right w:val="single" w:color="auto" w:sz="4"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“挑战杯”大学生课外学术科技作品竞赛；“挑战杯”中国大学生创业计划竞赛（不含专项赛）</w:t>
            </w:r>
          </w:p>
        </w:tc>
        <w:tc>
          <w:tcPr>
            <w:tcW w:w="3192" w:type="dxa"/>
            <w:vMerge w:val="restart"/>
            <w:tcBorders>
              <w:top w:val="single" w:color="auto" w:sz="4" w:space="0"/>
              <w:left w:val="single" w:color="auto" w:sz="4" w:space="0"/>
              <w:bottom w:val="single" w:color="000000" w:sz="4" w:space="0"/>
              <w:right w:val="single" w:color="auto" w:sz="4"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除符合拔尖项目加分规则的学生外，其他项目组成员全员加分相同。</w:t>
            </w:r>
          </w:p>
        </w:tc>
      </w:tr>
      <w:tr>
        <w:tblPrEx>
          <w:tblCellMar>
            <w:top w:w="0" w:type="dxa"/>
            <w:left w:w="108" w:type="dxa"/>
            <w:bottom w:w="0" w:type="dxa"/>
            <w:right w:w="108" w:type="dxa"/>
          </w:tblCellMar>
        </w:tblPrEx>
        <w:trPr>
          <w:trHeight w:val="20" w:hRule="atLeast"/>
          <w:jc w:val="center"/>
        </w:trPr>
        <w:tc>
          <w:tcPr>
            <w:tcW w:w="2102" w:type="dxa"/>
            <w:vMerge w:val="continue"/>
            <w:tcBorders>
              <w:left w:val="single" w:color="auto" w:sz="4" w:space="0"/>
              <w:right w:val="single" w:color="auto" w:sz="4" w:space="0"/>
            </w:tcBorders>
            <w:vAlign w:val="center"/>
          </w:tcPr>
          <w:p>
            <w:pPr>
              <w:pStyle w:val="16"/>
              <w:rPr>
                <w:color w:val="000000" w:themeColor="text1"/>
                <w14:textFill>
                  <w14:solidFill>
                    <w14:schemeClr w14:val="tx1"/>
                  </w14:solidFill>
                </w14:textFill>
              </w:rPr>
            </w:pPr>
          </w:p>
        </w:tc>
        <w:tc>
          <w:tcPr>
            <w:tcW w:w="3471" w:type="dxa"/>
            <w:tcBorders>
              <w:top w:val="nil"/>
              <w:left w:val="nil"/>
              <w:bottom w:val="single" w:color="auto" w:sz="4" w:space="0"/>
              <w:right w:val="single" w:color="auto" w:sz="4"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“创青春”大学生创业大赛</w:t>
            </w:r>
          </w:p>
        </w:tc>
        <w:tc>
          <w:tcPr>
            <w:tcW w:w="3192" w:type="dxa"/>
            <w:vMerge w:val="continue"/>
            <w:tcBorders>
              <w:top w:val="single" w:color="auto" w:sz="4" w:space="0"/>
              <w:left w:val="single" w:color="auto" w:sz="4" w:space="0"/>
              <w:bottom w:val="single" w:color="000000" w:sz="4" w:space="0"/>
              <w:right w:val="single" w:color="auto" w:sz="4" w:space="0"/>
            </w:tcBorders>
            <w:vAlign w:val="center"/>
          </w:tcPr>
          <w:p>
            <w:pPr>
              <w:pStyle w:val="16"/>
              <w:rPr>
                <w:color w:val="000000" w:themeColor="text1"/>
                <w14:textFill>
                  <w14:solidFill>
                    <w14:schemeClr w14:val="tx1"/>
                  </w14:solidFill>
                </w14:textFill>
              </w:rPr>
            </w:pPr>
          </w:p>
        </w:tc>
      </w:tr>
      <w:tr>
        <w:tblPrEx>
          <w:tblCellMar>
            <w:top w:w="0" w:type="dxa"/>
            <w:left w:w="108" w:type="dxa"/>
            <w:bottom w:w="0" w:type="dxa"/>
            <w:right w:w="108" w:type="dxa"/>
          </w:tblCellMar>
        </w:tblPrEx>
        <w:trPr>
          <w:trHeight w:val="20" w:hRule="atLeast"/>
          <w:jc w:val="center"/>
        </w:trPr>
        <w:tc>
          <w:tcPr>
            <w:tcW w:w="2102" w:type="dxa"/>
            <w:vMerge w:val="continue"/>
            <w:tcBorders>
              <w:left w:val="single" w:color="auto" w:sz="4" w:space="0"/>
              <w:right w:val="single" w:color="auto" w:sz="4" w:space="0"/>
            </w:tcBorders>
            <w:vAlign w:val="center"/>
          </w:tcPr>
          <w:p>
            <w:pPr>
              <w:pStyle w:val="16"/>
              <w:rPr>
                <w:color w:val="000000" w:themeColor="text1"/>
                <w14:textFill>
                  <w14:solidFill>
                    <w14:schemeClr w14:val="tx1"/>
                  </w14:solidFill>
                </w14:textFill>
              </w:rPr>
            </w:pPr>
          </w:p>
        </w:tc>
        <w:tc>
          <w:tcPr>
            <w:tcW w:w="3471" w:type="dxa"/>
            <w:tcBorders>
              <w:top w:val="nil"/>
              <w:left w:val="nil"/>
              <w:bottom w:val="single" w:color="auto" w:sz="4" w:space="0"/>
              <w:right w:val="single" w:color="auto" w:sz="4"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“互联网+”大学生创新创业大赛</w:t>
            </w:r>
          </w:p>
        </w:tc>
        <w:tc>
          <w:tcPr>
            <w:tcW w:w="3192" w:type="dxa"/>
            <w:vMerge w:val="continue"/>
            <w:tcBorders>
              <w:top w:val="single" w:color="auto" w:sz="4" w:space="0"/>
              <w:left w:val="single" w:color="auto" w:sz="4" w:space="0"/>
              <w:bottom w:val="single" w:color="000000" w:sz="4" w:space="0"/>
              <w:right w:val="single" w:color="auto" w:sz="4" w:space="0"/>
            </w:tcBorders>
            <w:vAlign w:val="center"/>
          </w:tcPr>
          <w:p>
            <w:pPr>
              <w:pStyle w:val="16"/>
              <w:rPr>
                <w:color w:val="000000" w:themeColor="text1"/>
                <w14:textFill>
                  <w14:solidFill>
                    <w14:schemeClr w14:val="tx1"/>
                  </w14:solidFill>
                </w14:textFill>
              </w:rPr>
            </w:pPr>
          </w:p>
        </w:tc>
      </w:tr>
      <w:tr>
        <w:trPr>
          <w:trHeight w:val="20" w:hRule="atLeast"/>
          <w:jc w:val="center"/>
        </w:trPr>
        <w:tc>
          <w:tcPr>
            <w:tcW w:w="2102" w:type="dxa"/>
            <w:vMerge w:val="continue"/>
            <w:tcBorders>
              <w:left w:val="single" w:color="auto" w:sz="4" w:space="0"/>
              <w:bottom w:val="single" w:color="000000" w:sz="4" w:space="0"/>
              <w:right w:val="single" w:color="auto" w:sz="4" w:space="0"/>
            </w:tcBorders>
            <w:vAlign w:val="center"/>
          </w:tcPr>
          <w:p>
            <w:pPr>
              <w:pStyle w:val="16"/>
              <w:rPr>
                <w:color w:val="000000" w:themeColor="text1"/>
                <w14:textFill>
                  <w14:solidFill>
                    <w14:schemeClr w14:val="tx1"/>
                  </w14:solidFill>
                </w14:textFill>
              </w:rPr>
            </w:pPr>
          </w:p>
        </w:tc>
        <w:tc>
          <w:tcPr>
            <w:tcW w:w="3471" w:type="dxa"/>
            <w:tcBorders>
              <w:top w:val="nil"/>
              <w:left w:val="nil"/>
              <w:bottom w:val="single" w:color="auto" w:sz="4" w:space="0"/>
              <w:right w:val="single" w:color="auto" w:sz="4"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学校光华杯创新创业大赛和学校挑战杯创新创业大赛</w:t>
            </w:r>
          </w:p>
        </w:tc>
        <w:tc>
          <w:tcPr>
            <w:tcW w:w="3192" w:type="dxa"/>
            <w:tcBorders>
              <w:top w:val="single" w:color="auto" w:sz="4" w:space="0"/>
              <w:left w:val="single" w:color="auto" w:sz="4" w:space="0"/>
              <w:bottom w:val="single" w:color="000000" w:sz="4" w:space="0"/>
              <w:right w:val="single" w:color="auto" w:sz="4"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加分参照乘以系数0.5.</w:t>
            </w:r>
          </w:p>
        </w:tc>
      </w:tr>
      <w:tr>
        <w:tblPrEx>
          <w:tblCellMar>
            <w:top w:w="0" w:type="dxa"/>
            <w:left w:w="108" w:type="dxa"/>
            <w:bottom w:w="0" w:type="dxa"/>
            <w:right w:w="108" w:type="dxa"/>
          </w:tblCellMar>
        </w:tblPrEx>
        <w:trPr>
          <w:trHeight w:val="20" w:hRule="atLeast"/>
          <w:jc w:val="center"/>
        </w:trPr>
        <w:tc>
          <w:tcPr>
            <w:tcW w:w="2102" w:type="dxa"/>
            <w:tcBorders>
              <w:left w:val="single" w:color="auto" w:sz="4" w:space="0"/>
              <w:bottom w:val="single" w:color="000000" w:sz="4" w:space="0"/>
              <w:right w:val="single" w:color="auto" w:sz="4"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创新创业训练项目方面</w:t>
            </w:r>
          </w:p>
        </w:tc>
        <w:tc>
          <w:tcPr>
            <w:tcW w:w="3471" w:type="dxa"/>
            <w:tcBorders>
              <w:top w:val="nil"/>
              <w:left w:val="nil"/>
              <w:bottom w:val="single" w:color="auto" w:sz="4" w:space="0"/>
              <w:right w:val="single" w:color="auto" w:sz="4"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国家级（省级）创新训练计划项目结项；国家级（省级）创业训练计划项目结项； </w:t>
            </w:r>
          </w:p>
        </w:tc>
        <w:tc>
          <w:tcPr>
            <w:tcW w:w="3192" w:type="dxa"/>
            <w:tcBorders>
              <w:top w:val="single" w:color="auto" w:sz="4" w:space="0"/>
              <w:left w:val="single" w:color="auto" w:sz="4" w:space="0"/>
              <w:bottom w:val="single" w:color="000000" w:sz="4" w:space="0"/>
              <w:right w:val="single" w:color="auto" w:sz="4"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获得立项未获奖乘系数0.5.</w:t>
            </w:r>
          </w:p>
        </w:tc>
      </w:tr>
      <w:tr>
        <w:tblPrEx>
          <w:tblCellMar>
            <w:top w:w="0" w:type="dxa"/>
            <w:left w:w="108" w:type="dxa"/>
            <w:bottom w:w="0" w:type="dxa"/>
            <w:right w:w="108" w:type="dxa"/>
          </w:tblCellMar>
        </w:tblPrEx>
        <w:trPr>
          <w:trHeight w:val="20" w:hRule="atLeast"/>
          <w:jc w:val="center"/>
        </w:trPr>
        <w:tc>
          <w:tcPr>
            <w:tcW w:w="2102" w:type="dxa"/>
            <w:tcBorders>
              <w:top w:val="nil"/>
              <w:left w:val="single" w:color="auto" w:sz="4" w:space="0"/>
              <w:bottom w:val="single" w:color="auto" w:sz="4" w:space="0"/>
              <w:right w:val="single" w:color="auto" w:sz="4"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科研创新项目方面</w:t>
            </w:r>
          </w:p>
        </w:tc>
        <w:tc>
          <w:tcPr>
            <w:tcW w:w="3471" w:type="dxa"/>
            <w:tcBorders>
              <w:top w:val="nil"/>
              <w:left w:val="nil"/>
              <w:bottom w:val="single" w:color="auto" w:sz="4" w:space="0"/>
              <w:right w:val="single" w:color="auto" w:sz="4"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西南财经大学本科生科研创新项目的重点创新型项目并结项为A（优秀）</w:t>
            </w:r>
          </w:p>
        </w:tc>
        <w:tc>
          <w:tcPr>
            <w:tcW w:w="3192" w:type="dxa"/>
            <w:tcBorders>
              <w:top w:val="nil"/>
              <w:left w:val="nil"/>
              <w:bottom w:val="single" w:color="auto" w:sz="4" w:space="0"/>
              <w:right w:val="single" w:color="auto" w:sz="4"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获得立项未获奖乘系数0.5.</w:t>
            </w:r>
          </w:p>
        </w:tc>
      </w:tr>
    </w:tbl>
    <w:p>
      <w:pPr>
        <w:widowControl/>
        <w:spacing w:line="560" w:lineRule="exact"/>
        <w:ind w:firstLine="562" w:firstLineChars="200"/>
        <w:rPr>
          <w:rFonts w:ascii="Times New Roman" w:hAnsi="Times New Roman" w:eastAsia="仿宋_GB2312"/>
          <w:b/>
          <w:color w:val="000000" w:themeColor="text1"/>
          <w:sz w:val="28"/>
          <w:szCs w:val="28"/>
          <w14:textFill>
            <w14:solidFill>
              <w14:schemeClr w14:val="tx1"/>
            </w14:solidFill>
          </w14:textFill>
        </w:rPr>
      </w:pPr>
      <w:r>
        <w:rPr>
          <w:rFonts w:hint="eastAsia" w:ascii="Times New Roman" w:hAnsi="Times New Roman" w:eastAsia="仿宋_GB2312"/>
          <w:b/>
          <w:color w:val="000000" w:themeColor="text1"/>
          <w:sz w:val="28"/>
          <w:szCs w:val="28"/>
          <w14:textFill>
            <w14:solidFill>
              <w14:schemeClr w14:val="tx1"/>
            </w14:solidFill>
          </w14:textFill>
        </w:rPr>
        <w:t>3．学科竞赛类</w:t>
      </w:r>
      <w:r>
        <w:rPr>
          <w:rFonts w:ascii="Times New Roman" w:hAnsi="Times New Roman" w:eastAsia="仿宋_GB2312"/>
          <w:b/>
          <w:color w:val="000000" w:themeColor="text1"/>
          <w:sz w:val="28"/>
          <w:szCs w:val="28"/>
          <w14:textFill>
            <w14:solidFill>
              <w14:schemeClr w14:val="tx1"/>
            </w14:solidFill>
          </w14:textFill>
        </w:rPr>
        <w:t>(</w:t>
      </w:r>
      <w:r>
        <w:rPr>
          <w:rFonts w:hint="eastAsia" w:ascii="Times New Roman" w:hAnsi="Times New Roman" w:eastAsia="仿宋_GB2312"/>
          <w:b/>
          <w:bCs/>
          <w:color w:val="000000" w:themeColor="text1"/>
          <w:sz w:val="28"/>
          <w:szCs w:val="28"/>
          <w14:textFill>
            <w14:solidFill>
              <w14:schemeClr w14:val="tx1"/>
            </w14:solidFill>
          </w14:textFill>
        </w:rPr>
        <w:t>满分</w:t>
      </w:r>
      <w:r>
        <w:rPr>
          <w:rFonts w:ascii="Times New Roman" w:hAnsi="Times New Roman" w:eastAsia="仿宋_GB2312"/>
          <w:b/>
          <w:color w:val="000000" w:themeColor="text1"/>
          <w:sz w:val="28"/>
          <w:szCs w:val="28"/>
          <w14:textFill>
            <w14:solidFill>
              <w14:schemeClr w14:val="tx1"/>
            </w14:solidFill>
          </w14:textFill>
        </w:rPr>
        <w:t>40</w:t>
      </w:r>
      <w:r>
        <w:rPr>
          <w:rFonts w:hint="eastAsia" w:ascii="Times New Roman" w:hAnsi="Times New Roman" w:eastAsia="仿宋_GB2312"/>
          <w:b/>
          <w:color w:val="000000" w:themeColor="text1"/>
          <w:sz w:val="28"/>
          <w:szCs w:val="28"/>
          <w14:textFill>
            <w14:solidFill>
              <w14:schemeClr w14:val="tx1"/>
            </w14:solidFill>
          </w14:textFill>
        </w:rPr>
        <w:t>分</w:t>
      </w:r>
      <w:r>
        <w:rPr>
          <w:rFonts w:ascii="Times New Roman" w:hAnsi="Times New Roman" w:eastAsia="仿宋_GB2312"/>
          <w:b/>
          <w:color w:val="000000" w:themeColor="text1"/>
          <w:sz w:val="28"/>
          <w:szCs w:val="28"/>
          <w14:textFill>
            <w14:solidFill>
              <w14:schemeClr w14:val="tx1"/>
            </w14:solidFill>
          </w14:textFill>
        </w:rPr>
        <w:t>)</w:t>
      </w:r>
    </w:p>
    <w:p>
      <w:pPr>
        <w:widowControl/>
        <w:spacing w:line="560" w:lineRule="exact"/>
        <w:ind w:firstLine="560" w:firstLineChars="200"/>
        <w:rPr>
          <w:rFonts w:ascii="Times New Roman" w:hAnsi="Times New Roman" w:eastAsia="仿宋_GB2312"/>
          <w:b/>
          <w:bCs/>
          <w:color w:val="000000" w:themeColor="text1"/>
          <w:sz w:val="28"/>
          <w:szCs w:val="28"/>
          <w14:textFill>
            <w14:solidFill>
              <w14:schemeClr w14:val="tx1"/>
            </w14:solidFill>
          </w14:textFill>
        </w:rPr>
      </w:pPr>
      <w:r>
        <w:rPr>
          <w:rFonts w:hint="eastAsia" w:ascii="Times New Roman" w:hAnsi="Times New Roman" w:eastAsia="仿宋_GB2312" w:cs="Times New Roman"/>
          <w:color w:val="000000" w:themeColor="text1"/>
          <w:sz w:val="28"/>
          <w:szCs w:val="28"/>
          <w14:textFill>
            <w14:solidFill>
              <w14:schemeClr w14:val="tx1"/>
            </w14:solidFill>
          </w14:textFill>
        </w:rPr>
        <w:t>学科竞赛类主要包含数学建模方面、数学竞赛方面、英语竞赛、学科专业性竞赛等方面。同一学生在此类的同一方面有多项加分情况，只计一项。</w:t>
      </w:r>
      <w:r>
        <w:rPr>
          <w:rFonts w:hint="eastAsia" w:ascii="Times New Roman" w:hAnsi="Times New Roman" w:eastAsia="仿宋_GB2312"/>
          <w:color w:val="000000" w:themeColor="text1"/>
          <w:sz w:val="28"/>
          <w:szCs w:val="28"/>
          <w14:textFill>
            <w14:solidFill>
              <w14:schemeClr w14:val="tx1"/>
            </w14:solidFill>
          </w14:textFill>
        </w:rPr>
        <w:t>参加各种学科和技能竞赛并获奖加分标准见表</w:t>
      </w:r>
      <w:r>
        <w:rPr>
          <w:rFonts w:ascii="Times New Roman" w:hAnsi="Times New Roman" w:eastAsia="仿宋_GB2312"/>
          <w:color w:val="000000" w:themeColor="text1"/>
          <w:sz w:val="28"/>
          <w:szCs w:val="28"/>
          <w14:textFill>
            <w14:solidFill>
              <w14:schemeClr w14:val="tx1"/>
            </w14:solidFill>
          </w14:textFill>
        </w:rPr>
        <w:t>4</w:t>
      </w:r>
      <w:r>
        <w:rPr>
          <w:rFonts w:hint="eastAsia" w:ascii="Times New Roman" w:hAnsi="Times New Roman" w:eastAsia="仿宋_GB2312"/>
          <w:color w:val="000000" w:themeColor="text1"/>
          <w:sz w:val="28"/>
          <w:szCs w:val="28"/>
          <w14:textFill>
            <w14:solidFill>
              <w14:schemeClr w14:val="tx1"/>
            </w14:solidFill>
          </w14:textFill>
        </w:rPr>
        <w:t>和表</w:t>
      </w:r>
      <w:r>
        <w:rPr>
          <w:rFonts w:ascii="Times New Roman" w:hAnsi="Times New Roman" w:eastAsia="仿宋_GB2312"/>
          <w:color w:val="000000" w:themeColor="text1"/>
          <w:sz w:val="28"/>
          <w:szCs w:val="28"/>
          <w14:textFill>
            <w14:solidFill>
              <w14:schemeClr w14:val="tx1"/>
            </w14:solidFill>
          </w14:textFill>
        </w:rPr>
        <w:t>5</w:t>
      </w:r>
      <w:r>
        <w:rPr>
          <w:rFonts w:hint="eastAsia" w:ascii="Times New Roman" w:hAnsi="Times New Roman" w:eastAsia="仿宋_GB2312"/>
          <w:color w:val="000000" w:themeColor="text1"/>
          <w:sz w:val="28"/>
          <w:szCs w:val="28"/>
          <w14:textFill>
            <w14:solidFill>
              <w14:schemeClr w14:val="tx1"/>
            </w14:solidFill>
          </w14:textFill>
        </w:rPr>
        <w:t>。</w:t>
      </w:r>
    </w:p>
    <w:p>
      <w:pPr>
        <w:widowControl/>
        <w:ind w:firstLine="2650" w:firstLineChars="1100"/>
        <w:rPr>
          <w:rFonts w:ascii="仿宋_GB2312" w:hAnsi="Times New Roman" w:eastAsia="仿宋_GB2312" w:cs="Times New Roman"/>
          <w:b/>
          <w:bCs/>
          <w:sz w:val="24"/>
          <w:szCs w:val="24"/>
        </w:rPr>
      </w:pPr>
      <w:r>
        <w:rPr>
          <w:rFonts w:hint="eastAsia" w:ascii="仿宋_GB2312" w:hAnsi="Times New Roman" w:eastAsia="仿宋_GB2312"/>
          <w:b/>
          <w:bCs/>
          <w:sz w:val="24"/>
          <w:szCs w:val="24"/>
        </w:rPr>
        <w:t>表</w:t>
      </w:r>
      <w:r>
        <w:rPr>
          <w:rFonts w:ascii="仿宋_GB2312" w:hAnsi="Times New Roman" w:eastAsia="仿宋_GB2312"/>
          <w:b/>
          <w:bCs/>
          <w:sz w:val="24"/>
          <w:szCs w:val="24"/>
        </w:rPr>
        <w:t>4</w:t>
      </w:r>
      <w:r>
        <w:rPr>
          <w:rFonts w:hint="eastAsia" w:ascii="仿宋_GB2312" w:hAnsi="Times New Roman" w:eastAsia="仿宋_GB2312"/>
          <w:b/>
          <w:bCs/>
          <w:sz w:val="24"/>
          <w:szCs w:val="24"/>
        </w:rPr>
        <w:t>：</w:t>
      </w:r>
      <w:r>
        <w:rPr>
          <w:rFonts w:hint="eastAsia" w:ascii="仿宋_GB2312" w:hAnsi="Times New Roman" w:eastAsia="仿宋_GB2312" w:cs="Times New Roman"/>
          <w:b/>
          <w:bCs/>
          <w:sz w:val="24"/>
          <w:szCs w:val="24"/>
        </w:rPr>
        <w:t>竞赛获奖加分标准</w:t>
      </w:r>
    </w:p>
    <w:tbl>
      <w:tblPr>
        <w:tblStyle w:val="9"/>
        <w:tblW w:w="8579"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3613"/>
        <w:gridCol w:w="2118"/>
        <w:gridCol w:w="2848"/>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0" w:hRule="atLeast"/>
          <w:jc w:val="center"/>
        </w:trPr>
        <w:tc>
          <w:tcPr>
            <w:tcW w:w="3613" w:type="dxa"/>
            <w:tcBorders>
              <w:top w:val="outset" w:color="auto" w:sz="6" w:space="0"/>
              <w:left w:val="outset" w:color="auto" w:sz="6" w:space="0"/>
              <w:bottom w:val="outset" w:color="auto" w:sz="6" w:space="0"/>
              <w:right w:val="outset" w:color="auto" w:sz="6" w:space="0"/>
            </w:tcBorders>
            <w:vAlign w:val="center"/>
          </w:tcPr>
          <w:p>
            <w:pPr>
              <w:pStyle w:val="16"/>
              <w:rPr>
                <w:b/>
                <w:color w:val="000000" w:themeColor="text1"/>
                <w14:textFill>
                  <w14:solidFill>
                    <w14:schemeClr w14:val="tx1"/>
                  </w14:solidFill>
                </w14:textFill>
              </w:rPr>
            </w:pPr>
            <w:r>
              <w:rPr>
                <w:rFonts w:hint="eastAsia"/>
                <w:b/>
                <w:color w:val="000000" w:themeColor="text1"/>
                <w14:textFill>
                  <w14:solidFill>
                    <w14:schemeClr w14:val="tx1"/>
                  </w14:solidFill>
                </w14:textFill>
              </w:rPr>
              <w:t>等  级</w:t>
            </w:r>
          </w:p>
        </w:tc>
        <w:tc>
          <w:tcPr>
            <w:tcW w:w="2118" w:type="dxa"/>
            <w:tcBorders>
              <w:top w:val="outset" w:color="auto" w:sz="6" w:space="0"/>
              <w:left w:val="outset" w:color="auto" w:sz="6" w:space="0"/>
              <w:bottom w:val="outset" w:color="auto" w:sz="6" w:space="0"/>
              <w:right w:val="outset" w:color="auto" w:sz="6" w:space="0"/>
            </w:tcBorders>
            <w:vAlign w:val="center"/>
          </w:tcPr>
          <w:p>
            <w:pPr>
              <w:pStyle w:val="16"/>
              <w:rPr>
                <w:b/>
                <w:color w:val="000000" w:themeColor="text1"/>
                <w14:textFill>
                  <w14:solidFill>
                    <w14:schemeClr w14:val="tx1"/>
                  </w14:solidFill>
                </w14:textFill>
              </w:rPr>
            </w:pPr>
            <w:r>
              <w:rPr>
                <w:rFonts w:hint="eastAsia"/>
                <w:b/>
                <w:color w:val="000000" w:themeColor="text1"/>
                <w14:textFill>
                  <w14:solidFill>
                    <w14:schemeClr w14:val="tx1"/>
                  </w14:solidFill>
                </w14:textFill>
              </w:rPr>
              <w:t>国家级（分）</w:t>
            </w:r>
          </w:p>
        </w:tc>
        <w:tc>
          <w:tcPr>
            <w:tcW w:w="2848" w:type="dxa"/>
            <w:tcBorders>
              <w:top w:val="outset" w:color="auto" w:sz="6" w:space="0"/>
              <w:left w:val="outset" w:color="auto" w:sz="6" w:space="0"/>
              <w:bottom w:val="outset" w:color="auto" w:sz="6" w:space="0"/>
              <w:right w:val="outset" w:color="auto" w:sz="6" w:space="0"/>
            </w:tcBorders>
            <w:vAlign w:val="center"/>
          </w:tcPr>
          <w:p>
            <w:pPr>
              <w:pStyle w:val="16"/>
              <w:rPr>
                <w:b/>
                <w:color w:val="000000" w:themeColor="text1"/>
                <w14:textFill>
                  <w14:solidFill>
                    <w14:schemeClr w14:val="tx1"/>
                  </w14:solidFill>
                </w14:textFill>
              </w:rPr>
            </w:pPr>
            <w:r>
              <w:rPr>
                <w:rFonts w:hint="eastAsia"/>
                <w:b/>
                <w:color w:val="000000" w:themeColor="text1"/>
                <w14:textFill>
                  <w14:solidFill>
                    <w14:schemeClr w14:val="tx1"/>
                  </w14:solidFill>
                </w14:textFill>
              </w:rPr>
              <w:t>省（市）级（分）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0" w:hRule="atLeast"/>
          <w:jc w:val="center"/>
        </w:trPr>
        <w:tc>
          <w:tcPr>
            <w:tcW w:w="3613"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一等奖（或第一名）</w:t>
            </w:r>
          </w:p>
        </w:tc>
        <w:tc>
          <w:tcPr>
            <w:tcW w:w="2118"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2848"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0" w:hRule="atLeast"/>
          <w:jc w:val="center"/>
        </w:trPr>
        <w:tc>
          <w:tcPr>
            <w:tcW w:w="3613"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二等奖（或第二名）</w:t>
            </w:r>
          </w:p>
        </w:tc>
        <w:tc>
          <w:tcPr>
            <w:tcW w:w="2118"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2848"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rPr>
          <w:trHeight w:val="20" w:hRule="atLeast"/>
          <w:jc w:val="center"/>
        </w:trPr>
        <w:tc>
          <w:tcPr>
            <w:tcW w:w="3613"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三等奖（或第三名）</w:t>
            </w:r>
          </w:p>
        </w:tc>
        <w:tc>
          <w:tcPr>
            <w:tcW w:w="2118"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color w:val="000000" w:themeColor="text1"/>
                <w14:textFill>
                  <w14:solidFill>
                    <w14:schemeClr w14:val="tx1"/>
                  </w14:solidFill>
                </w14:textFill>
              </w:rPr>
              <w:t>6</w:t>
            </w:r>
          </w:p>
        </w:tc>
        <w:tc>
          <w:tcPr>
            <w:tcW w:w="2848"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r>
    </w:tbl>
    <w:p>
      <w:pPr>
        <w:widowControl/>
        <w:spacing w:line="560" w:lineRule="exact"/>
        <w:jc w:val="center"/>
        <w:rPr>
          <w:rFonts w:ascii="仿宋_GB2312" w:hAnsi="Times New Roman" w:eastAsia="仿宋_GB2312"/>
          <w:b/>
          <w:bCs/>
          <w:sz w:val="24"/>
          <w:szCs w:val="24"/>
        </w:rPr>
      </w:pPr>
      <w:r>
        <w:rPr>
          <w:rFonts w:hint="eastAsia" w:ascii="仿宋_GB2312" w:hAnsi="Times New Roman" w:eastAsia="仿宋_GB2312"/>
          <w:b/>
          <w:bCs/>
          <w:sz w:val="24"/>
          <w:szCs w:val="24"/>
        </w:rPr>
        <w:t>表</w:t>
      </w:r>
      <w:r>
        <w:rPr>
          <w:rFonts w:ascii="仿宋_GB2312" w:hAnsi="Times New Roman" w:eastAsia="仿宋_GB2312"/>
          <w:b/>
          <w:bCs/>
          <w:sz w:val="24"/>
          <w:szCs w:val="24"/>
        </w:rPr>
        <w:t>5</w:t>
      </w:r>
      <w:r>
        <w:rPr>
          <w:rFonts w:hint="eastAsia" w:ascii="仿宋_GB2312" w:hAnsi="Times New Roman" w:eastAsia="仿宋_GB2312"/>
          <w:b/>
          <w:bCs/>
          <w:sz w:val="24"/>
          <w:szCs w:val="24"/>
        </w:rPr>
        <w:t>：加分竞赛列表</w:t>
      </w:r>
    </w:p>
    <w:tbl>
      <w:tblPr>
        <w:tblStyle w:val="9"/>
        <w:tblW w:w="87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3828"/>
        <w:gridCol w:w="3181"/>
      </w:tblGrid>
      <w:tr>
        <w:tblPrEx>
          <w:tblCellMar>
            <w:top w:w="0" w:type="dxa"/>
            <w:left w:w="108" w:type="dxa"/>
            <w:bottom w:w="0" w:type="dxa"/>
            <w:right w:w="108" w:type="dxa"/>
          </w:tblCellMar>
        </w:tblPrEx>
        <w:trPr>
          <w:trHeight w:val="20" w:hRule="atLeast"/>
          <w:jc w:val="center"/>
        </w:trPr>
        <w:tc>
          <w:tcPr>
            <w:tcW w:w="1696" w:type="dxa"/>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方面</w:t>
            </w:r>
          </w:p>
        </w:tc>
        <w:tc>
          <w:tcPr>
            <w:tcW w:w="3828" w:type="dxa"/>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活动、比赛</w:t>
            </w:r>
          </w:p>
        </w:tc>
        <w:tc>
          <w:tcPr>
            <w:tcW w:w="3181" w:type="dxa"/>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数学建模方面</w:t>
            </w:r>
          </w:p>
        </w:tc>
        <w:tc>
          <w:tcPr>
            <w:tcW w:w="3828" w:type="dxa"/>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全国大学生数学建模竞赛</w:t>
            </w:r>
          </w:p>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美国大学生数学建模竞赛</w:t>
            </w:r>
          </w:p>
        </w:tc>
        <w:tc>
          <w:tcPr>
            <w:tcW w:w="3181" w:type="dxa"/>
            <w:vAlign w:val="center"/>
          </w:tcPr>
          <w:p>
            <w:pPr>
              <w:pStyle w:val="16"/>
              <w:rPr>
                <w:color w:val="000000" w:themeColor="text1"/>
                <w14:textFill>
                  <w14:solidFill>
                    <w14:schemeClr w14:val="tx1"/>
                  </w14:solidFill>
                </w14:textFill>
              </w:rPr>
            </w:pPr>
            <w:r>
              <w:rPr>
                <w:rFonts w:hint="eastAsia" w:ascii="等线" w:hAnsi="等线" w:eastAsia="等线"/>
                <w:color w:val="000000" w:themeColor="text1"/>
                <w14:textFill>
                  <w14:solidFill>
                    <w14:schemeClr w14:val="tx1"/>
                  </w14:solidFill>
                </w14:textFill>
              </w:rPr>
              <w:t>①</w:t>
            </w:r>
            <w:r>
              <w:rPr>
                <w:rFonts w:hint="eastAsia"/>
                <w:color w:val="000000" w:themeColor="text1"/>
                <w14:textFill>
                  <w14:solidFill>
                    <w14:schemeClr w14:val="tx1"/>
                  </w14:solidFill>
                </w14:textFill>
              </w:rPr>
              <w:t>满足拔尖项目加分规则的按照学校要求认定。</w:t>
            </w:r>
          </w:p>
          <w:p>
            <w:pPr>
              <w:pStyle w:val="16"/>
              <w:rPr>
                <w:color w:val="000000" w:themeColor="text1"/>
                <w14:textFill>
                  <w14:solidFill>
                    <w14:schemeClr w14:val="tx1"/>
                  </w14:solidFill>
                </w14:textFill>
              </w:rPr>
            </w:pPr>
            <w:r>
              <w:rPr>
                <w:rFonts w:hint="eastAsia" w:ascii="等线" w:hAnsi="等线" w:eastAsia="等线"/>
                <w:color w:val="000000" w:themeColor="text1"/>
                <w14:textFill>
                  <w14:solidFill>
                    <w14:schemeClr w14:val="tx1"/>
                  </w14:solidFill>
                </w14:textFill>
              </w:rPr>
              <w:t>②</w:t>
            </w:r>
            <w:r>
              <w:rPr>
                <w:rFonts w:hint="eastAsia"/>
                <w:color w:val="000000" w:themeColor="text1"/>
                <w14:textFill>
                  <w14:solidFill>
                    <w14:schemeClr w14:val="tx1"/>
                  </w14:solidFill>
                </w14:textFill>
              </w:rPr>
              <w:t>美国大学生数学建模竞赛O奖(乘系数1)，F奖（乘系数0.8）和M奖（乘以系数0.5），并从2021级开始不再加分。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数学竞赛方面</w:t>
            </w:r>
          </w:p>
        </w:tc>
        <w:tc>
          <w:tcPr>
            <w:tcW w:w="3828" w:type="dxa"/>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全国大学生数学竞赛</w:t>
            </w:r>
          </w:p>
        </w:tc>
        <w:tc>
          <w:tcPr>
            <w:tcW w:w="3181" w:type="dxa"/>
            <w:vAlign w:val="center"/>
          </w:tcPr>
          <w:p>
            <w:pPr>
              <w:pStyle w:val="16"/>
              <w:rPr>
                <w:color w:val="000000" w:themeColor="text1"/>
                <w14:textFill>
                  <w14:solidFill>
                    <w14:schemeClr w14:val="tx1"/>
                  </w14:solidFill>
                </w14:textFill>
              </w:rPr>
            </w:pPr>
            <w:r>
              <w:rPr>
                <w:rFonts w:hint="eastAsia" w:ascii="等线" w:hAnsi="等线" w:eastAsia="等线"/>
                <w:color w:val="000000" w:themeColor="text1"/>
                <w14:textFill>
                  <w14:solidFill>
                    <w14:schemeClr w14:val="tx1"/>
                  </w14:solidFill>
                </w14:textFill>
              </w:rPr>
              <w:t>①</w:t>
            </w:r>
            <w:r>
              <w:rPr>
                <w:rFonts w:hint="eastAsia"/>
                <w:color w:val="000000" w:themeColor="text1"/>
                <w14:textFill>
                  <w14:solidFill>
                    <w14:schemeClr w14:val="tx1"/>
                  </w14:solidFill>
                </w14:textFill>
              </w:rPr>
              <w:t>满足拔尖项目加分规则的按照学校要求认定。</w:t>
            </w:r>
            <w:r>
              <w:rPr>
                <w:rFonts w:hint="eastAsia" w:ascii="等线" w:hAnsi="等线" w:eastAsia="等线"/>
                <w:color w:val="000000" w:themeColor="text1"/>
                <w14:textFill>
                  <w14:solidFill>
                    <w14:schemeClr w14:val="tx1"/>
                  </w14:solidFill>
                </w14:textFill>
              </w:rPr>
              <w:t>②</w:t>
            </w:r>
            <w:r>
              <w:rPr>
                <w:rFonts w:hint="eastAsia"/>
                <w:color w:val="000000" w:themeColor="text1"/>
                <w14:textFill>
                  <w14:solidFill>
                    <w14:schemeClr w14:val="tx1"/>
                  </w14:solidFill>
                </w14:textFill>
              </w:rPr>
              <w:t>数学专业组加分乘以1</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，非专业组乘系数1。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Merge w:val="restart"/>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英语竞赛方面</w:t>
            </w:r>
          </w:p>
        </w:tc>
        <w:tc>
          <w:tcPr>
            <w:tcW w:w="3828" w:type="dxa"/>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全国大学生英语竞赛</w:t>
            </w:r>
          </w:p>
        </w:tc>
        <w:tc>
          <w:tcPr>
            <w:tcW w:w="3181" w:type="dxa"/>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满足拔尖项目加分规则的按照学校要求认定。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Merge w:val="continue"/>
            <w:vAlign w:val="center"/>
          </w:tcPr>
          <w:p>
            <w:pPr>
              <w:pStyle w:val="16"/>
              <w:rPr>
                <w:color w:val="000000" w:themeColor="text1"/>
                <w14:textFill>
                  <w14:solidFill>
                    <w14:schemeClr w14:val="tx1"/>
                  </w14:solidFill>
                </w14:textFill>
              </w:rPr>
            </w:pPr>
          </w:p>
        </w:tc>
        <w:tc>
          <w:tcPr>
            <w:tcW w:w="3828" w:type="dxa"/>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“CCTV杯”全国英语演讲比赛</w:t>
            </w:r>
          </w:p>
        </w:tc>
        <w:tc>
          <w:tcPr>
            <w:tcW w:w="3181" w:type="dxa"/>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满足拔尖项目加分规则的按照学校要求认定。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Merge w:val="continue"/>
            <w:vAlign w:val="center"/>
          </w:tcPr>
          <w:p>
            <w:pPr>
              <w:pStyle w:val="16"/>
              <w:rPr>
                <w:color w:val="000000" w:themeColor="text1"/>
                <w14:textFill>
                  <w14:solidFill>
                    <w14:schemeClr w14:val="tx1"/>
                  </w14:solidFill>
                </w14:textFill>
              </w:rPr>
            </w:pPr>
          </w:p>
        </w:tc>
        <w:tc>
          <w:tcPr>
            <w:tcW w:w="3828" w:type="dxa"/>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外研社杯全国大学生英语系列赛-全国英语演讲、英语辩论、英语写作、英语阅读</w:t>
            </w:r>
          </w:p>
        </w:tc>
        <w:tc>
          <w:tcPr>
            <w:tcW w:w="3181" w:type="dxa"/>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满足拔尖项目加分规则的按照学校要求认定。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Merge w:val="continue"/>
            <w:vAlign w:val="center"/>
          </w:tcPr>
          <w:p>
            <w:pPr>
              <w:pStyle w:val="16"/>
              <w:rPr>
                <w:color w:val="000000" w:themeColor="text1"/>
                <w14:textFill>
                  <w14:solidFill>
                    <w14:schemeClr w14:val="tx1"/>
                  </w14:solidFill>
                </w14:textFill>
              </w:rPr>
            </w:pPr>
          </w:p>
        </w:tc>
        <w:tc>
          <w:tcPr>
            <w:tcW w:w="3828" w:type="dxa"/>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21世纪杯全国大学生英语演讲比赛</w:t>
            </w:r>
          </w:p>
        </w:tc>
        <w:tc>
          <w:tcPr>
            <w:tcW w:w="3181" w:type="dxa"/>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满足拔尖项目加分规则的按照学校要求认定。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Merge w:val="restart"/>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计算机系统设计方面</w:t>
            </w:r>
          </w:p>
        </w:tc>
        <w:tc>
          <w:tcPr>
            <w:tcW w:w="3828" w:type="dxa"/>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全国大学生计算机系统能力大赛-操作系统设计赛</w:t>
            </w:r>
          </w:p>
          <w:p>
            <w:pPr>
              <w:pStyle w:val="16"/>
              <w:rPr>
                <w:color w:val="000000" w:themeColor="text1"/>
                <w14:textFill>
                  <w14:solidFill>
                    <w14:schemeClr w14:val="tx1"/>
                  </w14:solidFill>
                </w14:textFill>
              </w:rPr>
            </w:pPr>
          </w:p>
        </w:tc>
        <w:tc>
          <w:tcPr>
            <w:tcW w:w="3181" w:type="dxa"/>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满足拔尖项目加分规则的按照学校要求认定。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Merge w:val="continue"/>
            <w:vAlign w:val="center"/>
          </w:tcPr>
          <w:p>
            <w:pPr>
              <w:pStyle w:val="16"/>
              <w:rPr>
                <w:color w:val="000000" w:themeColor="text1"/>
                <w14:textFill>
                  <w14:solidFill>
                    <w14:schemeClr w14:val="tx1"/>
                  </w14:solidFill>
                </w14:textFill>
              </w:rPr>
            </w:pPr>
          </w:p>
        </w:tc>
        <w:tc>
          <w:tcPr>
            <w:tcW w:w="3828" w:type="dxa"/>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全国大学生计算机系统能力大赛-编译系统设计赛</w:t>
            </w:r>
          </w:p>
        </w:tc>
        <w:tc>
          <w:tcPr>
            <w:tcW w:w="3181" w:type="dxa"/>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满足拔尖项目加分规则的按照学校要求认定。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算法分析设计方面电子设计方面</w:t>
            </w:r>
          </w:p>
        </w:tc>
        <w:tc>
          <w:tcPr>
            <w:tcW w:w="3828" w:type="dxa"/>
            <w:vAlign w:val="center"/>
          </w:tcPr>
          <w:p>
            <w:pPr>
              <w:pStyle w:val="16"/>
              <w:rPr>
                <w:color w:val="000000" w:themeColor="text1"/>
                <w:highlight w:val="yellow"/>
                <w14:textFill>
                  <w14:solidFill>
                    <w14:schemeClr w14:val="tx1"/>
                  </w14:solidFill>
                </w14:textFill>
              </w:rPr>
            </w:pPr>
            <w:r>
              <w:rPr>
                <w:rFonts w:hint="eastAsia"/>
                <w:color w:val="000000" w:themeColor="text1"/>
                <w14:textFill>
                  <w14:solidFill>
                    <w14:schemeClr w14:val="tx1"/>
                  </w14:solidFill>
                </w14:textFill>
              </w:rPr>
              <w:t>全国大学生电子设计竞赛</w:t>
            </w:r>
          </w:p>
        </w:tc>
        <w:tc>
          <w:tcPr>
            <w:tcW w:w="3181" w:type="dxa"/>
            <w:vAlign w:val="center"/>
          </w:tcPr>
          <w:p>
            <w:pPr>
              <w:pStyle w:val="16"/>
              <w:rPr>
                <w:color w:val="000000" w:themeColor="text1"/>
                <w:highlight w:val="yellow"/>
                <w14:textFill>
                  <w14:solidFill>
                    <w14:schemeClr w14:val="tx1"/>
                  </w14:solidFill>
                </w14:textFill>
              </w:rPr>
            </w:pPr>
            <w:r>
              <w:rPr>
                <w:rFonts w:hint="eastAsia"/>
                <w:color w:val="000000" w:themeColor="text1"/>
                <w14:textFill>
                  <w14:solidFill>
                    <w14:schemeClr w14:val="tx1"/>
                  </w14:solidFill>
                </w14:textFill>
              </w:rPr>
              <w:t>满足拔尖项目加分规则的按照学校要求认定。</w:t>
            </w:r>
          </w:p>
        </w:tc>
      </w:tr>
    </w:tbl>
    <w:p>
      <w:pPr>
        <w:widowControl/>
        <w:ind w:firstLine="482" w:firstLineChars="200"/>
        <w:rPr>
          <w:color w:val="FF0000"/>
        </w:rPr>
      </w:pPr>
      <w:r>
        <w:rPr>
          <w:rFonts w:hint="eastAsia" w:ascii="Times New Roman" w:hAnsi="Times New Roman" w:eastAsia="仿宋_GB2312" w:cs="Times New Roman"/>
          <w:b/>
          <w:bCs/>
          <w:color w:val="000000" w:themeColor="text1"/>
          <w:sz w:val="24"/>
          <w:szCs w:val="24"/>
          <w14:textFill>
            <w14:solidFill>
              <w14:schemeClr w14:val="tx1"/>
            </w14:solidFill>
          </w14:textFill>
        </w:rPr>
        <w:t>注释:</w:t>
      </w:r>
      <w:r>
        <w:rPr>
          <w:rFonts w:hint="eastAsia"/>
          <w:color w:val="FF0000"/>
        </w:rPr>
        <w:t xml:space="preserve"> </w:t>
      </w:r>
    </w:p>
    <w:p>
      <w:pPr>
        <w:pStyle w:val="18"/>
        <w:widowControl/>
        <w:numPr>
          <w:ilvl w:val="0"/>
          <w:numId w:val="1"/>
        </w:numPr>
        <w:ind w:firstLineChars="0"/>
        <w:rPr>
          <w:rFonts w:ascii="Times New Roman" w:hAnsi="Times New Roman" w:eastAsia="仿宋_GB2312"/>
          <w:color w:val="000000" w:themeColor="text1"/>
          <w:kern w:val="0"/>
          <w14:textFill>
            <w14:solidFill>
              <w14:schemeClr w14:val="tx1"/>
            </w14:solidFill>
          </w14:textFill>
        </w:rPr>
      </w:pPr>
      <w:r>
        <w:rPr>
          <w:rFonts w:hint="eastAsia" w:ascii="Times New Roman" w:hAnsi="Times New Roman" w:eastAsia="仿宋_GB2312"/>
          <w:color w:val="000000" w:themeColor="text1"/>
          <w:kern w:val="0"/>
          <w14:textFill>
            <w14:solidFill>
              <w14:schemeClr w14:val="tx1"/>
            </w14:solidFill>
          </w14:textFill>
        </w:rPr>
        <w:t>对于其他团体项目（数学建模竞赛除外），每名成员在所得加分的基础上乘以系数0.8。同一方面多层次获奖不重复计算，只计算一次。</w:t>
      </w:r>
    </w:p>
    <w:p>
      <w:pPr>
        <w:widowControl/>
        <w:ind w:firstLine="420" w:firstLineChars="200"/>
        <w:rPr>
          <w:rFonts w:ascii="Times New Roman" w:hAnsi="Times New Roman" w:eastAsia="仿宋_GB2312"/>
          <w:color w:val="000000" w:themeColor="text1"/>
          <w:kern w:val="0"/>
          <w14:textFill>
            <w14:solidFill>
              <w14:schemeClr w14:val="tx1"/>
            </w14:solidFill>
          </w14:textFill>
        </w:rPr>
      </w:pPr>
      <w:r>
        <w:rPr>
          <w:rFonts w:hint="eastAsia" w:ascii="Times New Roman" w:hAnsi="Times New Roman" w:eastAsia="仿宋_GB2312"/>
          <w:color w:val="000000" w:themeColor="text1"/>
          <w:kern w:val="0"/>
          <w14:textFill>
            <w14:solidFill>
              <w14:schemeClr w14:val="tx1"/>
            </w14:solidFill>
          </w14:textFill>
        </w:rPr>
        <w:t>②美国大学生数学建模竞赛的O奖、F奖等同国家一等奖，M奖等同国家二等奖。</w:t>
      </w:r>
    </w:p>
    <w:p>
      <w:pPr>
        <w:widowControl/>
        <w:spacing w:line="560" w:lineRule="exact"/>
        <w:ind w:firstLine="562" w:firstLineChars="200"/>
        <w:rPr>
          <w:rFonts w:ascii="Times New Roman" w:hAnsi="Times New Roman" w:eastAsia="仿宋_GB2312"/>
          <w:b/>
          <w:bCs/>
          <w:color w:val="000000" w:themeColor="text1"/>
          <w:sz w:val="28"/>
          <w:szCs w:val="28"/>
          <w14:textFill>
            <w14:solidFill>
              <w14:schemeClr w14:val="tx1"/>
            </w14:solidFill>
          </w14:textFill>
        </w:rPr>
      </w:pPr>
      <w:r>
        <w:rPr>
          <w:rFonts w:hint="eastAsia" w:ascii="Times New Roman" w:hAnsi="Times New Roman" w:eastAsia="仿宋_GB2312"/>
          <w:b/>
          <w:bCs/>
          <w:color w:val="000000" w:themeColor="text1"/>
          <w:sz w:val="28"/>
          <w:szCs w:val="28"/>
          <w14:textFill>
            <w14:solidFill>
              <w14:schemeClr w14:val="tx1"/>
            </w14:solidFill>
          </w14:textFill>
        </w:rPr>
        <w:t>第二部分：素质能力加分（满分40分）</w:t>
      </w:r>
    </w:p>
    <w:p>
      <w:pPr>
        <w:widowControl/>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color w:val="000000" w:themeColor="text1"/>
          <w:sz w:val="28"/>
          <w:szCs w:val="28"/>
          <w14:textFill>
            <w14:solidFill>
              <w14:schemeClr w14:val="tx1"/>
            </w14:solidFill>
          </w14:textFill>
        </w:rPr>
        <w:t>素质能力加分包含荣誉类、服兵役类、体育类、美育类、劳动教育类、社会实践类六类。每一类满分</w:t>
      </w:r>
      <w:r>
        <w:rPr>
          <w:rFonts w:ascii="Times New Roman" w:hAnsi="Times New Roman" w:eastAsia="仿宋_GB2312"/>
          <w:color w:val="000000" w:themeColor="text1"/>
          <w:sz w:val="28"/>
          <w:szCs w:val="28"/>
          <w14:textFill>
            <w14:solidFill>
              <w14:schemeClr w14:val="tx1"/>
            </w14:solidFill>
          </w14:textFill>
        </w:rPr>
        <w:t>10分，</w:t>
      </w:r>
      <w:r>
        <w:rPr>
          <w:rFonts w:hint="eastAsia" w:ascii="Times New Roman" w:hAnsi="Times New Roman" w:eastAsia="仿宋_GB2312"/>
          <w:color w:val="000000" w:themeColor="text1"/>
          <w:sz w:val="28"/>
          <w:szCs w:val="28"/>
          <w14:textFill>
            <w14:solidFill>
              <w14:schemeClr w14:val="tx1"/>
            </w14:solidFill>
          </w14:textFill>
        </w:rPr>
        <w:t>6类总分</w:t>
      </w:r>
      <w:r>
        <w:rPr>
          <w:rFonts w:ascii="Times New Roman" w:hAnsi="Times New Roman" w:eastAsia="仿宋_GB2312"/>
          <w:color w:val="000000" w:themeColor="text1"/>
          <w:sz w:val="28"/>
          <w:szCs w:val="28"/>
          <w14:textFill>
            <w14:solidFill>
              <w14:schemeClr w14:val="tx1"/>
            </w14:solidFill>
          </w14:textFill>
        </w:rPr>
        <w:t>超过</w:t>
      </w:r>
      <w:r>
        <w:rPr>
          <w:rFonts w:hint="eastAsia" w:ascii="Times New Roman" w:hAnsi="Times New Roman" w:eastAsia="仿宋_GB2312"/>
          <w:color w:val="000000" w:themeColor="text1"/>
          <w:sz w:val="28"/>
          <w:szCs w:val="28"/>
          <w14:textFill>
            <w14:solidFill>
              <w14:schemeClr w14:val="tx1"/>
            </w14:solidFill>
          </w14:textFill>
        </w:rPr>
        <w:t>4</w:t>
      </w:r>
      <w:r>
        <w:rPr>
          <w:rFonts w:ascii="Times New Roman" w:hAnsi="Times New Roman" w:eastAsia="仿宋_GB2312"/>
          <w:color w:val="000000" w:themeColor="text1"/>
          <w:sz w:val="28"/>
          <w:szCs w:val="28"/>
          <w14:textFill>
            <w14:solidFill>
              <w14:schemeClr w14:val="tx1"/>
            </w14:solidFill>
          </w14:textFill>
        </w:rPr>
        <w:t>0分按</w:t>
      </w:r>
      <w:r>
        <w:rPr>
          <w:rFonts w:hint="eastAsia" w:ascii="Times New Roman" w:hAnsi="Times New Roman" w:eastAsia="仿宋_GB2312"/>
          <w:color w:val="000000" w:themeColor="text1"/>
          <w:sz w:val="28"/>
          <w:szCs w:val="28"/>
          <w14:textFill>
            <w14:solidFill>
              <w14:schemeClr w14:val="tx1"/>
            </w14:solidFill>
          </w14:textFill>
        </w:rPr>
        <w:t>4</w:t>
      </w:r>
      <w:r>
        <w:rPr>
          <w:rFonts w:ascii="Times New Roman" w:hAnsi="Times New Roman" w:eastAsia="仿宋_GB2312"/>
          <w:color w:val="000000" w:themeColor="text1"/>
          <w:sz w:val="28"/>
          <w:szCs w:val="28"/>
          <w14:textFill>
            <w14:solidFill>
              <w14:schemeClr w14:val="tx1"/>
            </w14:solidFill>
          </w14:textFill>
        </w:rPr>
        <w:t>0分计算</w:t>
      </w:r>
      <w:r>
        <w:rPr>
          <w:rFonts w:hint="eastAsia" w:ascii="Times New Roman" w:hAnsi="Times New Roman" w:eastAsia="仿宋_GB2312" w:cs="Times New Roman"/>
          <w:color w:val="000000" w:themeColor="text1"/>
          <w:sz w:val="28"/>
          <w:szCs w:val="28"/>
          <w14:textFill>
            <w14:solidFill>
              <w14:schemeClr w14:val="tx1"/>
            </w14:solidFill>
          </w14:textFill>
        </w:rPr>
        <w:t>，素质能力加分中校级奖励加分不超过</w:t>
      </w:r>
      <w:r>
        <w:rPr>
          <w:rFonts w:ascii="Times New Roman" w:hAnsi="Times New Roman" w:eastAsia="仿宋_GB2312" w:cs="Times New Roman"/>
          <w:color w:val="000000" w:themeColor="text1"/>
          <w:sz w:val="28"/>
          <w:szCs w:val="28"/>
          <w14:textFill>
            <w14:solidFill>
              <w14:schemeClr w14:val="tx1"/>
            </w14:solidFill>
          </w14:textFill>
        </w:rPr>
        <w:t>6</w:t>
      </w:r>
      <w:r>
        <w:rPr>
          <w:rFonts w:hint="eastAsia" w:ascii="Times New Roman" w:hAnsi="Times New Roman" w:eastAsia="仿宋_GB2312" w:cs="Times New Roman"/>
          <w:color w:val="000000" w:themeColor="text1"/>
          <w:sz w:val="28"/>
          <w:szCs w:val="28"/>
          <w14:textFill>
            <w14:solidFill>
              <w14:schemeClr w14:val="tx1"/>
            </w14:solidFill>
          </w14:textFill>
        </w:rPr>
        <w:t>分。</w:t>
      </w:r>
    </w:p>
    <w:p>
      <w:pPr>
        <w:spacing w:line="560" w:lineRule="exact"/>
        <w:ind w:firstLine="562" w:firstLineChars="200"/>
        <w:rPr>
          <w:rFonts w:ascii="Times New Roman" w:hAnsi="Times New Roman" w:eastAsia="仿宋_GB2312" w:cs="仿宋"/>
          <w:b/>
          <w:color w:val="000000" w:themeColor="text1"/>
          <w:kern w:val="0"/>
          <w:sz w:val="28"/>
          <w:szCs w:val="28"/>
          <w14:textFill>
            <w14:solidFill>
              <w14:schemeClr w14:val="tx1"/>
            </w14:solidFill>
          </w14:textFill>
        </w:rPr>
      </w:pPr>
      <w:r>
        <w:rPr>
          <w:rFonts w:hint="eastAsia" w:ascii="Times New Roman" w:hAnsi="Times New Roman" w:eastAsia="仿宋_GB2312" w:cs="仿宋"/>
          <w:b/>
          <w:color w:val="000000" w:themeColor="text1"/>
          <w:kern w:val="0"/>
          <w:sz w:val="28"/>
          <w:szCs w:val="28"/>
          <w14:textFill>
            <w14:solidFill>
              <w14:schemeClr w14:val="tx1"/>
            </w14:solidFill>
          </w14:textFill>
        </w:rPr>
        <w:t>1．荣誉类</w:t>
      </w:r>
    </w:p>
    <w:p>
      <w:pPr>
        <w:spacing w:line="560" w:lineRule="exact"/>
        <w:ind w:firstLine="560" w:firstLineChars="200"/>
        <w:rPr>
          <w:rFonts w:ascii="Times New Roman" w:hAnsi="Times New Roman" w:eastAsia="仿宋_GB2312" w:cs="仿宋"/>
          <w:color w:val="000000" w:themeColor="text1"/>
          <w:kern w:val="0"/>
          <w:sz w:val="28"/>
          <w:szCs w:val="28"/>
          <w14:textFill>
            <w14:solidFill>
              <w14:schemeClr w14:val="tx1"/>
            </w14:solidFill>
          </w14:textFill>
        </w:rPr>
      </w:pPr>
      <w:r>
        <w:rPr>
          <w:rFonts w:hint="eastAsia" w:ascii="Times New Roman" w:hAnsi="Times New Roman" w:eastAsia="仿宋_GB2312" w:cs="仿宋"/>
          <w:color w:val="000000" w:themeColor="text1"/>
          <w:kern w:val="0"/>
          <w:sz w:val="28"/>
          <w:szCs w:val="28"/>
          <w14:textFill>
            <w14:solidFill>
              <w14:schemeClr w14:val="tx1"/>
            </w14:solidFill>
          </w14:textFill>
        </w:rPr>
        <w:t>获得各类荣誉称号包含：三好学生、优秀学生干部、优秀共产党员、优秀共青团员、优秀共青团干部，</w:t>
      </w:r>
      <w:r>
        <w:rPr>
          <w:rFonts w:hint="eastAsia" w:ascii="仿宋" w:hAnsi="仿宋" w:eastAsia="仿宋" w:cs="仿宋"/>
          <w:kern w:val="0"/>
          <w:sz w:val="28"/>
          <w:szCs w:val="28"/>
        </w:rPr>
        <w:t>加分标准见表</w:t>
      </w:r>
      <w:r>
        <w:rPr>
          <w:rFonts w:ascii="仿宋" w:hAnsi="仿宋" w:eastAsia="仿宋" w:cs="仿宋"/>
          <w:kern w:val="0"/>
          <w:sz w:val="28"/>
          <w:szCs w:val="28"/>
        </w:rPr>
        <w:t>6</w:t>
      </w:r>
      <w:r>
        <w:rPr>
          <w:rFonts w:hint="eastAsia" w:ascii="仿宋" w:hAnsi="仿宋" w:eastAsia="仿宋" w:cs="仿宋"/>
          <w:kern w:val="0"/>
          <w:sz w:val="28"/>
          <w:szCs w:val="28"/>
        </w:rPr>
        <w:t>。</w:t>
      </w:r>
    </w:p>
    <w:p>
      <w:pPr>
        <w:spacing w:line="560" w:lineRule="exact"/>
        <w:ind w:firstLine="482" w:firstLineChars="200"/>
        <w:jc w:val="center"/>
        <w:rPr>
          <w:rFonts w:ascii="Times New Roman" w:hAnsi="Times New Roman" w:eastAsia="仿宋_GB2312"/>
          <w:b/>
          <w:color w:val="000000" w:themeColor="text1"/>
          <w:sz w:val="28"/>
          <w14:textFill>
            <w14:solidFill>
              <w14:schemeClr w14:val="tx1"/>
            </w14:solidFill>
          </w14:textFill>
        </w:rPr>
      </w:pPr>
      <w:r>
        <w:rPr>
          <w:rFonts w:hint="eastAsia" w:ascii="仿宋" w:hAnsi="仿宋" w:eastAsia="仿宋" w:cs="仿宋"/>
          <w:b/>
          <w:color w:val="000000" w:themeColor="text1"/>
          <w:kern w:val="0"/>
          <w:sz w:val="24"/>
          <w:szCs w:val="24"/>
          <w14:textFill>
            <w14:solidFill>
              <w14:schemeClr w14:val="tx1"/>
            </w14:solidFill>
          </w14:textFill>
        </w:rPr>
        <w:t>表</w:t>
      </w:r>
      <w:r>
        <w:rPr>
          <w:rFonts w:ascii="仿宋" w:hAnsi="仿宋" w:eastAsia="仿宋" w:cs="仿宋"/>
          <w:b/>
          <w:color w:val="000000" w:themeColor="text1"/>
          <w:kern w:val="0"/>
          <w:sz w:val="24"/>
          <w:szCs w:val="24"/>
          <w14:textFill>
            <w14:solidFill>
              <w14:schemeClr w14:val="tx1"/>
            </w14:solidFill>
          </w14:textFill>
        </w:rPr>
        <w:t>6</w:t>
      </w:r>
      <w:r>
        <w:rPr>
          <w:rFonts w:hint="eastAsia" w:ascii="仿宋" w:hAnsi="仿宋" w:eastAsia="仿宋" w:cs="仿宋"/>
          <w:b/>
          <w:color w:val="000000" w:themeColor="text1"/>
          <w:kern w:val="0"/>
          <w:sz w:val="24"/>
          <w:szCs w:val="24"/>
          <w14:textFill>
            <w14:solidFill>
              <w14:schemeClr w14:val="tx1"/>
            </w14:solidFill>
          </w14:textFill>
        </w:rPr>
        <w:t>：荣誉称号加分标准</w:t>
      </w:r>
    </w:p>
    <w:tbl>
      <w:tblPr>
        <w:tblStyle w:val="9"/>
        <w:tblW w:w="7354"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2415"/>
        <w:gridCol w:w="2505"/>
        <w:gridCol w:w="2434"/>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0" w:hRule="atLeast"/>
          <w:jc w:val="center"/>
        </w:trPr>
        <w:tc>
          <w:tcPr>
            <w:tcW w:w="2415"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国家级（分）</w:t>
            </w:r>
          </w:p>
        </w:tc>
        <w:tc>
          <w:tcPr>
            <w:tcW w:w="2505"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省（市）级（分）</w:t>
            </w:r>
          </w:p>
        </w:tc>
        <w:tc>
          <w:tcPr>
            <w:tcW w:w="2434"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校（区）级（分）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0" w:hRule="atLeast"/>
          <w:jc w:val="center"/>
        </w:trPr>
        <w:tc>
          <w:tcPr>
            <w:tcW w:w="2415"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2505"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2434"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r>
    </w:tbl>
    <w:p>
      <w:pPr>
        <w:widowControl/>
        <w:ind w:firstLine="422" w:firstLineChars="200"/>
        <w:rPr>
          <w:rFonts w:ascii="Times New Roman" w:hAnsi="Times New Roman" w:eastAsia="仿宋_GB2312"/>
          <w:b/>
          <w:bCs/>
          <w:color w:val="000000" w:themeColor="text1"/>
          <w:sz w:val="28"/>
          <w14:textFill>
            <w14:solidFill>
              <w14:schemeClr w14:val="tx1"/>
            </w14:solidFill>
          </w14:textFill>
        </w:rPr>
      </w:pPr>
      <w:r>
        <w:rPr>
          <w:rFonts w:hint="eastAsia" w:ascii="Times New Roman" w:hAnsi="Times New Roman" w:eastAsia="仿宋_GB2312"/>
          <w:b/>
          <w:color w:val="000000" w:themeColor="text1"/>
          <w:kern w:val="0"/>
          <w14:textFill>
            <w14:solidFill>
              <w14:schemeClr w14:val="tx1"/>
            </w14:solidFill>
          </w14:textFill>
        </w:rPr>
        <w:t>注释：</w:t>
      </w:r>
      <w:r>
        <w:rPr>
          <w:rFonts w:hint="eastAsia" w:ascii="Times New Roman" w:hAnsi="Times New Roman" w:eastAsia="仿宋_GB2312"/>
          <w:color w:val="000000" w:themeColor="text1"/>
          <w:kern w:val="0"/>
          <w14:textFill>
            <w14:solidFill>
              <w14:schemeClr w14:val="tx1"/>
            </w14:solidFill>
          </w14:textFill>
        </w:rPr>
        <w:t>①同一级别获不同称号，最多申请</w:t>
      </w:r>
      <w:r>
        <w:rPr>
          <w:rFonts w:ascii="Times New Roman" w:hAnsi="Times New Roman" w:eastAsia="仿宋_GB2312"/>
          <w:color w:val="000000" w:themeColor="text1"/>
          <w:kern w:val="0"/>
          <w14:textFill>
            <w14:solidFill>
              <w14:schemeClr w14:val="tx1"/>
            </w14:solidFill>
          </w14:textFill>
        </w:rPr>
        <w:t>3</w:t>
      </w:r>
      <w:r>
        <w:rPr>
          <w:rFonts w:hint="eastAsia" w:ascii="Times New Roman" w:hAnsi="Times New Roman" w:eastAsia="仿宋_GB2312"/>
          <w:color w:val="000000" w:themeColor="text1"/>
          <w:kern w:val="0"/>
          <w14:textFill>
            <w14:solidFill>
              <w14:schemeClr w14:val="tx1"/>
            </w14:solidFill>
          </w14:textFill>
        </w:rPr>
        <w:t>项加分；同一级别获同一称号最多申请1项加分；不同级别获同一称号按最高级别加分，最多申请1项加分。②不包括奖学金类、助学金类。</w:t>
      </w:r>
    </w:p>
    <w:p>
      <w:pPr>
        <w:widowControl/>
        <w:spacing w:line="560" w:lineRule="exact"/>
        <w:ind w:firstLine="562" w:firstLineChars="200"/>
        <w:rPr>
          <w:rFonts w:ascii="Times New Roman" w:hAnsi="Times New Roman" w:eastAsia="仿宋_GB2312"/>
          <w:b/>
          <w:color w:val="000000" w:themeColor="text1"/>
          <w:sz w:val="28"/>
          <w:szCs w:val="28"/>
          <w14:textFill>
            <w14:solidFill>
              <w14:schemeClr w14:val="tx1"/>
            </w14:solidFill>
          </w14:textFill>
        </w:rPr>
      </w:pPr>
      <w:r>
        <w:rPr>
          <w:rFonts w:hint="eastAsia" w:ascii="Times New Roman" w:hAnsi="Times New Roman" w:eastAsia="仿宋_GB2312"/>
          <w:b/>
          <w:color w:val="000000" w:themeColor="text1"/>
          <w:sz w:val="28"/>
          <w:szCs w:val="28"/>
          <w14:textFill>
            <w14:solidFill>
              <w14:schemeClr w14:val="tx1"/>
            </w14:solidFill>
          </w14:textFill>
        </w:rPr>
        <w:t>2．服兵役类</w:t>
      </w:r>
    </w:p>
    <w:p>
      <w:pPr>
        <w:pStyle w:val="15"/>
        <w:adjustRightInd w:val="0"/>
        <w:snapToGrid w:val="0"/>
        <w:spacing w:before="0" w:after="0" w:afterAutospacing="0" w:line="560" w:lineRule="exact"/>
        <w:ind w:firstLine="560" w:firstLineChars="200"/>
        <w:jc w:val="both"/>
        <w:rPr>
          <w:rFonts w:ascii="Times New Roman" w:hAnsi="Times New Roman" w:eastAsia="仿宋_GB2312" w:cs="Times New Roman"/>
          <w:color w:val="000000" w:themeColor="text1"/>
          <w:kern w:val="2"/>
          <w:sz w:val="28"/>
          <w:szCs w:val="28"/>
          <w14:textFill>
            <w14:solidFill>
              <w14:schemeClr w14:val="tx1"/>
            </w14:solidFill>
          </w14:textFill>
        </w:rPr>
      </w:pPr>
      <w:r>
        <w:rPr>
          <w:rFonts w:hint="eastAsia" w:ascii="Times New Roman" w:hAnsi="Times New Roman" w:eastAsia="仿宋_GB2312" w:cs="Times New Roman"/>
          <w:color w:val="000000" w:themeColor="text1"/>
          <w:kern w:val="2"/>
          <w:sz w:val="28"/>
          <w:szCs w:val="28"/>
          <w14:textFill>
            <w14:solidFill>
              <w14:schemeClr w14:val="tx1"/>
            </w14:solidFill>
          </w14:textFill>
        </w:rPr>
        <w:t>在校期间完成服兵役计分如附表</w:t>
      </w:r>
      <w:r>
        <w:rPr>
          <w:rFonts w:ascii="Times New Roman" w:hAnsi="Times New Roman" w:eastAsia="仿宋_GB2312" w:cs="Times New Roman"/>
          <w:color w:val="000000" w:themeColor="text1"/>
          <w:kern w:val="2"/>
          <w:sz w:val="28"/>
          <w:szCs w:val="28"/>
          <w14:textFill>
            <w14:solidFill>
              <w14:schemeClr w14:val="tx1"/>
            </w14:solidFill>
          </w14:textFill>
        </w:rPr>
        <w:t>7</w:t>
      </w:r>
      <w:r>
        <w:rPr>
          <w:rFonts w:hint="eastAsia" w:ascii="Times New Roman" w:hAnsi="Times New Roman" w:eastAsia="仿宋_GB2312" w:cs="Times New Roman"/>
          <w:color w:val="000000" w:themeColor="text1"/>
          <w:kern w:val="2"/>
          <w:sz w:val="28"/>
          <w:szCs w:val="28"/>
          <w14:textFill>
            <w14:solidFill>
              <w14:schemeClr w14:val="tx1"/>
            </w14:solidFill>
          </w14:textFill>
        </w:rPr>
        <w:t>所示。</w:t>
      </w:r>
    </w:p>
    <w:p>
      <w:pPr>
        <w:spacing w:line="560" w:lineRule="exact"/>
        <w:ind w:firstLine="482" w:firstLineChars="200"/>
        <w:jc w:val="center"/>
        <w:rPr>
          <w:rFonts w:ascii="仿宋" w:hAnsi="仿宋" w:eastAsia="仿宋" w:cs="仿宋"/>
          <w:b/>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14:textFill>
            <w14:solidFill>
              <w14:schemeClr w14:val="tx1"/>
            </w14:solidFill>
          </w14:textFill>
        </w:rPr>
        <w:t>表</w:t>
      </w:r>
      <w:r>
        <w:rPr>
          <w:rFonts w:ascii="仿宋" w:hAnsi="仿宋" w:eastAsia="仿宋" w:cs="仿宋"/>
          <w:b/>
          <w:color w:val="000000" w:themeColor="text1"/>
          <w:kern w:val="0"/>
          <w:sz w:val="24"/>
          <w:szCs w:val="24"/>
          <w14:textFill>
            <w14:solidFill>
              <w14:schemeClr w14:val="tx1"/>
            </w14:solidFill>
          </w14:textFill>
        </w:rPr>
        <w:t>7</w:t>
      </w:r>
      <w:r>
        <w:rPr>
          <w:rFonts w:hint="eastAsia" w:ascii="仿宋" w:hAnsi="仿宋" w:eastAsia="仿宋" w:cs="仿宋"/>
          <w:b/>
          <w:color w:val="000000" w:themeColor="text1"/>
          <w:kern w:val="0"/>
          <w:sz w:val="24"/>
          <w:szCs w:val="24"/>
          <w14:textFill>
            <w14:solidFill>
              <w14:schemeClr w14:val="tx1"/>
            </w14:solidFill>
          </w14:textFill>
        </w:rPr>
        <w:t>：服兵役计分</w:t>
      </w:r>
    </w:p>
    <w:tbl>
      <w:tblPr>
        <w:tblStyle w:val="9"/>
        <w:tblW w:w="0" w:type="auto"/>
        <w:jc w:val="center"/>
        <w:tblLayout w:type="fixed"/>
        <w:tblCellMar>
          <w:top w:w="0" w:type="dxa"/>
          <w:left w:w="108" w:type="dxa"/>
          <w:bottom w:w="0" w:type="dxa"/>
          <w:right w:w="108" w:type="dxa"/>
        </w:tblCellMar>
      </w:tblPr>
      <w:tblGrid>
        <w:gridCol w:w="3260"/>
        <w:gridCol w:w="4820"/>
      </w:tblGrid>
      <w:tr>
        <w:tblPrEx>
          <w:tblCellMar>
            <w:top w:w="0" w:type="dxa"/>
            <w:left w:w="108" w:type="dxa"/>
            <w:bottom w:w="0" w:type="dxa"/>
            <w:right w:w="108" w:type="dxa"/>
          </w:tblCellMar>
        </w:tblPrEx>
        <w:trPr>
          <w:trHeight w:val="20" w:hRule="atLeast"/>
          <w:jc w:val="center"/>
        </w:trPr>
        <w:tc>
          <w:tcPr>
            <w:tcW w:w="3260" w:type="dxa"/>
            <w:tcBorders>
              <w:top w:val="single" w:color="auto" w:sz="4" w:space="0"/>
              <w:left w:val="single" w:color="auto" w:sz="4" w:space="0"/>
              <w:bottom w:val="single" w:color="auto" w:sz="4" w:space="0"/>
              <w:right w:val="single" w:color="auto" w:sz="4"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事项</w:t>
            </w:r>
          </w:p>
        </w:tc>
        <w:tc>
          <w:tcPr>
            <w:tcW w:w="4820" w:type="dxa"/>
            <w:tcBorders>
              <w:top w:val="single" w:color="auto" w:sz="4" w:space="0"/>
              <w:left w:val="nil"/>
              <w:bottom w:val="single" w:color="auto" w:sz="4" w:space="0"/>
              <w:right w:val="single" w:color="auto" w:sz="4"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级别和加分</w:t>
            </w:r>
          </w:p>
        </w:tc>
      </w:tr>
      <w:tr>
        <w:tblPrEx>
          <w:tblCellMar>
            <w:top w:w="0" w:type="dxa"/>
            <w:left w:w="108" w:type="dxa"/>
            <w:bottom w:w="0" w:type="dxa"/>
            <w:right w:w="108" w:type="dxa"/>
          </w:tblCellMar>
        </w:tblPrEx>
        <w:trPr>
          <w:trHeight w:val="20" w:hRule="atLeast"/>
          <w:jc w:val="center"/>
        </w:trPr>
        <w:tc>
          <w:tcPr>
            <w:tcW w:w="3260" w:type="dxa"/>
            <w:tcBorders>
              <w:top w:val="single" w:color="auto" w:sz="4" w:space="0"/>
              <w:left w:val="single" w:color="auto" w:sz="4" w:space="0"/>
              <w:bottom w:val="single" w:color="auto" w:sz="4" w:space="0"/>
              <w:right w:val="single" w:color="auto" w:sz="4"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在校期间完成服兵役</w:t>
            </w:r>
          </w:p>
        </w:tc>
        <w:tc>
          <w:tcPr>
            <w:tcW w:w="4820" w:type="dxa"/>
            <w:tcBorders>
              <w:top w:val="single" w:color="auto" w:sz="4" w:space="0"/>
              <w:left w:val="nil"/>
              <w:bottom w:val="single" w:color="auto" w:sz="4" w:space="0"/>
              <w:right w:val="single" w:color="auto" w:sz="4"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r>
    </w:tbl>
    <w:p>
      <w:pPr>
        <w:widowControl/>
        <w:spacing w:line="560" w:lineRule="exact"/>
        <w:ind w:firstLine="562" w:firstLineChars="200"/>
        <w:rPr>
          <w:rFonts w:ascii="Times New Roman" w:hAnsi="Times New Roman" w:eastAsia="仿宋_GB2312" w:cs="仿宋"/>
          <w:b/>
          <w:color w:val="000000" w:themeColor="text1"/>
          <w:kern w:val="0"/>
          <w:sz w:val="28"/>
          <w:szCs w:val="28"/>
          <w14:textFill>
            <w14:solidFill>
              <w14:schemeClr w14:val="tx1"/>
            </w14:solidFill>
          </w14:textFill>
        </w:rPr>
      </w:pPr>
      <w:r>
        <w:rPr>
          <w:rFonts w:hint="eastAsia" w:ascii="Times New Roman" w:hAnsi="Times New Roman" w:eastAsia="仿宋_GB2312" w:cs="仿宋"/>
          <w:b/>
          <w:color w:val="000000" w:themeColor="text1"/>
          <w:kern w:val="0"/>
          <w:sz w:val="28"/>
          <w:szCs w:val="28"/>
          <w14:textFill>
            <w14:solidFill>
              <w14:schemeClr w14:val="tx1"/>
            </w14:solidFill>
          </w14:textFill>
        </w:rPr>
        <w:t>3．体育类</w:t>
      </w:r>
    </w:p>
    <w:p>
      <w:pPr>
        <w:pStyle w:val="15"/>
        <w:adjustRightInd w:val="0"/>
        <w:snapToGrid w:val="0"/>
        <w:spacing w:before="0" w:after="0" w:afterAutospacing="0" w:line="560" w:lineRule="exact"/>
        <w:ind w:firstLine="560" w:firstLineChars="200"/>
        <w:jc w:val="both"/>
        <w:rPr>
          <w:rFonts w:ascii="Times New Roman" w:hAnsi="Times New Roman" w:eastAsia="仿宋_GB2312" w:cs="仿宋"/>
          <w:b/>
          <w:color w:val="000000" w:themeColor="text1"/>
          <w:sz w:val="28"/>
          <w:szCs w:val="28"/>
          <w14:textFill>
            <w14:solidFill>
              <w14:schemeClr w14:val="tx1"/>
            </w14:solidFill>
          </w14:textFill>
        </w:rPr>
      </w:pPr>
      <w:r>
        <w:rPr>
          <w:rFonts w:hint="eastAsia" w:ascii="Times New Roman" w:hAnsi="Times New Roman" w:eastAsia="仿宋_GB2312" w:cs="Times New Roman"/>
          <w:color w:val="000000" w:themeColor="text1"/>
          <w:kern w:val="2"/>
          <w:sz w:val="28"/>
          <w:szCs w:val="28"/>
          <w14:textFill>
            <w14:solidFill>
              <w14:schemeClr w14:val="tx1"/>
            </w14:solidFill>
          </w14:textFill>
        </w:rPr>
        <w:t>体育类包含体育竞赛或获奖方面。同一学生在此类的同一方面有多项加分情况，只计一项。</w:t>
      </w:r>
      <w:bookmarkStart w:id="3" w:name="_Hlk85477604"/>
      <w:r>
        <w:rPr>
          <w:rFonts w:hint="eastAsia" w:ascii="Times New Roman" w:hAnsi="Times New Roman" w:eastAsia="仿宋_GB2312"/>
          <w:color w:val="000000" w:themeColor="text1"/>
          <w:sz w:val="28"/>
          <w:szCs w:val="28"/>
          <w14:textFill>
            <w14:solidFill>
              <w14:schemeClr w14:val="tx1"/>
            </w14:solidFill>
          </w14:textFill>
        </w:rPr>
        <w:t>参加各级各类体育竞赛加分标准</w:t>
      </w:r>
      <w:r>
        <w:rPr>
          <w:rFonts w:hint="eastAsia" w:ascii="仿宋_GB2312" w:hAnsi="Times New Roman" w:eastAsia="仿宋_GB2312"/>
          <w:sz w:val="28"/>
          <w:szCs w:val="28"/>
        </w:rPr>
        <w:t>见表</w:t>
      </w:r>
      <w:r>
        <w:rPr>
          <w:rFonts w:ascii="仿宋_GB2312" w:hAnsi="Times New Roman" w:eastAsia="仿宋_GB2312"/>
          <w:sz w:val="28"/>
          <w:szCs w:val="28"/>
        </w:rPr>
        <w:t>8</w:t>
      </w:r>
      <w:r>
        <w:rPr>
          <w:rFonts w:hint="eastAsia" w:ascii="仿宋_GB2312" w:hAnsi="Times New Roman" w:eastAsia="仿宋_GB2312"/>
          <w:sz w:val="28"/>
          <w:szCs w:val="28"/>
        </w:rPr>
        <w:t>。</w:t>
      </w:r>
    </w:p>
    <w:p>
      <w:pPr>
        <w:widowControl/>
        <w:ind w:firstLine="482" w:firstLineChars="200"/>
        <w:jc w:val="center"/>
        <w:rPr>
          <w:rFonts w:ascii="仿宋" w:hAnsi="仿宋" w:eastAsia="仿宋" w:cs="仿宋"/>
          <w:b/>
          <w:bCs/>
          <w:color w:val="000000" w:themeColor="text1"/>
          <w:kern w:val="0"/>
          <w:sz w:val="24"/>
          <w:szCs w:val="24"/>
          <w14:textFill>
            <w14:solidFill>
              <w14:schemeClr w14:val="tx1"/>
            </w14:solidFill>
          </w14:textFill>
        </w:rPr>
      </w:pPr>
      <w:r>
        <w:rPr>
          <w:rFonts w:hint="eastAsia" w:ascii="仿宋" w:hAnsi="仿宋" w:eastAsia="仿宋" w:cs="仿宋"/>
          <w:b/>
          <w:bCs/>
          <w:color w:val="000000" w:themeColor="text1"/>
          <w:kern w:val="0"/>
          <w:sz w:val="24"/>
          <w:szCs w:val="24"/>
          <w14:textFill>
            <w14:solidFill>
              <w14:schemeClr w14:val="tx1"/>
            </w14:solidFill>
          </w14:textFill>
        </w:rPr>
        <w:t>表</w:t>
      </w:r>
      <w:r>
        <w:rPr>
          <w:rFonts w:ascii="仿宋" w:hAnsi="仿宋" w:eastAsia="仿宋" w:cs="仿宋"/>
          <w:b/>
          <w:bCs/>
          <w:color w:val="000000" w:themeColor="text1"/>
          <w:kern w:val="0"/>
          <w:sz w:val="24"/>
          <w:szCs w:val="24"/>
          <w14:textFill>
            <w14:solidFill>
              <w14:schemeClr w14:val="tx1"/>
            </w14:solidFill>
          </w14:textFill>
        </w:rPr>
        <w:t>8</w:t>
      </w:r>
      <w:r>
        <w:rPr>
          <w:rFonts w:hint="eastAsia" w:ascii="仿宋" w:hAnsi="仿宋" w:eastAsia="仿宋" w:cs="仿宋"/>
          <w:b/>
          <w:bCs/>
          <w:color w:val="000000" w:themeColor="text1"/>
          <w:kern w:val="0"/>
          <w:sz w:val="24"/>
          <w:szCs w:val="24"/>
          <w14:textFill>
            <w14:solidFill>
              <w14:schemeClr w14:val="tx1"/>
            </w14:solidFill>
          </w14:textFill>
        </w:rPr>
        <w:t>： 体育竞赛获奖加分</w:t>
      </w:r>
    </w:p>
    <w:tbl>
      <w:tblPr>
        <w:tblStyle w:val="9"/>
        <w:tblW w:w="8003"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2506"/>
        <w:gridCol w:w="2164"/>
        <w:gridCol w:w="1701"/>
        <w:gridCol w:w="1632"/>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0" w:hRule="atLeast"/>
          <w:jc w:val="center"/>
        </w:trPr>
        <w:tc>
          <w:tcPr>
            <w:tcW w:w="2506"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分 类</w:t>
            </w:r>
          </w:p>
        </w:tc>
        <w:tc>
          <w:tcPr>
            <w:tcW w:w="2164"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国家级（分）</w:t>
            </w:r>
          </w:p>
        </w:tc>
        <w:tc>
          <w:tcPr>
            <w:tcW w:w="1701" w:type="dxa"/>
            <w:tcBorders>
              <w:top w:val="outset" w:color="auto" w:sz="6" w:space="0"/>
              <w:left w:val="outset" w:color="auto" w:sz="6" w:space="0"/>
              <w:bottom w:val="outset" w:color="auto" w:sz="6" w:space="0"/>
              <w:right w:val="single" w:color="auto" w:sz="4"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省（市）级（分）</w:t>
            </w:r>
          </w:p>
        </w:tc>
        <w:tc>
          <w:tcPr>
            <w:tcW w:w="1632" w:type="dxa"/>
            <w:tcBorders>
              <w:top w:val="outset" w:color="auto" w:sz="6" w:space="0"/>
              <w:left w:val="single" w:color="auto" w:sz="4"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校级</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0" w:hRule="atLeast"/>
          <w:jc w:val="center"/>
        </w:trPr>
        <w:tc>
          <w:tcPr>
            <w:tcW w:w="2506"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一等奖（或第一名）</w:t>
            </w:r>
          </w:p>
        </w:tc>
        <w:tc>
          <w:tcPr>
            <w:tcW w:w="2164"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1701"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632" w:type="dxa"/>
            <w:tcBorders>
              <w:top w:val="outset" w:color="auto" w:sz="6" w:space="0"/>
              <w:left w:val="single" w:color="auto" w:sz="4"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0" w:hRule="atLeast"/>
          <w:jc w:val="center"/>
        </w:trPr>
        <w:tc>
          <w:tcPr>
            <w:tcW w:w="2506"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二等奖（或第二名）</w:t>
            </w:r>
          </w:p>
        </w:tc>
        <w:tc>
          <w:tcPr>
            <w:tcW w:w="2164"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1701"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632" w:type="dxa"/>
            <w:tcBorders>
              <w:top w:val="outset" w:color="auto" w:sz="6" w:space="0"/>
              <w:left w:val="single" w:color="auto" w:sz="4"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0" w:hRule="atLeast"/>
          <w:jc w:val="center"/>
        </w:trPr>
        <w:tc>
          <w:tcPr>
            <w:tcW w:w="2506"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三等奖（或第三名）</w:t>
            </w:r>
          </w:p>
        </w:tc>
        <w:tc>
          <w:tcPr>
            <w:tcW w:w="2164"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color w:val="000000" w:themeColor="text1"/>
                <w14:textFill>
                  <w14:solidFill>
                    <w14:schemeClr w14:val="tx1"/>
                  </w14:solidFill>
                </w14:textFill>
              </w:rPr>
              <w:t>6</w:t>
            </w:r>
          </w:p>
        </w:tc>
        <w:tc>
          <w:tcPr>
            <w:tcW w:w="1701"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632" w:type="dxa"/>
            <w:tcBorders>
              <w:top w:val="outset" w:color="auto" w:sz="6" w:space="0"/>
              <w:left w:val="single" w:color="auto" w:sz="4"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r>
    </w:tbl>
    <w:p>
      <w:pPr>
        <w:widowControl/>
        <w:ind w:firstLine="482" w:firstLineChars="200"/>
        <w:rPr>
          <w:rFonts w:ascii="Times New Roman" w:hAnsi="Times New Roman" w:eastAsia="仿宋_GB2312" w:cs="仿宋"/>
          <w:b/>
          <w:bCs/>
          <w:color w:val="000000" w:themeColor="text1"/>
          <w:kern w:val="0"/>
          <w:sz w:val="28"/>
          <w:szCs w:val="28"/>
          <w14:textFill>
            <w14:solidFill>
              <w14:schemeClr w14:val="tx1"/>
            </w14:solidFill>
          </w14:textFill>
        </w:rPr>
      </w:pPr>
      <w:r>
        <w:rPr>
          <w:rFonts w:hint="eastAsia" w:ascii="Times New Roman" w:hAnsi="Times New Roman" w:eastAsia="仿宋_GB2312" w:cs="仿宋"/>
          <w:b/>
          <w:color w:val="000000" w:themeColor="text1"/>
          <w:kern w:val="0"/>
          <w:sz w:val="24"/>
          <w:szCs w:val="24"/>
          <w14:textFill>
            <w14:solidFill>
              <w14:schemeClr w14:val="tx1"/>
            </w14:solidFill>
          </w14:textFill>
        </w:rPr>
        <w:t>注释:</w:t>
      </w:r>
      <w:r>
        <w:rPr>
          <w:rFonts w:hint="eastAsia" w:ascii="Times New Roman" w:hAnsi="Times New Roman" w:eastAsia="仿宋_GB2312" w:cs="仿宋"/>
          <w:color w:val="000000" w:themeColor="text1"/>
          <w:kern w:val="0"/>
          <w:sz w:val="24"/>
          <w:szCs w:val="24"/>
          <w14:textFill>
            <w14:solidFill>
              <w14:schemeClr w14:val="tx1"/>
            </w14:solidFill>
          </w14:textFill>
        </w:rPr>
        <w:t>①团体项目（校级项目除外），每名成员在所得加分的基础上乘以系数0.8。②参加国家级、省级未获奖参照获奖加分乘以系数0.5。③校级比赛获奖只认单人项目。</w:t>
      </w:r>
    </w:p>
    <w:bookmarkEnd w:id="3"/>
    <w:p>
      <w:pPr>
        <w:widowControl/>
        <w:spacing w:line="560" w:lineRule="exact"/>
        <w:ind w:firstLine="562" w:firstLineChars="200"/>
        <w:rPr>
          <w:rFonts w:ascii="Times New Roman" w:hAnsi="Times New Roman" w:eastAsia="仿宋_GB2312"/>
          <w:b/>
          <w:color w:val="000000" w:themeColor="text1"/>
          <w:sz w:val="28"/>
          <w:szCs w:val="28"/>
          <w14:textFill>
            <w14:solidFill>
              <w14:schemeClr w14:val="tx1"/>
            </w14:solidFill>
          </w14:textFill>
        </w:rPr>
      </w:pPr>
      <w:r>
        <w:rPr>
          <w:rFonts w:hint="eastAsia" w:ascii="Times New Roman" w:hAnsi="Times New Roman" w:eastAsia="仿宋_GB2312"/>
          <w:b/>
          <w:color w:val="000000" w:themeColor="text1"/>
          <w:sz w:val="28"/>
          <w:szCs w:val="28"/>
          <w14:textFill>
            <w14:solidFill>
              <w14:schemeClr w14:val="tx1"/>
            </w14:solidFill>
          </w14:textFill>
        </w:rPr>
        <w:t>4．美育类</w:t>
      </w:r>
    </w:p>
    <w:p>
      <w:pPr>
        <w:pStyle w:val="15"/>
        <w:adjustRightInd w:val="0"/>
        <w:snapToGrid w:val="0"/>
        <w:spacing w:before="0" w:after="0" w:afterAutospacing="0"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bookmarkStart w:id="4" w:name="_Hlk85477679"/>
      <w:r>
        <w:rPr>
          <w:rFonts w:hint="eastAsia" w:ascii="Times New Roman" w:hAnsi="Times New Roman" w:eastAsia="仿宋_GB2312" w:cs="Times New Roman"/>
          <w:color w:val="000000" w:themeColor="text1"/>
          <w:kern w:val="2"/>
          <w:sz w:val="28"/>
          <w:szCs w:val="28"/>
          <w14:textFill>
            <w14:solidFill>
              <w14:schemeClr w14:val="tx1"/>
            </w14:solidFill>
          </w14:textFill>
        </w:rPr>
        <w:t>在全国大学生艺术展演和教育部、文化部举办的全国性艺术比赛中获奖。团体项目，每名成员在所得加分的基础上乘以系数0.8。同一学生在此类的同一方面有多项加分情况，只计一项。</w:t>
      </w:r>
      <w:r>
        <w:rPr>
          <w:rFonts w:hint="eastAsia" w:ascii="Times New Roman" w:hAnsi="Times New Roman" w:eastAsia="仿宋_GB2312"/>
          <w:color w:val="000000" w:themeColor="text1"/>
          <w:sz w:val="28"/>
          <w:szCs w:val="28"/>
          <w14:textFill>
            <w14:solidFill>
              <w14:schemeClr w14:val="tx1"/>
            </w14:solidFill>
          </w14:textFill>
        </w:rPr>
        <w:t>参加各级各类美育竞赛加分标准见附表</w:t>
      </w:r>
      <w:r>
        <w:rPr>
          <w:rFonts w:ascii="Times New Roman" w:hAnsi="Times New Roman" w:eastAsia="仿宋_GB2312"/>
          <w:color w:val="000000" w:themeColor="text1"/>
          <w:sz w:val="28"/>
          <w:szCs w:val="28"/>
          <w14:textFill>
            <w14:solidFill>
              <w14:schemeClr w14:val="tx1"/>
            </w14:solidFill>
          </w14:textFill>
        </w:rPr>
        <w:t>9</w:t>
      </w:r>
      <w:r>
        <w:rPr>
          <w:rFonts w:hint="eastAsia" w:ascii="Times New Roman" w:hAnsi="Times New Roman" w:eastAsia="仿宋_GB2312"/>
          <w:color w:val="000000" w:themeColor="text1"/>
          <w:sz w:val="28"/>
          <w:szCs w:val="28"/>
          <w14:textFill>
            <w14:solidFill>
              <w14:schemeClr w14:val="tx1"/>
            </w14:solidFill>
          </w14:textFill>
        </w:rPr>
        <w:t>。</w:t>
      </w:r>
    </w:p>
    <w:p>
      <w:pPr>
        <w:widowControl/>
        <w:ind w:firstLine="482" w:firstLineChars="200"/>
        <w:jc w:val="center"/>
        <w:rPr>
          <w:rFonts w:ascii="仿宋" w:hAnsi="仿宋" w:eastAsia="仿宋" w:cs="仿宋"/>
          <w:b/>
          <w:bCs/>
          <w:color w:val="000000" w:themeColor="text1"/>
          <w:kern w:val="0"/>
          <w:sz w:val="24"/>
          <w:szCs w:val="24"/>
          <w14:textFill>
            <w14:solidFill>
              <w14:schemeClr w14:val="tx1"/>
            </w14:solidFill>
          </w14:textFill>
        </w:rPr>
      </w:pPr>
      <w:r>
        <w:rPr>
          <w:rFonts w:hint="eastAsia" w:ascii="仿宋" w:hAnsi="仿宋" w:eastAsia="仿宋" w:cs="仿宋"/>
          <w:b/>
          <w:bCs/>
          <w:color w:val="000000" w:themeColor="text1"/>
          <w:kern w:val="0"/>
          <w:sz w:val="24"/>
          <w:szCs w:val="24"/>
          <w14:textFill>
            <w14:solidFill>
              <w14:schemeClr w14:val="tx1"/>
            </w14:solidFill>
          </w14:textFill>
        </w:rPr>
        <w:t>表</w:t>
      </w:r>
      <w:r>
        <w:rPr>
          <w:rFonts w:ascii="仿宋" w:hAnsi="仿宋" w:eastAsia="仿宋" w:cs="仿宋"/>
          <w:b/>
          <w:bCs/>
          <w:color w:val="000000" w:themeColor="text1"/>
          <w:kern w:val="0"/>
          <w:sz w:val="24"/>
          <w:szCs w:val="24"/>
          <w14:textFill>
            <w14:solidFill>
              <w14:schemeClr w14:val="tx1"/>
            </w14:solidFill>
          </w14:textFill>
        </w:rPr>
        <w:t>9</w:t>
      </w:r>
      <w:r>
        <w:rPr>
          <w:rFonts w:hint="eastAsia" w:ascii="仿宋" w:hAnsi="仿宋" w:eastAsia="仿宋" w:cs="仿宋"/>
          <w:b/>
          <w:bCs/>
          <w:color w:val="000000" w:themeColor="text1"/>
          <w:kern w:val="0"/>
          <w:sz w:val="24"/>
          <w:szCs w:val="24"/>
          <w14:textFill>
            <w14:solidFill>
              <w14:schemeClr w14:val="tx1"/>
            </w14:solidFill>
          </w14:textFill>
        </w:rPr>
        <w:t>：美育类竞赛获奖加分</w:t>
      </w:r>
    </w:p>
    <w:tbl>
      <w:tblPr>
        <w:tblStyle w:val="9"/>
        <w:tblW w:w="7222"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2827"/>
        <w:gridCol w:w="1701"/>
        <w:gridCol w:w="2694"/>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0" w:hRule="atLeast"/>
          <w:jc w:val="center"/>
        </w:trPr>
        <w:tc>
          <w:tcPr>
            <w:tcW w:w="2827"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分 类</w:t>
            </w:r>
          </w:p>
        </w:tc>
        <w:tc>
          <w:tcPr>
            <w:tcW w:w="1701"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国家级（分）</w:t>
            </w:r>
          </w:p>
        </w:tc>
        <w:tc>
          <w:tcPr>
            <w:tcW w:w="2694" w:type="dxa"/>
            <w:tcBorders>
              <w:top w:val="outset" w:color="auto" w:sz="6" w:space="0"/>
              <w:left w:val="outset" w:color="auto" w:sz="6" w:space="0"/>
              <w:bottom w:val="outset" w:color="auto" w:sz="6" w:space="0"/>
              <w:right w:val="single" w:color="auto" w:sz="4"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省（市）级（分）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0" w:hRule="atLeast"/>
          <w:jc w:val="center"/>
        </w:trPr>
        <w:tc>
          <w:tcPr>
            <w:tcW w:w="2827"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一等奖（或第一名）</w:t>
            </w:r>
          </w:p>
        </w:tc>
        <w:tc>
          <w:tcPr>
            <w:tcW w:w="1701"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color w:val="000000" w:themeColor="text1"/>
                <w14:textFill>
                  <w14:solidFill>
                    <w14:schemeClr w14:val="tx1"/>
                  </w14:solidFill>
                </w14:textFill>
              </w:rPr>
              <w:t>10</w:t>
            </w:r>
          </w:p>
        </w:tc>
        <w:tc>
          <w:tcPr>
            <w:tcW w:w="2694"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color w:val="000000" w:themeColor="text1"/>
                <w14:textFill>
                  <w14:solidFill>
                    <w14:schemeClr w14:val="tx1"/>
                  </w14:solidFill>
                </w14:textFill>
              </w:rPr>
              <w:t>6</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0" w:hRule="atLeast"/>
          <w:jc w:val="center"/>
        </w:trPr>
        <w:tc>
          <w:tcPr>
            <w:tcW w:w="2827"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二等奖（或第二名）</w:t>
            </w:r>
          </w:p>
        </w:tc>
        <w:tc>
          <w:tcPr>
            <w:tcW w:w="1701"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color w:val="000000" w:themeColor="text1"/>
                <w14:textFill>
                  <w14:solidFill>
                    <w14:schemeClr w14:val="tx1"/>
                  </w14:solidFill>
                </w14:textFill>
              </w:rPr>
              <w:t>8</w:t>
            </w:r>
          </w:p>
        </w:tc>
        <w:tc>
          <w:tcPr>
            <w:tcW w:w="2694"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color w:val="000000" w:themeColor="text1"/>
                <w14:textFill>
                  <w14:solidFill>
                    <w14:schemeClr w14:val="tx1"/>
                  </w14:solidFill>
                </w14:textFill>
              </w:rPr>
              <w:t>4</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0" w:hRule="atLeast"/>
          <w:jc w:val="center"/>
        </w:trPr>
        <w:tc>
          <w:tcPr>
            <w:tcW w:w="2827"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三等奖（或第三名）</w:t>
            </w:r>
          </w:p>
        </w:tc>
        <w:tc>
          <w:tcPr>
            <w:tcW w:w="1701"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color w:val="000000" w:themeColor="text1"/>
                <w14:textFill>
                  <w14:solidFill>
                    <w14:schemeClr w14:val="tx1"/>
                  </w14:solidFill>
                </w14:textFill>
              </w:rPr>
              <w:t>6</w:t>
            </w:r>
          </w:p>
        </w:tc>
        <w:tc>
          <w:tcPr>
            <w:tcW w:w="2694"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color w:val="000000" w:themeColor="text1"/>
                <w14:textFill>
                  <w14:solidFill>
                    <w14:schemeClr w14:val="tx1"/>
                  </w14:solidFill>
                </w14:textFill>
              </w:rPr>
              <w:t>2</w:t>
            </w:r>
          </w:p>
        </w:tc>
      </w:tr>
    </w:tbl>
    <w:p>
      <w:pPr>
        <w:widowControl/>
        <w:ind w:firstLine="422" w:firstLineChars="200"/>
        <w:rPr>
          <w:rFonts w:ascii="Times New Roman" w:hAnsi="Times New Roman" w:eastAsia="仿宋_GB2312" w:cs="Times New Roman"/>
          <w:b/>
          <w:bCs/>
          <w:color w:val="000000" w:themeColor="text1"/>
          <w14:textFill>
            <w14:solidFill>
              <w14:schemeClr w14:val="tx1"/>
            </w14:solidFill>
          </w14:textFill>
        </w:rPr>
      </w:pPr>
      <w:r>
        <w:rPr>
          <w:rFonts w:hint="eastAsia" w:ascii="Times New Roman" w:hAnsi="Times New Roman" w:eastAsia="仿宋_GB2312" w:cs="Times New Roman"/>
          <w:b/>
          <w:color w:val="000000" w:themeColor="text1"/>
          <w14:textFill>
            <w14:solidFill>
              <w14:schemeClr w14:val="tx1"/>
            </w14:solidFill>
          </w14:textFill>
        </w:rPr>
        <w:t>注释:</w:t>
      </w:r>
      <w:r>
        <w:rPr>
          <w:rFonts w:hint="eastAsia" w:ascii="Times New Roman" w:hAnsi="Times New Roman" w:eastAsia="仿宋_GB2312" w:cs="Times New Roman"/>
          <w:color w:val="000000" w:themeColor="text1"/>
          <w14:textFill>
            <w14:solidFill>
              <w14:schemeClr w14:val="tx1"/>
            </w14:solidFill>
          </w14:textFill>
        </w:rPr>
        <w:t>获奖等级或名次由学院推荐优秀应届本科毕业生免试攻读硕士学位研究生工作小组根据获奖的具体情况进行认定。</w:t>
      </w:r>
    </w:p>
    <w:bookmarkEnd w:id="4"/>
    <w:p>
      <w:pPr>
        <w:widowControl/>
        <w:spacing w:line="560" w:lineRule="exact"/>
        <w:ind w:firstLine="562" w:firstLineChars="200"/>
        <w:rPr>
          <w:rFonts w:ascii="Times New Roman" w:hAnsi="Times New Roman" w:eastAsia="仿宋_GB2312"/>
          <w:b/>
          <w:color w:val="000000" w:themeColor="text1"/>
          <w:sz w:val="28"/>
          <w:szCs w:val="28"/>
          <w14:textFill>
            <w14:solidFill>
              <w14:schemeClr w14:val="tx1"/>
            </w14:solidFill>
          </w14:textFill>
        </w:rPr>
      </w:pPr>
      <w:r>
        <w:rPr>
          <w:rFonts w:ascii="Times New Roman" w:hAnsi="Times New Roman" w:eastAsia="仿宋_GB2312"/>
          <w:b/>
          <w:color w:val="000000" w:themeColor="text1"/>
          <w:sz w:val="28"/>
          <w:szCs w:val="28"/>
          <w14:textFill>
            <w14:solidFill>
              <w14:schemeClr w14:val="tx1"/>
            </w14:solidFill>
          </w14:textFill>
        </w:rPr>
        <w:t>5</w:t>
      </w:r>
      <w:r>
        <w:rPr>
          <w:rFonts w:hint="eastAsia" w:ascii="Times New Roman" w:hAnsi="Times New Roman" w:eastAsia="仿宋_GB2312"/>
          <w:b/>
          <w:color w:val="000000" w:themeColor="text1"/>
          <w:sz w:val="28"/>
          <w:szCs w:val="28"/>
          <w14:textFill>
            <w14:solidFill>
              <w14:schemeClr w14:val="tx1"/>
            </w14:solidFill>
          </w14:textFill>
        </w:rPr>
        <w:t>．劳动教育类</w:t>
      </w:r>
    </w:p>
    <w:p>
      <w:pPr>
        <w:pStyle w:val="15"/>
        <w:adjustRightInd w:val="0"/>
        <w:snapToGrid w:val="0"/>
        <w:spacing w:before="0" w:after="0" w:afterAutospacing="0" w:line="560" w:lineRule="exact"/>
        <w:ind w:firstLine="562" w:firstLineChars="200"/>
        <w:jc w:val="both"/>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b/>
          <w:color w:val="000000" w:themeColor="text1"/>
          <w:sz w:val="28"/>
          <w:szCs w:val="28"/>
          <w14:textFill>
            <w14:solidFill>
              <w14:schemeClr w14:val="tx1"/>
            </w14:solidFill>
          </w14:textFill>
        </w:rPr>
        <w:t xml:space="preserve"> </w:t>
      </w:r>
      <w:r>
        <w:rPr>
          <w:rFonts w:hint="eastAsia" w:ascii="Times New Roman" w:hAnsi="Times New Roman" w:eastAsia="仿宋_GB2312" w:cs="Times New Roman"/>
          <w:color w:val="000000" w:themeColor="text1"/>
          <w:kern w:val="2"/>
          <w:sz w:val="28"/>
          <w:szCs w:val="28"/>
          <w14:textFill>
            <w14:solidFill>
              <w14:schemeClr w14:val="tx1"/>
            </w14:solidFill>
          </w14:textFill>
        </w:rPr>
        <w:t>获得劳动技能方面国家级奖励及竞赛获奖。团体项目，每名成员在所得加分的基础上乘以系数0.8，同一学生在此类的同一方面有多项加分情况，只计一项。</w:t>
      </w:r>
      <w:bookmarkStart w:id="5" w:name="_Hlk85477722"/>
      <w:r>
        <w:rPr>
          <w:rFonts w:hint="eastAsia" w:ascii="Times New Roman" w:hAnsi="Times New Roman" w:eastAsia="仿宋_GB2312"/>
          <w:color w:val="000000" w:themeColor="text1"/>
          <w:sz w:val="28"/>
          <w:szCs w:val="28"/>
          <w14:textFill>
            <w14:solidFill>
              <w14:schemeClr w14:val="tx1"/>
            </w14:solidFill>
          </w14:textFill>
        </w:rPr>
        <w:t>劳动教育</w:t>
      </w:r>
      <w:bookmarkEnd w:id="5"/>
      <w:r>
        <w:rPr>
          <w:rFonts w:hint="eastAsia" w:ascii="Times New Roman" w:hAnsi="Times New Roman" w:eastAsia="仿宋_GB2312"/>
          <w:color w:val="000000" w:themeColor="text1"/>
          <w:sz w:val="28"/>
          <w:szCs w:val="28"/>
          <w14:textFill>
            <w14:solidFill>
              <w14:schemeClr w14:val="tx1"/>
            </w14:solidFill>
          </w14:textFill>
        </w:rPr>
        <w:t>竞赛或获奖等方面加分标准见附表</w:t>
      </w:r>
      <w:r>
        <w:rPr>
          <w:rFonts w:ascii="Times New Roman" w:hAnsi="Times New Roman" w:eastAsia="仿宋_GB2312"/>
          <w:color w:val="000000" w:themeColor="text1"/>
          <w:sz w:val="28"/>
          <w:szCs w:val="28"/>
          <w14:textFill>
            <w14:solidFill>
              <w14:schemeClr w14:val="tx1"/>
            </w14:solidFill>
          </w14:textFill>
        </w:rPr>
        <w:t>10</w:t>
      </w:r>
      <w:r>
        <w:rPr>
          <w:rFonts w:hint="eastAsia" w:ascii="Times New Roman" w:hAnsi="Times New Roman" w:eastAsia="仿宋_GB2312"/>
          <w:color w:val="000000" w:themeColor="text1"/>
          <w:sz w:val="28"/>
          <w:szCs w:val="28"/>
          <w14:textFill>
            <w14:solidFill>
              <w14:schemeClr w14:val="tx1"/>
            </w14:solidFill>
          </w14:textFill>
        </w:rPr>
        <w:t>。</w:t>
      </w:r>
    </w:p>
    <w:p>
      <w:pPr>
        <w:pStyle w:val="15"/>
        <w:adjustRightInd w:val="0"/>
        <w:snapToGrid w:val="0"/>
        <w:spacing w:before="0" w:after="0" w:afterAutospacing="0" w:line="560" w:lineRule="exact"/>
        <w:ind w:firstLine="560" w:firstLineChars="200"/>
        <w:jc w:val="both"/>
        <w:rPr>
          <w:rFonts w:ascii="Times New Roman" w:hAnsi="Times New Roman" w:eastAsia="仿宋_GB2312" w:cs="Times New Roman"/>
          <w:color w:val="000000" w:themeColor="text1"/>
          <w:kern w:val="2"/>
          <w:sz w:val="28"/>
          <w:szCs w:val="28"/>
          <w14:textFill>
            <w14:solidFill>
              <w14:schemeClr w14:val="tx1"/>
            </w14:solidFill>
          </w14:textFill>
        </w:rPr>
      </w:pPr>
    </w:p>
    <w:p>
      <w:pPr>
        <w:widowControl/>
        <w:jc w:val="center"/>
        <w:rPr>
          <w:rFonts w:ascii="仿宋_GB2312" w:hAnsi="Times New Roman" w:eastAsia="仿宋_GB2312" w:cs="宋体"/>
          <w:b/>
          <w:bCs/>
          <w:kern w:val="0"/>
          <w:sz w:val="24"/>
          <w:szCs w:val="24"/>
        </w:rPr>
      </w:pPr>
      <w:r>
        <w:rPr>
          <w:rFonts w:hint="eastAsia" w:ascii="仿宋_GB2312" w:hAnsi="Times New Roman" w:eastAsia="仿宋_GB2312" w:cs="宋体"/>
          <w:b/>
          <w:bCs/>
          <w:kern w:val="0"/>
          <w:sz w:val="24"/>
          <w:szCs w:val="24"/>
        </w:rPr>
        <w:t>表</w:t>
      </w:r>
      <w:r>
        <w:rPr>
          <w:rFonts w:ascii="仿宋_GB2312" w:hAnsi="Times New Roman" w:eastAsia="仿宋_GB2312" w:cs="宋体"/>
          <w:b/>
          <w:bCs/>
          <w:kern w:val="0"/>
          <w:sz w:val="24"/>
          <w:szCs w:val="24"/>
        </w:rPr>
        <w:t>10</w:t>
      </w:r>
      <w:r>
        <w:rPr>
          <w:rFonts w:hint="eastAsia" w:ascii="仿宋_GB2312" w:hAnsi="Times New Roman" w:eastAsia="仿宋_GB2312" w:cs="宋体"/>
          <w:b/>
          <w:bCs/>
          <w:kern w:val="0"/>
          <w:sz w:val="24"/>
          <w:szCs w:val="24"/>
        </w:rPr>
        <w:t>：劳动教育类或获奖加分</w:t>
      </w:r>
    </w:p>
    <w:tbl>
      <w:tblPr>
        <w:tblStyle w:val="9"/>
        <w:tblW w:w="8233"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3264"/>
        <w:gridCol w:w="2179"/>
        <w:gridCol w:w="2790"/>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0" w:hRule="atLeast"/>
          <w:jc w:val="center"/>
        </w:trPr>
        <w:tc>
          <w:tcPr>
            <w:tcW w:w="3264"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等级</w:t>
            </w:r>
          </w:p>
        </w:tc>
        <w:tc>
          <w:tcPr>
            <w:tcW w:w="2179"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国家级（分）</w:t>
            </w:r>
          </w:p>
        </w:tc>
        <w:tc>
          <w:tcPr>
            <w:tcW w:w="2790" w:type="dxa"/>
            <w:tcBorders>
              <w:top w:val="outset" w:color="auto" w:sz="6" w:space="0"/>
              <w:left w:val="outset" w:color="auto" w:sz="6" w:space="0"/>
              <w:bottom w:val="outset" w:color="auto" w:sz="6" w:space="0"/>
              <w:right w:val="single" w:color="auto" w:sz="4"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省（市）级（分）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0" w:hRule="atLeast"/>
          <w:jc w:val="center"/>
        </w:trPr>
        <w:tc>
          <w:tcPr>
            <w:tcW w:w="3264"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一等奖（或第一名）</w:t>
            </w:r>
          </w:p>
        </w:tc>
        <w:tc>
          <w:tcPr>
            <w:tcW w:w="2179"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10</w:t>
            </w:r>
          </w:p>
        </w:tc>
        <w:tc>
          <w:tcPr>
            <w:tcW w:w="2790"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0" w:hRule="atLeast"/>
          <w:jc w:val="center"/>
        </w:trPr>
        <w:tc>
          <w:tcPr>
            <w:tcW w:w="3264"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二等奖（或第二名）</w:t>
            </w:r>
          </w:p>
        </w:tc>
        <w:tc>
          <w:tcPr>
            <w:tcW w:w="2179"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c>
          <w:tcPr>
            <w:tcW w:w="2790"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0" w:hRule="atLeast"/>
          <w:jc w:val="center"/>
        </w:trPr>
        <w:tc>
          <w:tcPr>
            <w:tcW w:w="3264"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三等奖（或第三名）</w:t>
            </w:r>
          </w:p>
        </w:tc>
        <w:tc>
          <w:tcPr>
            <w:tcW w:w="2179"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color w:val="000000" w:themeColor="text1"/>
                <w14:textFill>
                  <w14:solidFill>
                    <w14:schemeClr w14:val="tx1"/>
                  </w14:solidFill>
                </w14:textFill>
              </w:rPr>
              <w:t>6</w:t>
            </w:r>
          </w:p>
        </w:tc>
        <w:tc>
          <w:tcPr>
            <w:tcW w:w="2790" w:type="dxa"/>
            <w:tcBorders>
              <w:top w:val="outset" w:color="auto" w:sz="6" w:space="0"/>
              <w:left w:val="outset" w:color="auto" w:sz="6" w:space="0"/>
              <w:bottom w:val="outset" w:color="auto" w:sz="6" w:space="0"/>
              <w:right w:val="outset" w:color="auto" w:sz="6"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r>
    </w:tbl>
    <w:p>
      <w:pPr>
        <w:widowControl/>
        <w:ind w:firstLine="422" w:firstLineChars="200"/>
        <w:rPr>
          <w:rFonts w:ascii="Times New Roman" w:hAnsi="Times New Roman" w:eastAsia="仿宋_GB2312" w:cs="Times New Roman"/>
          <w:color w:val="000000" w:themeColor="text1"/>
          <w14:textFill>
            <w14:solidFill>
              <w14:schemeClr w14:val="tx1"/>
            </w14:solidFill>
          </w14:textFill>
        </w:rPr>
      </w:pPr>
      <w:r>
        <w:rPr>
          <w:rFonts w:hint="eastAsia" w:ascii="Times New Roman" w:hAnsi="Times New Roman" w:eastAsia="仿宋_GB2312" w:cs="Times New Roman"/>
          <w:b/>
          <w:color w:val="000000" w:themeColor="text1"/>
          <w14:textFill>
            <w14:solidFill>
              <w14:schemeClr w14:val="tx1"/>
            </w14:solidFill>
          </w14:textFill>
        </w:rPr>
        <w:t>注释:</w:t>
      </w:r>
      <w:r>
        <w:rPr>
          <w:rFonts w:hint="eastAsia" w:ascii="Times New Roman" w:hAnsi="Times New Roman" w:eastAsia="仿宋_GB2312" w:cs="Times New Roman"/>
          <w:color w:val="000000" w:themeColor="text1"/>
          <w14:textFill>
            <w14:solidFill>
              <w14:schemeClr w14:val="tx1"/>
            </w14:solidFill>
          </w14:textFill>
        </w:rPr>
        <w:t>获奖等级或名次由学院推荐优秀应届本科毕业生免试攻读硕士学位研究生工作小组根据获奖的具体情况进行认定。</w:t>
      </w:r>
    </w:p>
    <w:p>
      <w:pPr>
        <w:widowControl/>
        <w:spacing w:line="560" w:lineRule="exact"/>
        <w:ind w:firstLine="562" w:firstLineChars="200"/>
        <w:rPr>
          <w:rFonts w:ascii="Times New Roman" w:hAnsi="Times New Roman" w:eastAsia="仿宋_GB2312"/>
          <w:b/>
          <w:color w:val="000000" w:themeColor="text1"/>
          <w:sz w:val="28"/>
          <w:szCs w:val="28"/>
          <w14:textFill>
            <w14:solidFill>
              <w14:schemeClr w14:val="tx1"/>
            </w14:solidFill>
          </w14:textFill>
        </w:rPr>
      </w:pPr>
      <w:r>
        <w:rPr>
          <w:rFonts w:hint="eastAsia" w:ascii="Times New Roman" w:hAnsi="Times New Roman" w:eastAsia="仿宋_GB2312"/>
          <w:b/>
          <w:color w:val="000000" w:themeColor="text1"/>
          <w:sz w:val="28"/>
          <w:szCs w:val="28"/>
          <w14:textFill>
            <w14:solidFill>
              <w14:schemeClr w14:val="tx1"/>
            </w14:solidFill>
          </w14:textFill>
        </w:rPr>
        <w:t>6．社会实践类</w:t>
      </w:r>
    </w:p>
    <w:p>
      <w:pPr>
        <w:widowControl/>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color w:val="000000" w:themeColor="text1"/>
          <w:sz w:val="28"/>
          <w:szCs w:val="28"/>
          <w14:textFill>
            <w14:solidFill>
              <w14:schemeClr w14:val="tx1"/>
            </w14:solidFill>
          </w14:textFill>
        </w:rPr>
        <w:t>该类包括教育部所列的国际组织</w:t>
      </w:r>
      <w:r>
        <w:rPr>
          <w:rFonts w:hint="eastAsia" w:ascii="Times New Roman" w:hAnsi="Times New Roman" w:eastAsia="仿宋_GB2312"/>
          <w:color w:val="000000" w:themeColor="text1"/>
          <w:sz w:val="28"/>
          <w:szCs w:val="28"/>
          <w:lang w:eastAsia="zh-CN"/>
          <w14:textFill>
            <w14:solidFill>
              <w14:schemeClr w14:val="tx1"/>
            </w14:solidFill>
          </w14:textFill>
        </w:rPr>
        <w:t>连续</w:t>
      </w:r>
      <w:r>
        <w:rPr>
          <w:rFonts w:hint="eastAsia" w:ascii="Times New Roman" w:hAnsi="Times New Roman" w:eastAsia="仿宋_GB2312"/>
          <w:color w:val="000000" w:themeColor="text1"/>
          <w:sz w:val="28"/>
          <w:szCs w:val="28"/>
          <w14:textFill>
            <w14:solidFill>
              <w14:schemeClr w14:val="tx1"/>
            </w14:solidFill>
          </w14:textFill>
        </w:rPr>
        <w:t>实习三个月（含）以上，人力资源和社会保障部或教育部所列的国际组织主办或承办的国际性会议志愿者活动，人力资源和社会保障部或教育部等主办的以国际组织为主题的会议和培训三天及以上</w:t>
      </w:r>
      <w:r>
        <w:rPr>
          <w:rFonts w:ascii="Times New Roman" w:hAnsi="Times New Roman" w:eastAsia="仿宋_GB2312"/>
          <w:color w:val="000000" w:themeColor="text1"/>
          <w:sz w:val="28"/>
          <w:szCs w:val="28"/>
          <w14:textFill>
            <w14:solidFill>
              <w14:schemeClr w14:val="tx1"/>
            </w14:solidFill>
          </w14:textFill>
        </w:rPr>
        <w:t>。</w:t>
      </w:r>
      <w:r>
        <w:rPr>
          <w:rFonts w:hint="eastAsia" w:ascii="Times New Roman" w:hAnsi="Times New Roman" w:eastAsia="仿宋_GB2312"/>
          <w:color w:val="000000" w:themeColor="text1"/>
          <w:sz w:val="28"/>
          <w:szCs w:val="28"/>
          <w14:textFill>
            <w14:solidFill>
              <w14:schemeClr w14:val="tx1"/>
            </w14:solidFill>
          </w14:textFill>
        </w:rPr>
        <w:t>个人的见义勇为、救灾抢险、志愿服务、支教扶贫等典型事例被省级媒体报道以上报道、社会实践先进个人（含暑期三下乡、西财暖冬），此类别</w:t>
      </w:r>
      <w:r>
        <w:rPr>
          <w:rFonts w:hint="eastAsia" w:ascii="Times New Roman" w:hAnsi="Times New Roman" w:eastAsia="仿宋_GB2312"/>
          <w:color w:val="000000" w:themeColor="text1"/>
          <w:sz w:val="28"/>
          <w:szCs w:val="28"/>
          <w:lang w:eastAsia="zh-CN"/>
          <w14:textFill>
            <w14:solidFill>
              <w14:schemeClr w14:val="tx1"/>
            </w14:solidFill>
          </w14:textFill>
        </w:rPr>
        <w:t>每方面</w:t>
      </w:r>
      <w:r>
        <w:rPr>
          <w:rFonts w:hint="eastAsia" w:ascii="Times New Roman" w:hAnsi="Times New Roman" w:eastAsia="仿宋_GB2312"/>
          <w:color w:val="000000" w:themeColor="text1"/>
          <w:sz w:val="28"/>
          <w:szCs w:val="28"/>
          <w14:textFill>
            <w14:solidFill>
              <w14:schemeClr w14:val="tx1"/>
            </w14:solidFill>
          </w14:textFill>
        </w:rPr>
        <w:t>只取一项</w:t>
      </w:r>
      <w:r>
        <w:rPr>
          <w:rFonts w:hint="eastAsia" w:ascii="Times New Roman" w:hAnsi="Times New Roman" w:eastAsia="仿宋_GB2312"/>
          <w:color w:val="000000" w:themeColor="text1"/>
          <w:sz w:val="28"/>
          <w:szCs w:val="28"/>
          <w:lang w:eastAsia="zh-CN"/>
          <w14:textFill>
            <w14:solidFill>
              <w14:schemeClr w14:val="tx1"/>
            </w14:solidFill>
          </w14:textFill>
        </w:rPr>
        <w:t>，</w:t>
      </w:r>
      <w:r>
        <w:rPr>
          <w:rFonts w:hint="eastAsia" w:ascii="仿宋_GB2312" w:hAnsi="Times New Roman" w:eastAsia="仿宋_GB2312"/>
          <w:color w:val="000000" w:themeColor="text1"/>
          <w:sz w:val="28"/>
          <w:szCs w:val="28"/>
          <w14:textFill>
            <w14:solidFill>
              <w14:schemeClr w14:val="tx1"/>
            </w14:solidFill>
          </w14:textFill>
        </w:rPr>
        <w:t>加分见表</w:t>
      </w:r>
      <w:r>
        <w:rPr>
          <w:rFonts w:ascii="仿宋_GB2312" w:hAnsi="Times New Roman" w:eastAsia="仿宋_GB2312"/>
          <w:color w:val="000000" w:themeColor="text1"/>
          <w:sz w:val="28"/>
          <w:szCs w:val="28"/>
          <w14:textFill>
            <w14:solidFill>
              <w14:schemeClr w14:val="tx1"/>
            </w14:solidFill>
          </w14:textFill>
        </w:rPr>
        <w:t>11</w:t>
      </w:r>
      <w:r>
        <w:rPr>
          <w:rFonts w:hint="eastAsia" w:ascii="仿宋_GB2312" w:hAnsi="Times New Roman" w:eastAsia="仿宋_GB2312"/>
          <w:color w:val="000000" w:themeColor="text1"/>
          <w:sz w:val="28"/>
          <w:szCs w:val="28"/>
          <w14:textFill>
            <w14:solidFill>
              <w14:schemeClr w14:val="tx1"/>
            </w14:solidFill>
          </w14:textFill>
        </w:rPr>
        <w:t>。</w:t>
      </w:r>
    </w:p>
    <w:p>
      <w:pPr>
        <w:widowControl/>
        <w:spacing w:line="560" w:lineRule="exact"/>
        <w:ind w:firstLine="560" w:firstLineChars="200"/>
        <w:rPr>
          <w:rFonts w:ascii="Times New Roman" w:hAnsi="Times New Roman" w:eastAsia="仿宋_GB2312"/>
          <w:color w:val="000000" w:themeColor="text1"/>
          <w:sz w:val="28"/>
          <w:szCs w:val="28"/>
          <w14:textFill>
            <w14:solidFill>
              <w14:schemeClr w14:val="tx1"/>
            </w14:solidFill>
          </w14:textFill>
        </w:rPr>
      </w:pPr>
    </w:p>
    <w:p>
      <w:pPr>
        <w:widowControl/>
        <w:spacing w:line="560" w:lineRule="exact"/>
        <w:ind w:firstLine="560" w:firstLineChars="200"/>
        <w:rPr>
          <w:rFonts w:ascii="Times New Roman" w:hAnsi="Times New Roman" w:eastAsia="仿宋_GB2312"/>
          <w:color w:val="FF0000"/>
          <w:sz w:val="28"/>
          <w:szCs w:val="28"/>
        </w:rPr>
      </w:pPr>
    </w:p>
    <w:p>
      <w:pPr>
        <w:widowControl/>
        <w:jc w:val="center"/>
        <w:rPr>
          <w:rFonts w:ascii="仿宋_GB2312" w:hAnsi="Times New Roman" w:eastAsia="仿宋_GB2312"/>
          <w:sz w:val="24"/>
          <w:szCs w:val="24"/>
        </w:rPr>
      </w:pPr>
      <w:r>
        <w:rPr>
          <w:rFonts w:hint="eastAsia" w:ascii="仿宋_GB2312" w:hAnsi="Times New Roman" w:eastAsia="仿宋_GB2312"/>
          <w:b/>
          <w:bCs/>
          <w:sz w:val="24"/>
          <w:szCs w:val="24"/>
        </w:rPr>
        <w:t>表</w:t>
      </w:r>
      <w:r>
        <w:rPr>
          <w:rFonts w:ascii="仿宋_GB2312" w:hAnsi="Times New Roman" w:eastAsia="仿宋_GB2312"/>
          <w:b/>
          <w:bCs/>
          <w:sz w:val="24"/>
          <w:szCs w:val="24"/>
        </w:rPr>
        <w:t>11</w:t>
      </w:r>
      <w:r>
        <w:rPr>
          <w:rFonts w:hint="eastAsia" w:ascii="仿宋_GB2312" w:hAnsi="Times New Roman" w:eastAsia="仿宋_GB2312"/>
          <w:b/>
          <w:bCs/>
          <w:sz w:val="24"/>
          <w:szCs w:val="24"/>
        </w:rPr>
        <w:t>：社会实践类加分</w:t>
      </w:r>
    </w:p>
    <w:tbl>
      <w:tblPr>
        <w:tblStyle w:val="9"/>
        <w:tblW w:w="8222" w:type="dxa"/>
        <w:jc w:val="center"/>
        <w:tblLayout w:type="autofit"/>
        <w:tblCellMar>
          <w:top w:w="0" w:type="dxa"/>
          <w:left w:w="108" w:type="dxa"/>
          <w:bottom w:w="0" w:type="dxa"/>
          <w:right w:w="108" w:type="dxa"/>
        </w:tblCellMar>
      </w:tblPr>
      <w:tblGrid>
        <w:gridCol w:w="2689"/>
        <w:gridCol w:w="2976"/>
        <w:gridCol w:w="2557"/>
      </w:tblGrid>
      <w:tr>
        <w:tblPrEx>
          <w:tblCellMar>
            <w:top w:w="0" w:type="dxa"/>
            <w:left w:w="108" w:type="dxa"/>
            <w:bottom w:w="0" w:type="dxa"/>
            <w:right w:w="108" w:type="dxa"/>
          </w:tblCellMar>
        </w:tblPrEx>
        <w:trPr>
          <w:trHeight w:val="20" w:hRule="atLeast"/>
          <w:jc w:val="center"/>
        </w:trPr>
        <w:tc>
          <w:tcPr>
            <w:tcW w:w="2689" w:type="dxa"/>
            <w:tcBorders>
              <w:top w:val="single" w:color="auto" w:sz="4" w:space="0"/>
              <w:left w:val="single" w:color="auto" w:sz="4" w:space="0"/>
              <w:bottom w:val="single" w:color="auto" w:sz="4" w:space="0"/>
              <w:right w:val="single" w:color="auto" w:sz="4" w:space="0"/>
            </w:tcBorders>
            <w:noWrap/>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方面</w:t>
            </w:r>
          </w:p>
        </w:tc>
        <w:tc>
          <w:tcPr>
            <w:tcW w:w="2976" w:type="dxa"/>
            <w:tcBorders>
              <w:top w:val="single" w:color="auto" w:sz="4" w:space="0"/>
              <w:left w:val="nil"/>
              <w:bottom w:val="single" w:color="auto" w:sz="4" w:space="0"/>
              <w:right w:val="single" w:color="auto" w:sz="4"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加分</w:t>
            </w:r>
          </w:p>
        </w:tc>
        <w:tc>
          <w:tcPr>
            <w:tcW w:w="2557" w:type="dxa"/>
            <w:tcBorders>
              <w:top w:val="single" w:color="auto" w:sz="4" w:space="0"/>
              <w:left w:val="nil"/>
              <w:bottom w:val="single" w:color="auto" w:sz="4" w:space="0"/>
              <w:right w:val="single" w:color="auto" w:sz="4"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备注</w:t>
            </w:r>
          </w:p>
        </w:tc>
      </w:tr>
      <w:tr>
        <w:tblPrEx>
          <w:tblCellMar>
            <w:top w:w="0" w:type="dxa"/>
            <w:left w:w="108" w:type="dxa"/>
            <w:bottom w:w="0" w:type="dxa"/>
            <w:right w:w="108" w:type="dxa"/>
          </w:tblCellMar>
        </w:tblPrEx>
        <w:trPr>
          <w:trHeight w:val="20" w:hRule="atLeast"/>
          <w:jc w:val="center"/>
        </w:trPr>
        <w:tc>
          <w:tcPr>
            <w:tcW w:w="2689" w:type="dxa"/>
            <w:tcBorders>
              <w:top w:val="single" w:color="auto" w:sz="4" w:space="0"/>
              <w:left w:val="single" w:color="auto" w:sz="4" w:space="0"/>
              <w:bottom w:val="single" w:color="auto" w:sz="4" w:space="0"/>
              <w:right w:val="single" w:color="auto" w:sz="4" w:space="0"/>
            </w:tcBorders>
            <w:noWrap/>
            <w:vAlign w:val="center"/>
          </w:tcPr>
          <w:p>
            <w:pPr>
              <w:pStyle w:val="16"/>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参加教育部所列的国际组织</w:t>
            </w:r>
            <w:r>
              <w:rPr>
                <w:rFonts w:hint="eastAsia"/>
                <w:color w:val="000000" w:themeColor="text1"/>
                <w:lang w:eastAsia="zh-CN"/>
                <w14:textFill>
                  <w14:solidFill>
                    <w14:schemeClr w14:val="tx1"/>
                  </w14:solidFill>
                </w14:textFill>
              </w:rPr>
              <w:t>连续</w:t>
            </w:r>
            <w:r>
              <w:rPr>
                <w:rFonts w:hint="eastAsia"/>
                <w:color w:val="000000" w:themeColor="text1"/>
                <w14:textFill>
                  <w14:solidFill>
                    <w14:schemeClr w14:val="tx1"/>
                  </w14:solidFill>
                </w14:textFill>
              </w:rPr>
              <w:t>实习三个月（含）以上</w:t>
            </w:r>
          </w:p>
        </w:tc>
        <w:tc>
          <w:tcPr>
            <w:tcW w:w="2976" w:type="dxa"/>
            <w:tcBorders>
              <w:top w:val="single" w:color="auto" w:sz="4" w:space="0"/>
              <w:left w:val="nil"/>
              <w:bottom w:val="single" w:color="auto" w:sz="4" w:space="0"/>
              <w:right w:val="single" w:color="auto" w:sz="4" w:space="0"/>
            </w:tcBorders>
            <w:vAlign w:val="center"/>
          </w:tcPr>
          <w:p>
            <w:pPr>
              <w:pStyle w:val="16"/>
              <w:rPr>
                <w:color w:val="000000" w:themeColor="text1"/>
                <w14:textFill>
                  <w14:solidFill>
                    <w14:schemeClr w14:val="tx1"/>
                  </w14:solidFill>
                </w14:textFill>
              </w:rPr>
            </w:pPr>
            <w:r>
              <w:rPr>
                <w:color w:val="000000" w:themeColor="text1"/>
                <w14:textFill>
                  <w14:solidFill>
                    <w14:schemeClr w14:val="tx1"/>
                  </w14:solidFill>
                </w14:textFill>
              </w:rPr>
              <w:t>10</w:t>
            </w:r>
          </w:p>
        </w:tc>
        <w:tc>
          <w:tcPr>
            <w:tcW w:w="2557" w:type="dxa"/>
            <w:tcBorders>
              <w:top w:val="single" w:color="auto" w:sz="4" w:space="0"/>
              <w:left w:val="nil"/>
              <w:bottom w:val="single" w:color="auto" w:sz="4" w:space="0"/>
              <w:right w:val="single" w:color="auto" w:sz="4" w:space="0"/>
            </w:tcBorders>
            <w:vAlign w:val="center"/>
          </w:tcPr>
          <w:p>
            <w:pPr>
              <w:pStyle w:val="16"/>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满足拔尖项目加分规则的按照学校要求认定</w:t>
            </w:r>
          </w:p>
        </w:tc>
      </w:tr>
      <w:tr>
        <w:tblPrEx>
          <w:tblCellMar>
            <w:top w:w="0" w:type="dxa"/>
            <w:left w:w="108" w:type="dxa"/>
            <w:bottom w:w="0" w:type="dxa"/>
            <w:right w:w="108" w:type="dxa"/>
          </w:tblCellMar>
        </w:tblPrEx>
        <w:trPr>
          <w:trHeight w:val="20" w:hRule="atLeast"/>
          <w:jc w:val="center"/>
        </w:trPr>
        <w:tc>
          <w:tcPr>
            <w:tcW w:w="2689" w:type="dxa"/>
            <w:tcBorders>
              <w:top w:val="single" w:color="auto" w:sz="4" w:space="0"/>
              <w:left w:val="single" w:color="auto" w:sz="4" w:space="0"/>
              <w:bottom w:val="single" w:color="auto" w:sz="4" w:space="0"/>
              <w:right w:val="single" w:color="auto" w:sz="4" w:space="0"/>
            </w:tcBorders>
            <w:noWrap/>
            <w:vAlign w:val="center"/>
          </w:tcPr>
          <w:p>
            <w:pPr>
              <w:pStyle w:val="16"/>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参加人力资源和社会保障部或教育部所列的国际组织主办或承办的国际性会议志愿者活动 </w:t>
            </w:r>
          </w:p>
        </w:tc>
        <w:tc>
          <w:tcPr>
            <w:tcW w:w="2976" w:type="dxa"/>
            <w:tcBorders>
              <w:top w:val="single" w:color="auto" w:sz="4" w:space="0"/>
              <w:left w:val="nil"/>
              <w:bottom w:val="single" w:color="auto" w:sz="4" w:space="0"/>
              <w:right w:val="single" w:color="auto" w:sz="4" w:space="0"/>
            </w:tcBorders>
            <w:vAlign w:val="center"/>
          </w:tcPr>
          <w:p>
            <w:pPr>
              <w:pStyle w:val="16"/>
              <w:rPr>
                <w:color w:val="000000" w:themeColor="text1"/>
                <w14:textFill>
                  <w14:solidFill>
                    <w14:schemeClr w14:val="tx1"/>
                  </w14:solidFill>
                </w14:textFill>
              </w:rPr>
            </w:pPr>
            <w:r>
              <w:rPr>
                <w:color w:val="000000" w:themeColor="text1"/>
                <w14:textFill>
                  <w14:solidFill>
                    <w14:schemeClr w14:val="tx1"/>
                  </w14:solidFill>
                </w14:textFill>
              </w:rPr>
              <w:t>8</w:t>
            </w:r>
          </w:p>
        </w:tc>
        <w:tc>
          <w:tcPr>
            <w:tcW w:w="2557" w:type="dxa"/>
            <w:tcBorders>
              <w:top w:val="single" w:color="auto" w:sz="4" w:space="0"/>
              <w:left w:val="nil"/>
              <w:bottom w:val="single" w:color="auto" w:sz="4" w:space="0"/>
              <w:right w:val="single" w:color="auto" w:sz="4" w:space="0"/>
            </w:tcBorders>
            <w:vAlign w:val="center"/>
          </w:tcPr>
          <w:p>
            <w:pPr>
              <w:pStyle w:val="16"/>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满足拔尖项目加分规则的按照学校要求认定</w:t>
            </w:r>
          </w:p>
        </w:tc>
      </w:tr>
      <w:tr>
        <w:tblPrEx>
          <w:tblCellMar>
            <w:top w:w="0" w:type="dxa"/>
            <w:left w:w="108" w:type="dxa"/>
            <w:bottom w:w="0" w:type="dxa"/>
            <w:right w:w="108" w:type="dxa"/>
          </w:tblCellMar>
        </w:tblPrEx>
        <w:trPr>
          <w:trHeight w:val="20" w:hRule="atLeast"/>
          <w:jc w:val="center"/>
        </w:trPr>
        <w:tc>
          <w:tcPr>
            <w:tcW w:w="2689" w:type="dxa"/>
            <w:tcBorders>
              <w:top w:val="single" w:color="auto" w:sz="4" w:space="0"/>
              <w:left w:val="single" w:color="auto" w:sz="4" w:space="0"/>
              <w:bottom w:val="single" w:color="auto" w:sz="4" w:space="0"/>
              <w:right w:val="single" w:color="auto" w:sz="4" w:space="0"/>
            </w:tcBorders>
            <w:noWrap/>
            <w:vAlign w:val="center"/>
          </w:tcPr>
          <w:p>
            <w:pPr>
              <w:pStyle w:val="16"/>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参加人力资源和社会保障部或教育部等主办的以国际组织为主题的会议和培训三天及以上 </w:t>
            </w:r>
          </w:p>
        </w:tc>
        <w:tc>
          <w:tcPr>
            <w:tcW w:w="2976" w:type="dxa"/>
            <w:tcBorders>
              <w:top w:val="single" w:color="auto" w:sz="4" w:space="0"/>
              <w:left w:val="nil"/>
              <w:bottom w:val="single" w:color="auto" w:sz="4" w:space="0"/>
              <w:right w:val="single" w:color="auto" w:sz="4" w:space="0"/>
            </w:tcBorders>
            <w:vAlign w:val="center"/>
          </w:tcPr>
          <w:p>
            <w:pPr>
              <w:pStyle w:val="16"/>
              <w:rPr>
                <w:color w:val="000000" w:themeColor="text1"/>
                <w14:textFill>
                  <w14:solidFill>
                    <w14:schemeClr w14:val="tx1"/>
                  </w14:solidFill>
                </w14:textFill>
              </w:rPr>
            </w:pPr>
            <w:r>
              <w:rPr>
                <w:color w:val="000000" w:themeColor="text1"/>
                <w14:textFill>
                  <w14:solidFill>
                    <w14:schemeClr w14:val="tx1"/>
                  </w14:solidFill>
                </w14:textFill>
              </w:rPr>
              <w:t>8</w:t>
            </w:r>
          </w:p>
        </w:tc>
        <w:tc>
          <w:tcPr>
            <w:tcW w:w="2557" w:type="dxa"/>
            <w:tcBorders>
              <w:top w:val="single" w:color="auto" w:sz="4" w:space="0"/>
              <w:left w:val="nil"/>
              <w:bottom w:val="single" w:color="auto" w:sz="4" w:space="0"/>
              <w:right w:val="single" w:color="auto" w:sz="4" w:space="0"/>
            </w:tcBorders>
            <w:vAlign w:val="center"/>
          </w:tcPr>
          <w:p>
            <w:pPr>
              <w:pStyle w:val="16"/>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满足拔尖项目加分规则的按照学校要求认定</w:t>
            </w:r>
          </w:p>
        </w:tc>
      </w:tr>
      <w:tr>
        <w:tblPrEx>
          <w:tblCellMar>
            <w:top w:w="0" w:type="dxa"/>
            <w:left w:w="108" w:type="dxa"/>
            <w:bottom w:w="0" w:type="dxa"/>
            <w:right w:w="108" w:type="dxa"/>
          </w:tblCellMar>
        </w:tblPrEx>
        <w:trPr>
          <w:trHeight w:val="20" w:hRule="atLeast"/>
          <w:jc w:val="center"/>
        </w:trPr>
        <w:tc>
          <w:tcPr>
            <w:tcW w:w="2689" w:type="dxa"/>
            <w:tcBorders>
              <w:top w:val="single" w:color="auto" w:sz="4" w:space="0"/>
              <w:left w:val="single" w:color="auto" w:sz="4" w:space="0"/>
              <w:bottom w:val="single" w:color="auto" w:sz="4" w:space="0"/>
              <w:right w:val="single" w:color="auto" w:sz="4" w:space="0"/>
            </w:tcBorders>
            <w:noWrap/>
            <w:vAlign w:val="center"/>
          </w:tcPr>
          <w:p>
            <w:pPr>
              <w:pStyle w:val="16"/>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个人的见义勇为、救灾抢险、志愿服务、支教扶贫等典型事例被省级媒体报道以上报道</w:t>
            </w:r>
          </w:p>
        </w:tc>
        <w:tc>
          <w:tcPr>
            <w:tcW w:w="2976" w:type="dxa"/>
            <w:tcBorders>
              <w:top w:val="single" w:color="auto" w:sz="4" w:space="0"/>
              <w:left w:val="nil"/>
              <w:bottom w:val="single" w:color="auto" w:sz="4" w:space="0"/>
              <w:right w:val="single" w:color="auto" w:sz="4" w:space="0"/>
            </w:tcBorders>
            <w:vAlign w:val="center"/>
          </w:tcPr>
          <w:p>
            <w:pPr>
              <w:pStyle w:val="16"/>
              <w:rPr>
                <w:color w:val="000000" w:themeColor="text1"/>
                <w14:textFill>
                  <w14:solidFill>
                    <w14:schemeClr w14:val="tx1"/>
                  </w14:solidFill>
                </w14:textFill>
              </w:rPr>
            </w:pPr>
            <w:r>
              <w:rPr>
                <w:color w:val="000000" w:themeColor="text1"/>
                <w14:textFill>
                  <w14:solidFill>
                    <w14:schemeClr w14:val="tx1"/>
                  </w14:solidFill>
                </w14:textFill>
              </w:rPr>
              <w:t>8</w:t>
            </w:r>
          </w:p>
        </w:tc>
        <w:tc>
          <w:tcPr>
            <w:tcW w:w="2557" w:type="dxa"/>
            <w:tcBorders>
              <w:top w:val="single" w:color="auto" w:sz="4" w:space="0"/>
              <w:left w:val="nil"/>
              <w:bottom w:val="single" w:color="auto" w:sz="4" w:space="0"/>
              <w:right w:val="single" w:color="auto" w:sz="4" w:space="0"/>
            </w:tcBorders>
            <w:vAlign w:val="center"/>
          </w:tcPr>
          <w:p>
            <w:pPr>
              <w:pStyle w:val="16"/>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满足拔尖项目加分规则的按照学校要求认定</w:t>
            </w:r>
          </w:p>
        </w:tc>
      </w:tr>
      <w:tr>
        <w:tblPrEx>
          <w:tblCellMar>
            <w:top w:w="0" w:type="dxa"/>
            <w:left w:w="108" w:type="dxa"/>
            <w:bottom w:w="0" w:type="dxa"/>
            <w:right w:w="108" w:type="dxa"/>
          </w:tblCellMar>
        </w:tblPrEx>
        <w:trPr>
          <w:trHeight w:val="20" w:hRule="atLeast"/>
          <w:jc w:val="center"/>
        </w:trPr>
        <w:tc>
          <w:tcPr>
            <w:tcW w:w="2689" w:type="dxa"/>
            <w:tcBorders>
              <w:top w:val="single" w:color="auto" w:sz="4" w:space="0"/>
              <w:left w:val="single" w:color="auto" w:sz="4" w:space="0"/>
              <w:bottom w:val="single" w:color="auto" w:sz="4" w:space="0"/>
              <w:right w:val="single" w:color="auto" w:sz="4" w:space="0"/>
            </w:tcBorders>
            <w:noWrap/>
            <w:vAlign w:val="center"/>
          </w:tcPr>
          <w:p>
            <w:pPr>
              <w:pStyle w:val="16"/>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社会实践先进个人（含暑期三下乡、西财暖冬）</w:t>
            </w:r>
          </w:p>
        </w:tc>
        <w:tc>
          <w:tcPr>
            <w:tcW w:w="2976" w:type="dxa"/>
            <w:tcBorders>
              <w:top w:val="single" w:color="auto" w:sz="4" w:space="0"/>
              <w:left w:val="nil"/>
              <w:bottom w:val="single" w:color="auto" w:sz="4" w:space="0"/>
              <w:right w:val="single" w:color="auto" w:sz="4" w:space="0"/>
            </w:tcBorders>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国家级1</w:t>
            </w:r>
            <w:r>
              <w:rPr>
                <w:color w:val="000000" w:themeColor="text1"/>
                <w14:textFill>
                  <w14:solidFill>
                    <w14:schemeClr w14:val="tx1"/>
                  </w14:solidFill>
                </w14:textFill>
              </w:rPr>
              <w:t>0</w:t>
            </w:r>
            <w:r>
              <w:rPr>
                <w:rFonts w:hint="eastAsia"/>
                <w:color w:val="000000" w:themeColor="text1"/>
                <w14:textFill>
                  <w14:solidFill>
                    <w14:schemeClr w14:val="tx1"/>
                  </w14:solidFill>
                </w14:textFill>
              </w:rPr>
              <w:t>分，省级8分，校级2分。</w:t>
            </w:r>
          </w:p>
        </w:tc>
        <w:tc>
          <w:tcPr>
            <w:tcW w:w="2557" w:type="dxa"/>
            <w:tcBorders>
              <w:top w:val="single" w:color="auto" w:sz="4" w:space="0"/>
              <w:left w:val="nil"/>
              <w:bottom w:val="single" w:color="auto" w:sz="4" w:space="0"/>
              <w:right w:val="single" w:color="auto" w:sz="4" w:space="0"/>
            </w:tcBorders>
            <w:vAlign w:val="center"/>
          </w:tcPr>
          <w:p>
            <w:pPr>
              <w:pStyle w:val="16"/>
              <w:jc w:val="left"/>
              <w:rPr>
                <w:rFonts w:cs="Times New Roman"/>
                <w:color w:val="000000" w:themeColor="text1"/>
                <w14:textFill>
                  <w14:solidFill>
                    <w14:schemeClr w14:val="tx1"/>
                  </w14:solidFill>
                </w14:textFill>
              </w:rPr>
            </w:pPr>
            <w:r>
              <w:rPr>
                <w:rFonts w:hint="eastAsia" w:ascii="等线" w:hAnsi="等线" w:eastAsia="等线" w:cs="Times New Roman"/>
                <w:color w:val="000000" w:themeColor="text1"/>
                <w14:textFill>
                  <w14:solidFill>
                    <w14:schemeClr w14:val="tx1"/>
                  </w14:solidFill>
                </w14:textFill>
              </w:rPr>
              <w:t>①</w:t>
            </w:r>
            <w:r>
              <w:rPr>
                <w:rFonts w:hint="eastAsia" w:cs="Times New Roman"/>
                <w:color w:val="000000" w:themeColor="text1"/>
                <w14:textFill>
                  <w14:solidFill>
                    <w14:schemeClr w14:val="tx1"/>
                  </w14:solidFill>
                </w14:textFill>
              </w:rPr>
              <w:t>满足拔尖项目加分规则的按照学校要求认定。</w:t>
            </w:r>
          </w:p>
          <w:p>
            <w:pPr>
              <w:pStyle w:val="16"/>
              <w:jc w:val="left"/>
              <w:rPr>
                <w:color w:val="000000" w:themeColor="text1"/>
                <w14:textFill>
                  <w14:solidFill>
                    <w14:schemeClr w14:val="tx1"/>
                  </w14:solidFill>
                </w14:textFill>
              </w:rPr>
            </w:pPr>
            <w:r>
              <w:rPr>
                <w:rFonts w:hint="eastAsia" w:ascii="等线" w:hAnsi="等线" w:eastAsia="等线"/>
                <w:color w:val="000000" w:themeColor="text1"/>
                <w14:textFill>
                  <w14:solidFill>
                    <w14:schemeClr w14:val="tx1"/>
                  </w14:solidFill>
                </w14:textFill>
              </w:rPr>
              <w:t>②</w:t>
            </w:r>
            <w:r>
              <w:rPr>
                <w:rFonts w:hint="eastAsia"/>
                <w:color w:val="000000" w:themeColor="text1"/>
                <w14:textFill>
                  <w14:solidFill>
                    <w14:schemeClr w14:val="tx1"/>
                  </w14:solidFill>
                </w14:textFill>
              </w:rPr>
              <w:t>同一级别获不同称号，最多申请</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项加分；同一级别获同一称号最多申请1项加分；不同级别获同一称号按最高级别加分，最多申请1项加分。</w:t>
            </w:r>
          </w:p>
        </w:tc>
      </w:tr>
    </w:tbl>
    <w:p>
      <w:pPr>
        <w:widowControl/>
        <w:spacing w:line="560" w:lineRule="exact"/>
        <w:rPr>
          <w:rFonts w:ascii="Times New Roman" w:hAnsi="Times New Roman" w:eastAsia="仿宋_GB2312" w:cs="仿宋"/>
          <w:b/>
          <w:bCs/>
          <w:color w:val="000000" w:themeColor="text1"/>
          <w:kern w:val="0"/>
          <w:sz w:val="28"/>
          <w:szCs w:val="28"/>
          <w14:textFill>
            <w14:solidFill>
              <w14:schemeClr w14:val="tx1"/>
            </w14:solidFill>
          </w14:textFill>
        </w:rPr>
      </w:pPr>
      <w:r>
        <w:rPr>
          <w:rFonts w:hint="eastAsia" w:ascii="Times New Roman" w:hAnsi="Times New Roman" w:eastAsia="仿宋_GB2312" w:cs="仿宋"/>
          <w:b/>
          <w:bCs/>
          <w:color w:val="000000" w:themeColor="text1"/>
          <w:kern w:val="0"/>
          <w14:textFill>
            <w14:solidFill>
              <w14:schemeClr w14:val="tx1"/>
            </w14:solidFill>
          </w14:textFill>
        </w:rPr>
        <w:t>注释：</w:t>
      </w:r>
      <w:r>
        <w:rPr>
          <w:rFonts w:hint="eastAsia" w:ascii="Times New Roman" w:hAnsi="Times New Roman" w:eastAsia="仿宋_GB2312"/>
          <w:color w:val="000000" w:themeColor="text1"/>
          <w:kern w:val="0"/>
          <w14:textFill>
            <w14:solidFill>
              <w14:schemeClr w14:val="tx1"/>
            </w14:solidFill>
          </w14:textFill>
        </w:rPr>
        <w:t>①本条所列国际组织实习与拔尖项目国际组织实习不作重复加分。</w:t>
      </w:r>
      <w:r>
        <w:rPr>
          <w:rFonts w:hint="eastAsia" w:ascii="等线" w:hAnsi="等线" w:eastAsia="等线"/>
          <w:color w:val="000000" w:themeColor="text1"/>
          <w:kern w:val="0"/>
          <w14:textFill>
            <w14:solidFill>
              <w14:schemeClr w14:val="tx1"/>
            </w14:solidFill>
          </w14:textFill>
        </w:rPr>
        <w:t>②</w:t>
      </w:r>
      <w:r>
        <w:rPr>
          <w:rFonts w:hint="eastAsia" w:ascii="Times New Roman" w:hAnsi="Times New Roman" w:eastAsia="仿宋_GB2312"/>
          <w:color w:val="000000" w:themeColor="text1"/>
          <w:kern w:val="0"/>
          <w14:textFill>
            <w14:solidFill>
              <w14:schemeClr w14:val="tx1"/>
            </w14:solidFill>
          </w14:textFill>
        </w:rPr>
        <w:t>教育部国际组织清单和人力资源和社会保障部国际组织清单以学生参加国际组织活动时人力资源和社会保障部、教育部官网公布的名单为准。</w:t>
      </w:r>
    </w:p>
    <w:p>
      <w:pPr>
        <w:pStyle w:val="4"/>
        <w:spacing w:line="560" w:lineRule="exact"/>
        <w:ind w:firstLine="562" w:firstLineChars="200"/>
        <w:jc w:val="both"/>
        <w:rPr>
          <w:rFonts w:ascii="Times New Roman" w:hAnsi="Times New Roman" w:eastAsia="仿宋_GB2312" w:cstheme="minorBidi"/>
          <w:color w:val="000000" w:themeColor="text1"/>
          <w:kern w:val="2"/>
          <w:sz w:val="28"/>
          <w:szCs w:val="28"/>
          <w14:textFill>
            <w14:solidFill>
              <w14:schemeClr w14:val="tx1"/>
            </w14:solidFill>
          </w14:textFill>
        </w:rPr>
      </w:pPr>
    </w:p>
    <w:p>
      <w:pPr>
        <w:pStyle w:val="4"/>
        <w:spacing w:line="560" w:lineRule="exact"/>
        <w:ind w:firstLine="562" w:firstLineChars="200"/>
        <w:jc w:val="both"/>
        <w:rPr>
          <w:rFonts w:ascii="Times New Roman" w:hAnsi="Times New Roman" w:eastAsia="仿宋_GB2312" w:cstheme="minorBidi"/>
          <w:color w:val="000000" w:themeColor="text1"/>
          <w:kern w:val="2"/>
          <w:sz w:val="28"/>
          <w:szCs w:val="28"/>
          <w14:textFill>
            <w14:solidFill>
              <w14:schemeClr w14:val="tx1"/>
            </w14:solidFill>
          </w14:textFill>
        </w:rPr>
      </w:pPr>
      <w:r>
        <w:rPr>
          <w:rFonts w:hint="eastAsia" w:ascii="Times New Roman" w:hAnsi="Times New Roman" w:eastAsia="仿宋_GB2312" w:cstheme="minorBidi"/>
          <w:color w:val="000000" w:themeColor="text1"/>
          <w:kern w:val="2"/>
          <w:sz w:val="28"/>
          <w:szCs w:val="28"/>
          <w14:textFill>
            <w14:solidFill>
              <w14:schemeClr w14:val="tx1"/>
            </w14:solidFill>
          </w14:textFill>
        </w:rPr>
        <w:t>第三部分 拔尖项目加分规则</w:t>
      </w:r>
    </w:p>
    <w:p>
      <w:pPr>
        <w:spacing w:line="560" w:lineRule="exact"/>
        <w:ind w:firstLine="560" w:firstLineChars="200"/>
        <w:rPr>
          <w:rFonts w:ascii="Times New Roman" w:hAnsi="Times New Roman" w:eastAsia="仿宋_GB2312"/>
          <w:color w:val="000000" w:themeColor="text1"/>
          <w:sz w:val="28"/>
          <w14:textFill>
            <w14:solidFill>
              <w14:schemeClr w14:val="tx1"/>
            </w14:solidFill>
          </w14:textFill>
        </w:rPr>
      </w:pPr>
      <w:r>
        <w:rPr>
          <w:rFonts w:hint="eastAsia" w:ascii="Times New Roman" w:hAnsi="Times New Roman" w:eastAsia="仿宋_GB2312" w:cs="Times New Roman"/>
          <w:color w:val="000000" w:themeColor="text1"/>
          <w:sz w:val="28"/>
          <w:szCs w:val="28"/>
          <w14:textFill>
            <w14:solidFill>
              <w14:schemeClr w14:val="tx1"/>
            </w14:solidFill>
          </w14:textFill>
        </w:rPr>
        <w:t>拔尖项目加分规则和拔尖项目清单以《西南财经大学推荐免试研究生管理办法》为准。</w:t>
      </w:r>
    </w:p>
    <w:p>
      <w:pPr>
        <w:pStyle w:val="3"/>
        <w:spacing w:before="312" w:after="312"/>
        <w:rPr>
          <w:color w:val="000000" w:themeColor="text1"/>
          <w14:textFill>
            <w14:solidFill>
              <w14:schemeClr w14:val="tx1"/>
            </w14:solidFill>
          </w14:textFill>
        </w:rPr>
      </w:pPr>
      <w:r>
        <w:rPr>
          <w:color w:val="000000" w:themeColor="text1"/>
          <w14:textFill>
            <w14:solidFill>
              <w14:schemeClr w14:val="tx1"/>
            </w14:solidFill>
          </w14:textFill>
        </w:rPr>
        <w:t>第</w:t>
      </w:r>
      <w:r>
        <w:rPr>
          <w:rFonts w:hint="eastAsia"/>
          <w:color w:val="000000" w:themeColor="text1"/>
          <w14:textFill>
            <w14:solidFill>
              <w14:schemeClr w14:val="tx1"/>
            </w14:solidFill>
          </w14:textFill>
        </w:rPr>
        <w:t>四</w:t>
      </w:r>
      <w:r>
        <w:rPr>
          <w:color w:val="000000" w:themeColor="text1"/>
          <w14:textFill>
            <w14:solidFill>
              <w14:schemeClr w14:val="tx1"/>
            </w14:solidFill>
          </w14:textFill>
        </w:rPr>
        <w:t>章</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管理与监督</w:t>
      </w:r>
    </w:p>
    <w:p>
      <w:pPr>
        <w:spacing w:line="560" w:lineRule="exact"/>
        <w:ind w:firstLine="562" w:firstLineChars="200"/>
        <w:rPr>
          <w:rFonts w:ascii="Times New Roman" w:hAnsi="Times New Roman" w:eastAsia="仿宋_GB2312" w:cs="Times New Roman"/>
          <w:color w:val="000000" w:themeColor="text1"/>
          <w:sz w:val="28"/>
          <w:szCs w:val="28"/>
          <w14:textFill>
            <w14:solidFill>
              <w14:schemeClr w14:val="tx1"/>
            </w14:solidFill>
          </w14:textFill>
        </w:rPr>
      </w:pPr>
      <w:r>
        <w:rPr>
          <w:rFonts w:hint="eastAsia" w:ascii="Times New Roman" w:hAnsi="Times New Roman" w:eastAsia="仿宋_GB2312" w:cs="Times New Roman"/>
          <w:b/>
          <w:color w:val="000000" w:themeColor="text1"/>
          <w:sz w:val="28"/>
          <w:szCs w:val="28"/>
          <w14:textFill>
            <w14:solidFill>
              <w14:schemeClr w14:val="tx1"/>
            </w14:solidFill>
          </w14:textFill>
        </w:rPr>
        <w:t>第九条</w:t>
      </w:r>
      <w:r>
        <w:rPr>
          <w:rFonts w:hint="eastAsia" w:ascii="Times New Roman" w:hAnsi="Times New Roman" w:eastAsia="仿宋_GB2312" w:cs="Times New Roman"/>
          <w:color w:val="000000" w:themeColor="text1"/>
          <w:sz w:val="28"/>
          <w:szCs w:val="28"/>
          <w14:textFill>
            <w14:solidFill>
              <w14:schemeClr w14:val="tx1"/>
            </w14:solidFill>
          </w14:textFill>
        </w:rPr>
        <w:t xml:space="preserve"> </w:t>
      </w:r>
      <w:r>
        <w:rPr>
          <w:rFonts w:ascii="Times New Roman" w:hAnsi="Times New Roman" w:eastAsia="仿宋_GB2312" w:cs="Times New Roman"/>
          <w:color w:val="000000" w:themeColor="text1"/>
          <w:sz w:val="28"/>
          <w:szCs w:val="28"/>
          <w14:textFill>
            <w14:solidFill>
              <w14:schemeClr w14:val="tx1"/>
            </w14:solidFill>
          </w14:textFill>
        </w:rPr>
        <w:t xml:space="preserve"> 推免相关工作人员有直系亲属或利益相关人员报名参加推免招生的，应主动向学院工作小组申请回避。有非直系亲属等报名参加推免招生的，应主动向学院工作小组报备。相关学生申请推免资格时也应主动向学院工作小组报备声明。</w:t>
      </w:r>
      <w:r>
        <w:rPr>
          <w:rFonts w:hint="eastAsia" w:ascii="Times New Roman" w:hAnsi="Times New Roman" w:eastAsia="仿宋_GB2312" w:cs="Times New Roman"/>
          <w:color w:val="000000" w:themeColor="text1"/>
          <w:sz w:val="28"/>
          <w:szCs w:val="28"/>
          <w14:textFill>
            <w14:solidFill>
              <w14:schemeClr w14:val="tx1"/>
            </w14:solidFill>
          </w14:textFill>
        </w:rPr>
        <w:t>对未按规定报备声明回避关系的推免相关工作人员，学校将依规依据严肃处理；对未按规定报备声明回避关系且影响推免过程和结果公平公正的学生，将取消该生的推免资格。</w:t>
      </w:r>
    </w:p>
    <w:p>
      <w:pPr>
        <w:spacing w:line="560" w:lineRule="exact"/>
        <w:ind w:firstLine="562" w:firstLineChars="200"/>
        <w:rPr>
          <w:rFonts w:ascii="Times New Roman" w:hAnsi="Times New Roman" w:eastAsia="仿宋_GB2312" w:cs="Times New Roman"/>
          <w:color w:val="000000" w:themeColor="text1"/>
          <w:sz w:val="28"/>
          <w:szCs w:val="28"/>
          <w14:textFill>
            <w14:solidFill>
              <w14:schemeClr w14:val="tx1"/>
            </w14:solidFill>
          </w14:textFill>
        </w:rPr>
      </w:pPr>
      <w:r>
        <w:rPr>
          <w:rFonts w:hint="eastAsia" w:ascii="Times New Roman" w:hAnsi="Times New Roman" w:eastAsia="仿宋_GB2312" w:cs="Times New Roman"/>
          <w:b/>
          <w:color w:val="000000" w:themeColor="text1"/>
          <w:sz w:val="28"/>
          <w:szCs w:val="28"/>
          <w14:textFill>
            <w14:solidFill>
              <w14:schemeClr w14:val="tx1"/>
            </w14:solidFill>
          </w14:textFill>
        </w:rPr>
        <w:t>第十条</w:t>
      </w:r>
      <w:r>
        <w:rPr>
          <w:rFonts w:ascii="Times New Roman" w:hAnsi="Times New Roman" w:eastAsia="仿宋_GB2312" w:cs="Times New Roman"/>
          <w:color w:val="000000" w:themeColor="text1"/>
          <w:sz w:val="28"/>
          <w:szCs w:val="28"/>
          <w14:textFill>
            <w14:solidFill>
              <w14:schemeClr w14:val="tx1"/>
            </w14:solidFill>
          </w14:textFill>
        </w:rPr>
        <w:t xml:space="preserve">  对在推免过程中弄虚作假，有论文抄袭、虚报获奖或科研成果等学术不端行为或者有其他严重影响推免过程和结果公平公正行为的学生，一经查实，取消推免生资格，已入学的取消学籍，并报省级教育招生考试机构按规定记入《国家教育考试考生诚信档案》</w:t>
      </w:r>
      <w:r>
        <w:rPr>
          <w:rFonts w:hint="eastAsia" w:ascii="Times New Roman" w:hAnsi="Times New Roman" w:eastAsia="仿宋_GB2312" w:cs="Times New Roman"/>
          <w:color w:val="000000" w:themeColor="text1"/>
          <w:sz w:val="28"/>
          <w:szCs w:val="28"/>
          <w14:textFill>
            <w14:solidFill>
              <w14:schemeClr w14:val="tx1"/>
            </w14:solidFill>
          </w14:textFill>
        </w:rPr>
        <w:t>。</w:t>
      </w:r>
    </w:p>
    <w:p>
      <w:pPr>
        <w:spacing w:line="560" w:lineRule="exact"/>
        <w:ind w:firstLine="562" w:firstLineChars="200"/>
        <w:rPr>
          <w:rFonts w:ascii="Times New Roman" w:hAnsi="Times New Roman" w:eastAsia="仿宋_GB2312" w:cs="Times New Roman"/>
          <w:color w:val="000000" w:themeColor="text1"/>
          <w:sz w:val="28"/>
          <w:szCs w:val="28"/>
          <w14:textFill>
            <w14:solidFill>
              <w14:schemeClr w14:val="tx1"/>
            </w14:solidFill>
          </w14:textFill>
        </w:rPr>
      </w:pPr>
      <w:r>
        <w:rPr>
          <w:rFonts w:hint="eastAsia" w:ascii="Times New Roman" w:hAnsi="Times New Roman" w:eastAsia="仿宋_GB2312" w:cs="Times New Roman"/>
          <w:b/>
          <w:color w:val="000000" w:themeColor="text1"/>
          <w:sz w:val="28"/>
          <w:szCs w:val="28"/>
          <w14:textFill>
            <w14:solidFill>
              <w14:schemeClr w14:val="tx1"/>
            </w14:solidFill>
          </w14:textFill>
        </w:rPr>
        <w:t>第十一条</w:t>
      </w:r>
      <w:r>
        <w:rPr>
          <w:rFonts w:ascii="Times New Roman" w:hAnsi="Times New Roman" w:eastAsia="仿宋_GB2312" w:cs="Times New Roman"/>
          <w:b/>
          <w:color w:val="000000" w:themeColor="text1"/>
          <w:sz w:val="28"/>
          <w:szCs w:val="28"/>
          <w14:textFill>
            <w14:solidFill>
              <w14:schemeClr w14:val="tx1"/>
            </w14:solidFill>
          </w14:textFill>
        </w:rPr>
        <w:t xml:space="preserve"> </w:t>
      </w:r>
      <w:r>
        <w:rPr>
          <w:rFonts w:ascii="Times New Roman" w:hAnsi="Times New Roman" w:eastAsia="仿宋_GB2312" w:cs="Times New Roman"/>
          <w:color w:val="000000" w:themeColor="text1"/>
          <w:sz w:val="28"/>
          <w:szCs w:val="28"/>
          <w14:textFill>
            <w14:solidFill>
              <w14:schemeClr w14:val="tx1"/>
            </w14:solidFill>
          </w14:textFill>
        </w:rPr>
        <w:t xml:space="preserve"> 学生对推免生工作或名单有异议，可按照《西南财经大学学生申诉处理办法》申诉。</w:t>
      </w:r>
    </w:p>
    <w:p>
      <w:pPr>
        <w:spacing w:line="560" w:lineRule="exact"/>
        <w:ind w:firstLine="562" w:firstLineChars="200"/>
        <w:rPr>
          <w:rFonts w:ascii="Times New Roman" w:hAnsi="Times New Roman" w:eastAsia="仿宋_GB2312" w:cs="Times New Roman"/>
          <w:color w:val="000000" w:themeColor="text1"/>
          <w:sz w:val="28"/>
          <w:szCs w:val="28"/>
          <w14:textFill>
            <w14:solidFill>
              <w14:schemeClr w14:val="tx1"/>
            </w14:solidFill>
          </w14:textFill>
        </w:rPr>
      </w:pPr>
      <w:r>
        <w:rPr>
          <w:rFonts w:hint="eastAsia" w:ascii="Times New Roman" w:hAnsi="Times New Roman" w:eastAsia="仿宋_GB2312" w:cs="Times New Roman"/>
          <w:b/>
          <w:color w:val="000000" w:themeColor="text1"/>
          <w:sz w:val="28"/>
          <w:szCs w:val="28"/>
          <w14:textFill>
            <w14:solidFill>
              <w14:schemeClr w14:val="tx1"/>
            </w14:solidFill>
          </w14:textFill>
        </w:rPr>
        <w:t>第十二条</w:t>
      </w:r>
      <w:r>
        <w:rPr>
          <w:rFonts w:ascii="Times New Roman" w:hAnsi="Times New Roman" w:eastAsia="仿宋_GB2312" w:cs="Times New Roman"/>
          <w:color w:val="000000" w:themeColor="text1"/>
          <w:sz w:val="28"/>
          <w:szCs w:val="28"/>
          <w14:textFill>
            <w14:solidFill>
              <w14:schemeClr w14:val="tx1"/>
            </w14:solidFill>
          </w14:textFill>
        </w:rPr>
        <w:t xml:space="preserve">  获得推免生资格后如出现考试作弊和学术不端行为、不能按期毕业或不能获得学士学位证书，推免生资格自动取消。</w:t>
      </w:r>
    </w:p>
    <w:p>
      <w:pPr>
        <w:pStyle w:val="3"/>
        <w:spacing w:before="312" w:after="312"/>
        <w:rPr>
          <w:color w:val="000000" w:themeColor="text1"/>
          <w14:textFill>
            <w14:solidFill>
              <w14:schemeClr w14:val="tx1"/>
            </w14:solidFill>
          </w14:textFill>
        </w:rPr>
      </w:pPr>
      <w:r>
        <w:rPr>
          <w:color w:val="000000" w:themeColor="text1"/>
          <w14:textFill>
            <w14:solidFill>
              <w14:schemeClr w14:val="tx1"/>
            </w14:solidFill>
          </w14:textFill>
        </w:rPr>
        <w:t>第</w:t>
      </w:r>
      <w:r>
        <w:rPr>
          <w:rFonts w:hint="eastAsia"/>
          <w:color w:val="000000" w:themeColor="text1"/>
          <w14:textFill>
            <w14:solidFill>
              <w14:schemeClr w14:val="tx1"/>
            </w14:solidFill>
          </w14:textFill>
        </w:rPr>
        <w:t>五</w:t>
      </w:r>
      <w:r>
        <w:rPr>
          <w:color w:val="000000" w:themeColor="text1"/>
          <w14:textFill>
            <w14:solidFill>
              <w14:schemeClr w14:val="tx1"/>
            </w14:solidFill>
          </w14:textFill>
        </w:rPr>
        <w:t>章</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附则</w:t>
      </w:r>
    </w:p>
    <w:p>
      <w:pPr>
        <w:spacing w:line="560" w:lineRule="exact"/>
        <w:ind w:firstLine="562" w:firstLineChars="200"/>
        <w:rPr>
          <w:rFonts w:ascii="Times New Roman" w:hAnsi="Times New Roman" w:eastAsia="仿宋_GB2312" w:cs="Times New Roman"/>
          <w:color w:val="000000" w:themeColor="text1"/>
          <w:sz w:val="28"/>
          <w:szCs w:val="28"/>
          <w14:textFill>
            <w14:solidFill>
              <w14:schemeClr w14:val="tx1"/>
            </w14:solidFill>
          </w14:textFill>
        </w:rPr>
      </w:pPr>
      <w:r>
        <w:rPr>
          <w:rFonts w:hint="eastAsia" w:ascii="Times New Roman" w:hAnsi="Times New Roman" w:eastAsia="仿宋_GB2312" w:cs="Times New Roman"/>
          <w:b/>
          <w:color w:val="000000" w:themeColor="text1"/>
          <w:sz w:val="28"/>
          <w:szCs w:val="28"/>
          <w14:textFill>
            <w14:solidFill>
              <w14:schemeClr w14:val="tx1"/>
            </w14:solidFill>
          </w14:textFill>
        </w:rPr>
        <w:t>第十三条</w:t>
      </w:r>
      <w:r>
        <w:rPr>
          <w:rFonts w:ascii="Times New Roman" w:hAnsi="Times New Roman" w:eastAsia="仿宋_GB2312" w:cs="Times New Roman"/>
          <w:color w:val="000000" w:themeColor="text1"/>
          <w:sz w:val="28"/>
          <w:szCs w:val="28"/>
          <w14:textFill>
            <w14:solidFill>
              <w14:schemeClr w14:val="tx1"/>
            </w14:solidFill>
          </w14:textFill>
        </w:rPr>
        <w:t xml:space="preserve">  如国家政策规定发生变化，</w:t>
      </w:r>
      <w:r>
        <w:rPr>
          <w:rFonts w:hint="eastAsia" w:ascii="Times New Roman" w:hAnsi="Times New Roman" w:eastAsia="仿宋_GB2312" w:cs="Times New Roman"/>
          <w:color w:val="000000" w:themeColor="text1"/>
          <w:sz w:val="28"/>
          <w:szCs w:val="28"/>
          <w14:textFill>
            <w14:solidFill>
              <w14:schemeClr w14:val="tx1"/>
            </w14:solidFill>
          </w14:textFill>
        </w:rPr>
        <w:t>学院</w:t>
      </w:r>
      <w:r>
        <w:rPr>
          <w:rFonts w:ascii="Times New Roman" w:hAnsi="Times New Roman" w:eastAsia="仿宋_GB2312" w:cs="Times New Roman"/>
          <w:color w:val="000000" w:themeColor="text1"/>
          <w:sz w:val="28"/>
          <w:szCs w:val="28"/>
          <w14:textFill>
            <w14:solidFill>
              <w14:schemeClr w14:val="tx1"/>
            </w14:solidFill>
          </w14:textFill>
        </w:rPr>
        <w:t>可依据学校政策规定变化对当年推免工作进行调整。</w:t>
      </w:r>
    </w:p>
    <w:p>
      <w:pPr>
        <w:spacing w:line="560" w:lineRule="exact"/>
        <w:ind w:firstLine="562" w:firstLineChars="200"/>
        <w:rPr>
          <w:rFonts w:ascii="Times New Roman" w:hAnsi="Times New Roman" w:eastAsia="仿宋_GB2312" w:cs="Times New Roman"/>
          <w:color w:val="000000" w:themeColor="text1"/>
          <w:sz w:val="28"/>
          <w:szCs w:val="28"/>
          <w14:textFill>
            <w14:solidFill>
              <w14:schemeClr w14:val="tx1"/>
            </w14:solidFill>
          </w14:textFill>
        </w:rPr>
      </w:pPr>
      <w:r>
        <w:rPr>
          <w:rFonts w:hint="eastAsia" w:ascii="Times New Roman" w:hAnsi="Times New Roman" w:eastAsia="仿宋_GB2312" w:cs="Times New Roman"/>
          <w:b/>
          <w:color w:val="000000" w:themeColor="text1"/>
          <w:sz w:val="28"/>
          <w:szCs w:val="28"/>
          <w14:textFill>
            <w14:solidFill>
              <w14:schemeClr w14:val="tx1"/>
            </w14:solidFill>
          </w14:textFill>
        </w:rPr>
        <w:t>第十四条</w:t>
      </w:r>
      <w:r>
        <w:rPr>
          <w:rFonts w:ascii="Times New Roman" w:hAnsi="Times New Roman" w:eastAsia="仿宋_GB2312" w:cs="Times New Roman"/>
          <w:color w:val="000000" w:themeColor="text1"/>
          <w:sz w:val="28"/>
          <w:szCs w:val="28"/>
          <w14:textFill>
            <w14:solidFill>
              <w14:schemeClr w14:val="tx1"/>
            </w14:solidFill>
          </w14:textFill>
        </w:rPr>
        <w:t xml:space="preserve"> 本办法由</w:t>
      </w:r>
      <w:r>
        <w:rPr>
          <w:rFonts w:hint="eastAsia" w:ascii="Times New Roman" w:hAnsi="Times New Roman" w:eastAsia="仿宋_GB2312" w:cs="Times New Roman"/>
          <w:color w:val="000000" w:themeColor="text1"/>
          <w:sz w:val="28"/>
          <w:szCs w:val="28"/>
          <w:lang w:eastAsia="zh-CN"/>
          <w14:textFill>
            <w14:solidFill>
              <w14:schemeClr w14:val="tx1"/>
            </w14:solidFill>
          </w14:textFill>
        </w:rPr>
        <w:t>数学学院</w:t>
      </w:r>
      <w:r>
        <w:rPr>
          <w:rFonts w:hint="eastAsia" w:ascii="Times New Roman" w:hAnsi="Times New Roman" w:eastAsia="仿宋_GB2312" w:cs="Times New Roman"/>
          <w:color w:val="000000" w:themeColor="text1"/>
          <w:sz w:val="28"/>
          <w:szCs w:val="28"/>
          <w14:textFill>
            <w14:solidFill>
              <w14:schemeClr w14:val="tx1"/>
            </w14:solidFill>
          </w14:textFill>
        </w:rPr>
        <w:t>推荐优秀应届本科毕业生免试攻读硕士学位研究生工作小组</w:t>
      </w:r>
      <w:r>
        <w:rPr>
          <w:rFonts w:ascii="Times New Roman" w:hAnsi="Times New Roman" w:eastAsia="仿宋_GB2312" w:cs="Times New Roman"/>
          <w:color w:val="000000" w:themeColor="text1"/>
          <w:sz w:val="28"/>
          <w:szCs w:val="28"/>
          <w14:textFill>
            <w14:solidFill>
              <w14:schemeClr w14:val="tx1"/>
            </w14:solidFill>
          </w14:textFill>
        </w:rPr>
        <w:t>负责解释。</w:t>
      </w:r>
    </w:p>
    <w:p>
      <w:pPr>
        <w:spacing w:line="560" w:lineRule="exact"/>
        <w:ind w:firstLine="562" w:firstLineChars="200"/>
        <w:rPr>
          <w:rFonts w:ascii="Times New Roman" w:hAnsi="Times New Roman" w:eastAsia="仿宋_GB2312" w:cs="Times New Roman"/>
          <w:color w:val="000000" w:themeColor="text1"/>
          <w:sz w:val="28"/>
          <w:szCs w:val="28"/>
          <w14:textFill>
            <w14:solidFill>
              <w14:schemeClr w14:val="tx1"/>
            </w14:solidFill>
          </w14:textFill>
        </w:rPr>
      </w:pPr>
      <w:r>
        <w:rPr>
          <w:rFonts w:hint="eastAsia" w:ascii="Times New Roman" w:hAnsi="Times New Roman" w:eastAsia="仿宋_GB2312" w:cs="Times New Roman"/>
          <w:b/>
          <w:color w:val="000000" w:themeColor="text1"/>
          <w:sz w:val="28"/>
          <w:szCs w:val="28"/>
          <w14:textFill>
            <w14:solidFill>
              <w14:schemeClr w14:val="tx1"/>
            </w14:solidFill>
          </w14:textFill>
        </w:rPr>
        <w:t>第十五条</w:t>
      </w:r>
      <w:r>
        <w:rPr>
          <w:rFonts w:ascii="Times New Roman" w:hAnsi="Times New Roman" w:eastAsia="仿宋_GB2312" w:cs="Times New Roman"/>
          <w:color w:val="000000" w:themeColor="text1"/>
          <w:sz w:val="28"/>
          <w:szCs w:val="28"/>
          <w14:textFill>
            <w14:solidFill>
              <w14:schemeClr w14:val="tx1"/>
            </w14:solidFill>
          </w14:textFill>
        </w:rPr>
        <w:t xml:space="preserve">  本办法自</w:t>
      </w:r>
      <w:r>
        <w:rPr>
          <w:rFonts w:hint="eastAsia" w:ascii="Times New Roman" w:hAnsi="Times New Roman" w:eastAsia="仿宋_GB2312" w:cs="Times New Roman"/>
          <w:color w:val="000000" w:themeColor="text1"/>
          <w:sz w:val="28"/>
          <w:szCs w:val="28"/>
          <w:lang w:eastAsia="zh-CN"/>
          <w14:textFill>
            <w14:solidFill>
              <w14:schemeClr w14:val="tx1"/>
            </w14:solidFill>
          </w14:textFill>
        </w:rPr>
        <w:t>公布之日</w:t>
      </w:r>
      <w:r>
        <w:rPr>
          <w:rFonts w:ascii="Times New Roman" w:hAnsi="Times New Roman" w:eastAsia="仿宋_GB2312" w:cs="Times New Roman"/>
          <w:color w:val="000000" w:themeColor="text1"/>
          <w:sz w:val="28"/>
          <w:szCs w:val="28"/>
          <w14:textFill>
            <w14:solidFill>
              <w14:schemeClr w14:val="tx1"/>
            </w14:solidFill>
          </w14:textFill>
        </w:rPr>
        <w:t>起施行</w:t>
      </w:r>
      <w:r>
        <w:rPr>
          <w:rFonts w:hint="eastAsia" w:ascii="Times New Roman" w:hAnsi="Times New Roman" w:eastAsia="仿宋_GB2312" w:cs="Times New Roman"/>
          <w:color w:val="000000" w:themeColor="text1"/>
          <w:sz w:val="28"/>
          <w:szCs w:val="28"/>
          <w14:textFill>
            <w14:solidFill>
              <w14:schemeClr w14:val="tx1"/>
            </w14:solidFill>
          </w14:textFill>
        </w:rPr>
        <w:t>，</w:t>
      </w:r>
      <w:bookmarkStart w:id="6" w:name="_GoBack"/>
      <w:r>
        <w:rPr>
          <w:rFonts w:hint="eastAsia" w:ascii="Times New Roman" w:hAnsi="Times New Roman" w:eastAsia="仿宋_GB2312" w:cs="Times New Roman"/>
          <w:color w:val="000000" w:themeColor="text1"/>
          <w:sz w:val="28"/>
          <w:szCs w:val="28"/>
          <w14:textFill>
            <w14:solidFill>
              <w14:schemeClr w14:val="tx1"/>
            </w14:solidFill>
          </w14:textFill>
        </w:rPr>
        <w:t>适用于2019、2020、2021</w:t>
      </w:r>
      <w:bookmarkEnd w:id="6"/>
      <w:r>
        <w:rPr>
          <w:rFonts w:hint="eastAsia" w:ascii="Times New Roman" w:hAnsi="Times New Roman" w:eastAsia="仿宋_GB2312" w:cs="Times New Roman"/>
          <w:color w:val="000000" w:themeColor="text1"/>
          <w:sz w:val="28"/>
          <w:szCs w:val="28"/>
          <w14:textFill>
            <w14:solidFill>
              <w14:schemeClr w14:val="tx1"/>
            </w14:solidFill>
          </w14:textFill>
        </w:rPr>
        <w:t>级学生。</w:t>
      </w:r>
      <w:r>
        <w:rPr>
          <w:rFonts w:ascii="Times New Roman" w:hAnsi="Times New Roman" w:eastAsia="仿宋_GB2312" w:cs="Times New Roman"/>
          <w:color w:val="000000" w:themeColor="text1"/>
          <w:sz w:val="28"/>
          <w:szCs w:val="28"/>
          <w14:textFill>
            <w14:solidFill>
              <w14:schemeClr w14:val="tx1"/>
            </w14:solidFill>
          </w14:textFill>
        </w:rPr>
        <w:t>原《</w:t>
      </w:r>
      <w:r>
        <w:rPr>
          <w:rFonts w:hint="eastAsia" w:ascii="Times New Roman" w:hAnsi="Times New Roman" w:eastAsia="仿宋_GB2312" w:cs="Times New Roman"/>
          <w:color w:val="000000" w:themeColor="text1"/>
          <w:sz w:val="28"/>
          <w:szCs w:val="28"/>
          <w14:textFill>
            <w14:solidFill>
              <w14:schemeClr w14:val="tx1"/>
            </w14:solidFill>
          </w14:textFill>
        </w:rPr>
        <w:t>西南财经大学</w:t>
      </w:r>
      <w:r>
        <w:rPr>
          <w:rFonts w:hint="eastAsia" w:ascii="Times New Roman" w:hAnsi="Times New Roman" w:eastAsia="仿宋_GB2312" w:cs="Times New Roman"/>
          <w:color w:val="000000" w:themeColor="text1"/>
          <w:sz w:val="28"/>
          <w:szCs w:val="28"/>
          <w:lang w:eastAsia="zh-CN"/>
          <w14:textFill>
            <w14:solidFill>
              <w14:schemeClr w14:val="tx1"/>
            </w14:solidFill>
          </w14:textFill>
        </w:rPr>
        <w:t>数学学院</w:t>
      </w:r>
      <w:r>
        <w:rPr>
          <w:rFonts w:hint="eastAsia" w:ascii="Times New Roman" w:hAnsi="Times New Roman" w:eastAsia="仿宋_GB2312" w:cs="Times New Roman"/>
          <w:color w:val="000000" w:themeColor="text1"/>
          <w:sz w:val="28"/>
          <w:szCs w:val="28"/>
          <w14:textFill>
            <w14:solidFill>
              <w14:schemeClr w14:val="tx1"/>
            </w14:solidFill>
          </w14:textFill>
        </w:rPr>
        <w:t>推荐免试研究生工作实施细则</w:t>
      </w:r>
      <w:r>
        <w:rPr>
          <w:rFonts w:ascii="Times New Roman" w:hAnsi="Times New Roman" w:eastAsia="仿宋_GB2312" w:cs="Times New Roman"/>
          <w:color w:val="000000" w:themeColor="text1"/>
          <w:sz w:val="28"/>
          <w:szCs w:val="28"/>
          <w14:textFill>
            <w14:solidFill>
              <w14:schemeClr w14:val="tx1"/>
            </w14:solidFill>
          </w14:textFill>
        </w:rPr>
        <w:t>》（</w:t>
      </w:r>
      <w:r>
        <w:rPr>
          <w:rFonts w:hint="eastAsia" w:ascii="Times New Roman" w:hAnsi="Times New Roman" w:eastAsia="仿宋_GB2312" w:cs="Times New Roman"/>
          <w:color w:val="000000" w:themeColor="text1"/>
          <w:sz w:val="28"/>
          <w:szCs w:val="28"/>
          <w14:textFill>
            <w14:solidFill>
              <w14:schemeClr w14:val="tx1"/>
            </w14:solidFill>
          </w14:textFill>
        </w:rPr>
        <w:t>2</w:t>
      </w:r>
      <w:r>
        <w:rPr>
          <w:rFonts w:ascii="Times New Roman" w:hAnsi="Times New Roman" w:eastAsia="仿宋_GB2312" w:cs="Times New Roman"/>
          <w:color w:val="000000" w:themeColor="text1"/>
          <w:sz w:val="28"/>
          <w:szCs w:val="28"/>
          <w14:textFill>
            <w14:solidFill>
              <w14:schemeClr w14:val="tx1"/>
            </w14:solidFill>
          </w14:textFill>
        </w:rPr>
        <w:t>020</w:t>
      </w:r>
      <w:r>
        <w:rPr>
          <w:rFonts w:hint="eastAsia" w:ascii="Times New Roman" w:hAnsi="Times New Roman" w:eastAsia="仿宋_GB2312" w:cs="Times New Roman"/>
          <w:color w:val="000000" w:themeColor="text1"/>
          <w:sz w:val="28"/>
          <w:szCs w:val="28"/>
          <w14:textFill>
            <w14:solidFill>
              <w14:schemeClr w14:val="tx1"/>
            </w14:solidFill>
          </w14:textFill>
        </w:rPr>
        <w:t>年1</w:t>
      </w:r>
      <w:r>
        <w:rPr>
          <w:rFonts w:ascii="Times New Roman" w:hAnsi="Times New Roman" w:eastAsia="仿宋_GB2312" w:cs="Times New Roman"/>
          <w:color w:val="000000" w:themeColor="text1"/>
          <w:sz w:val="28"/>
          <w:szCs w:val="28"/>
          <w14:textFill>
            <w14:solidFill>
              <w14:schemeClr w14:val="tx1"/>
            </w14:solidFill>
          </w14:textFill>
        </w:rPr>
        <w:t>2</w:t>
      </w:r>
      <w:r>
        <w:rPr>
          <w:rFonts w:hint="eastAsia" w:ascii="Times New Roman" w:hAnsi="Times New Roman" w:eastAsia="仿宋_GB2312" w:cs="Times New Roman"/>
          <w:color w:val="000000" w:themeColor="text1"/>
          <w:sz w:val="28"/>
          <w:szCs w:val="28"/>
          <w14:textFill>
            <w14:solidFill>
              <w14:schemeClr w14:val="tx1"/>
            </w14:solidFill>
          </w14:textFill>
        </w:rPr>
        <w:t>月修订版</w:t>
      </w:r>
      <w:r>
        <w:rPr>
          <w:rFonts w:ascii="Times New Roman" w:hAnsi="Times New Roman" w:eastAsia="仿宋_GB2312" w:cs="Times New Roman"/>
          <w:color w:val="000000" w:themeColor="text1"/>
          <w:sz w:val="28"/>
          <w:szCs w:val="28"/>
          <w14:textFill>
            <w14:solidFill>
              <w14:schemeClr w14:val="tx1"/>
            </w14:solidFill>
          </w14:textFill>
        </w:rPr>
        <w:t>）废止。</w:t>
      </w:r>
    </w:p>
    <w:p>
      <w:pPr>
        <w:rPr>
          <w:color w:val="000000" w:themeColor="text1"/>
          <w14:textFill>
            <w14:solidFill>
              <w14:schemeClr w14:val="tx1"/>
            </w14:solidFill>
          </w14:textFill>
        </w:rPr>
      </w:pP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1493711"/>
      <w:docPartObj>
        <w:docPartGallery w:val="autotext"/>
      </w:docPartObj>
    </w:sdtPr>
    <w:sdtContent>
      <w:p>
        <w:pPr>
          <w:pStyle w:val="7"/>
          <w:jc w:val="center"/>
        </w:pPr>
        <w:r>
          <w:fldChar w:fldCharType="begin"/>
        </w:r>
        <w:r>
          <w:instrText xml:space="preserve">PAGE   \* MERGEFORMAT</w:instrText>
        </w:r>
        <w:r>
          <w:fldChar w:fldCharType="separate"/>
        </w:r>
        <w:r>
          <w:rPr>
            <w:lang w:val="zh-CN"/>
          </w:rPr>
          <w:t>12</w:t>
        </w:r>
        <w:r>
          <w:fldChar w:fldCharType="end"/>
        </w:r>
      </w:p>
    </w:sdtContent>
  </w:sdt>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5B20E88"/>
    <w:multiLevelType w:val="multilevel"/>
    <w:tmpl w:val="75B20E88"/>
    <w:lvl w:ilvl="0" w:tentative="0">
      <w:start w:val="1"/>
      <w:numFmt w:val="decimalEnclosedCircle"/>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M2ODMyY2VlZmYzNDRjZmI3YzJjMmI2ZWEyNTMyMWMifQ=="/>
  </w:docVars>
  <w:rsids>
    <w:rsidRoot w:val="00451295"/>
    <w:rsid w:val="00090A2F"/>
    <w:rsid w:val="000D20F7"/>
    <w:rsid w:val="00100E3D"/>
    <w:rsid w:val="001D3373"/>
    <w:rsid w:val="0022329D"/>
    <w:rsid w:val="00231ABA"/>
    <w:rsid w:val="002752AA"/>
    <w:rsid w:val="002B65BB"/>
    <w:rsid w:val="002C53A3"/>
    <w:rsid w:val="002D239C"/>
    <w:rsid w:val="00311734"/>
    <w:rsid w:val="004060C4"/>
    <w:rsid w:val="0042035C"/>
    <w:rsid w:val="00447FC8"/>
    <w:rsid w:val="00451295"/>
    <w:rsid w:val="00460337"/>
    <w:rsid w:val="00491477"/>
    <w:rsid w:val="004B772A"/>
    <w:rsid w:val="005539CB"/>
    <w:rsid w:val="00591C64"/>
    <w:rsid w:val="005923AA"/>
    <w:rsid w:val="005D7D5F"/>
    <w:rsid w:val="00721AFC"/>
    <w:rsid w:val="00834D6E"/>
    <w:rsid w:val="00844708"/>
    <w:rsid w:val="00851006"/>
    <w:rsid w:val="008914CC"/>
    <w:rsid w:val="009205EE"/>
    <w:rsid w:val="009A3059"/>
    <w:rsid w:val="009F03A2"/>
    <w:rsid w:val="00A071E2"/>
    <w:rsid w:val="00A474E9"/>
    <w:rsid w:val="00A479DD"/>
    <w:rsid w:val="00AE3910"/>
    <w:rsid w:val="00AF5D80"/>
    <w:rsid w:val="00AF7A12"/>
    <w:rsid w:val="00BA7E8E"/>
    <w:rsid w:val="00C05687"/>
    <w:rsid w:val="00C41175"/>
    <w:rsid w:val="00C93A0C"/>
    <w:rsid w:val="00CB40AB"/>
    <w:rsid w:val="00CD0FF1"/>
    <w:rsid w:val="00E04A1A"/>
    <w:rsid w:val="00E27EF9"/>
    <w:rsid w:val="00EC7262"/>
    <w:rsid w:val="00F50A4F"/>
    <w:rsid w:val="00FD3BAA"/>
    <w:rsid w:val="05C07F7A"/>
    <w:rsid w:val="5FF758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semiHidden="0" w:name="heading 4"/>
    <w:lsdException w:qFormat="1" w:uiPriority="9" w:name="heading 5"/>
    <w:lsdException w:qFormat="1" w:uiPriority="9" w:name="heading 6"/>
    <w:lsdException w:qFormat="1" w:unhideWhenUsed="0"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1"/>
      <w:lang w:val="en-US" w:eastAsia="zh-CN" w:bidi="ar-SA"/>
    </w:rPr>
  </w:style>
  <w:style w:type="paragraph" w:styleId="2">
    <w:name w:val="heading 1"/>
    <w:basedOn w:val="1"/>
    <w:next w:val="1"/>
    <w:link w:val="11"/>
    <w:qFormat/>
    <w:uiPriority w:val="9"/>
    <w:pPr>
      <w:spacing w:before="720" w:beforeLines="300" w:after="240" w:afterLines="100" w:line="700" w:lineRule="exact"/>
      <w:jc w:val="center"/>
      <w:outlineLvl w:val="0"/>
    </w:pPr>
    <w:rPr>
      <w:rFonts w:ascii="Times New Roman" w:hAnsi="Times New Roman" w:eastAsia="华文中宋"/>
      <w:b/>
      <w:sz w:val="44"/>
      <w:szCs w:val="44"/>
    </w:rPr>
  </w:style>
  <w:style w:type="paragraph" w:styleId="3">
    <w:name w:val="heading 2"/>
    <w:basedOn w:val="1"/>
    <w:next w:val="1"/>
    <w:link w:val="12"/>
    <w:unhideWhenUsed/>
    <w:qFormat/>
    <w:uiPriority w:val="9"/>
    <w:pPr>
      <w:keepNext/>
      <w:keepLines/>
      <w:spacing w:before="240" w:beforeLines="100" w:after="240" w:afterLines="100" w:line="560" w:lineRule="exact"/>
      <w:jc w:val="center"/>
      <w:outlineLvl w:val="1"/>
    </w:pPr>
    <w:rPr>
      <w:rFonts w:ascii="Times New Roman" w:hAnsi="Times New Roman" w:eastAsia="黑体" w:cs="Times New Roman"/>
      <w:b/>
      <w:sz w:val="32"/>
      <w:szCs w:val="32"/>
    </w:rPr>
  </w:style>
  <w:style w:type="paragraph" w:styleId="4">
    <w:name w:val="heading 4"/>
    <w:basedOn w:val="1"/>
    <w:next w:val="1"/>
    <w:link w:val="13"/>
    <w:unhideWhenUsed/>
    <w:qFormat/>
    <w:uiPriority w:val="9"/>
    <w:pPr>
      <w:widowControl/>
      <w:shd w:val="clear" w:color="auto" w:fill="FFFFFF"/>
      <w:spacing w:line="360" w:lineRule="auto"/>
      <w:jc w:val="center"/>
      <w:outlineLvl w:val="3"/>
    </w:pPr>
    <w:rPr>
      <w:rFonts w:ascii="黑体" w:hAnsi="黑体" w:eastAsia="黑体" w:cs="Arial"/>
      <w:b/>
      <w:bCs/>
      <w:kern w:val="0"/>
      <w:sz w:val="32"/>
      <w:szCs w:val="32"/>
    </w:rPr>
  </w:style>
  <w:style w:type="paragraph" w:styleId="5">
    <w:name w:val="heading 7"/>
    <w:basedOn w:val="1"/>
    <w:next w:val="1"/>
    <w:link w:val="14"/>
    <w:qFormat/>
    <w:uiPriority w:val="9"/>
    <w:pPr>
      <w:spacing w:line="560" w:lineRule="exact"/>
      <w:jc w:val="center"/>
      <w:outlineLvl w:val="6"/>
    </w:pPr>
    <w:rPr>
      <w:rFonts w:ascii="Times New Roman" w:hAnsi="Times New Roman" w:eastAsia="楷体_GB2312"/>
      <w:b/>
      <w:sz w:val="28"/>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6">
    <w:name w:val="Balloon Text"/>
    <w:basedOn w:val="1"/>
    <w:link w:val="21"/>
    <w:semiHidden/>
    <w:unhideWhenUsed/>
    <w:qFormat/>
    <w:uiPriority w:val="99"/>
    <w:rPr>
      <w:sz w:val="18"/>
      <w:szCs w:val="18"/>
    </w:rPr>
  </w:style>
  <w:style w:type="paragraph" w:styleId="7">
    <w:name w:val="footer"/>
    <w:basedOn w:val="1"/>
    <w:link w:val="20"/>
    <w:unhideWhenUsed/>
    <w:qFormat/>
    <w:uiPriority w:val="99"/>
    <w:pPr>
      <w:tabs>
        <w:tab w:val="center" w:pos="4153"/>
        <w:tab w:val="right" w:pos="8306"/>
      </w:tabs>
      <w:snapToGrid w:val="0"/>
      <w:jc w:val="left"/>
    </w:pPr>
    <w:rPr>
      <w:sz w:val="18"/>
      <w:szCs w:val="18"/>
    </w:rPr>
  </w:style>
  <w:style w:type="paragraph" w:styleId="8">
    <w:name w:val="header"/>
    <w:basedOn w:val="1"/>
    <w:link w:val="19"/>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11">
    <w:name w:val="标题 1 字符"/>
    <w:basedOn w:val="10"/>
    <w:link w:val="2"/>
    <w:qFormat/>
    <w:uiPriority w:val="9"/>
    <w:rPr>
      <w:rFonts w:ascii="Times New Roman" w:hAnsi="Times New Roman" w:eastAsia="华文中宋"/>
      <w:b/>
      <w:sz w:val="44"/>
      <w:szCs w:val="44"/>
    </w:rPr>
  </w:style>
  <w:style w:type="character" w:customStyle="1" w:styleId="12">
    <w:name w:val="标题 2 字符"/>
    <w:basedOn w:val="10"/>
    <w:link w:val="3"/>
    <w:qFormat/>
    <w:uiPriority w:val="9"/>
    <w:rPr>
      <w:rFonts w:ascii="Times New Roman" w:hAnsi="Times New Roman" w:eastAsia="黑体" w:cs="Times New Roman"/>
      <w:b/>
      <w:sz w:val="32"/>
      <w:szCs w:val="32"/>
    </w:rPr>
  </w:style>
  <w:style w:type="character" w:customStyle="1" w:styleId="13">
    <w:name w:val="标题 4 字符"/>
    <w:basedOn w:val="10"/>
    <w:link w:val="4"/>
    <w:qFormat/>
    <w:uiPriority w:val="9"/>
    <w:rPr>
      <w:rFonts w:ascii="黑体" w:hAnsi="黑体" w:eastAsia="黑体" w:cs="Arial"/>
      <w:b/>
      <w:bCs/>
      <w:kern w:val="0"/>
      <w:sz w:val="32"/>
      <w:szCs w:val="32"/>
      <w:shd w:val="clear" w:color="auto" w:fill="FFFFFF"/>
    </w:rPr>
  </w:style>
  <w:style w:type="character" w:customStyle="1" w:styleId="14">
    <w:name w:val="标题 7 字符"/>
    <w:basedOn w:val="10"/>
    <w:link w:val="5"/>
    <w:qFormat/>
    <w:uiPriority w:val="9"/>
    <w:rPr>
      <w:rFonts w:ascii="Times New Roman" w:hAnsi="Times New Roman" w:eastAsia="楷体_GB2312"/>
      <w:b/>
      <w:sz w:val="28"/>
      <w:szCs w:val="21"/>
    </w:rPr>
  </w:style>
  <w:style w:type="paragraph" w:customStyle="1" w:styleId="15">
    <w:name w:val="标题1"/>
    <w:basedOn w:val="1"/>
    <w:qFormat/>
    <w:uiPriority w:val="0"/>
    <w:pPr>
      <w:widowControl/>
      <w:spacing w:before="9" w:after="100" w:afterAutospacing="1" w:line="432" w:lineRule="atLeast"/>
      <w:jc w:val="left"/>
    </w:pPr>
    <w:rPr>
      <w:rFonts w:ascii="宋体" w:hAnsi="宋体" w:eastAsia="宋体" w:cs="宋体"/>
      <w:color w:val="333333"/>
      <w:kern w:val="0"/>
      <w:sz w:val="20"/>
      <w:szCs w:val="20"/>
    </w:rPr>
  </w:style>
  <w:style w:type="paragraph" w:customStyle="1" w:styleId="16">
    <w:name w:val="表格"/>
    <w:basedOn w:val="1"/>
    <w:link w:val="17"/>
    <w:qFormat/>
    <w:uiPriority w:val="0"/>
    <w:pPr>
      <w:jc w:val="center"/>
    </w:pPr>
    <w:rPr>
      <w:rFonts w:ascii="Times New Roman" w:hAnsi="Times New Roman" w:eastAsia="仿宋_GB2312"/>
      <w:kern w:val="0"/>
    </w:rPr>
  </w:style>
  <w:style w:type="character" w:customStyle="1" w:styleId="17">
    <w:name w:val="表格 Char"/>
    <w:basedOn w:val="10"/>
    <w:link w:val="16"/>
    <w:qFormat/>
    <w:uiPriority w:val="0"/>
    <w:rPr>
      <w:rFonts w:ascii="Times New Roman" w:hAnsi="Times New Roman" w:eastAsia="仿宋_GB2312"/>
      <w:kern w:val="0"/>
      <w:szCs w:val="21"/>
    </w:rPr>
  </w:style>
  <w:style w:type="paragraph" w:styleId="18">
    <w:name w:val="List Paragraph"/>
    <w:basedOn w:val="1"/>
    <w:qFormat/>
    <w:uiPriority w:val="34"/>
    <w:pPr>
      <w:ind w:firstLine="420" w:firstLineChars="200"/>
    </w:pPr>
  </w:style>
  <w:style w:type="character" w:customStyle="1" w:styleId="19">
    <w:name w:val="页眉 字符"/>
    <w:basedOn w:val="10"/>
    <w:link w:val="8"/>
    <w:qFormat/>
    <w:uiPriority w:val="99"/>
    <w:rPr>
      <w:sz w:val="18"/>
      <w:szCs w:val="18"/>
    </w:rPr>
  </w:style>
  <w:style w:type="character" w:customStyle="1" w:styleId="20">
    <w:name w:val="页脚 字符"/>
    <w:basedOn w:val="10"/>
    <w:link w:val="7"/>
    <w:qFormat/>
    <w:uiPriority w:val="99"/>
    <w:rPr>
      <w:sz w:val="18"/>
      <w:szCs w:val="18"/>
    </w:rPr>
  </w:style>
  <w:style w:type="character" w:customStyle="1" w:styleId="21">
    <w:name w:val="批注框文本 字符"/>
    <w:basedOn w:val="10"/>
    <w:link w:val="6"/>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5918</Words>
  <Characters>6045</Characters>
  <Lines>45</Lines>
  <Paragraphs>12</Paragraphs>
  <TotalTime>67</TotalTime>
  <ScaleCrop>false</ScaleCrop>
  <LinksUpToDate>false</LinksUpToDate>
  <CharactersWithSpaces>6097</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2021-12-30T08:56:00Z</dcterms:created>
  <dc:creator>juanjuan</dc:creator>
  <cp:lastModifiedBy>叶小美</cp:lastModifiedBy>
  <cp:lastPrinted>2021-12-31T02:01:00Z</cp:lastPrinted>
  <dcterms:modified xsi:type="dcterms:W3CDTF">2022-06-27T02:36:48Z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B9C262EDD2944088B677FFE10E189F15</vt:lpwstr>
  </property>
</Properties>
</file>