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94C22" w14:textId="40529DDD" w:rsidR="00FB2404" w:rsidRPr="00161A38" w:rsidRDefault="00FB2404" w:rsidP="00161A38">
      <w:pPr>
        <w:adjustRightInd w:val="0"/>
        <w:snapToGrid w:val="0"/>
        <w:ind w:firstLine="420"/>
        <w:jc w:val="left"/>
        <w:rPr>
          <w:rFonts w:ascii="Times New Roman" w:hAnsi="Times New Roman"/>
        </w:rPr>
      </w:pPr>
      <w:r w:rsidRPr="00161A38">
        <w:rPr>
          <w:rFonts w:ascii="Times New Roman" w:hAnsi="Times New Roman" w:hint="eastAsia"/>
          <w:b/>
          <w:bCs/>
        </w:rPr>
        <w:t>附件</w:t>
      </w:r>
      <w:r w:rsidRPr="00161A38">
        <w:rPr>
          <w:rFonts w:ascii="Times New Roman" w:hAnsi="Times New Roman" w:hint="eastAsia"/>
          <w:b/>
          <w:bCs/>
        </w:rPr>
        <w:t xml:space="preserve">1 </w:t>
      </w:r>
      <w:r w:rsidRPr="00161A38">
        <w:rPr>
          <w:rFonts w:ascii="Times New Roman" w:hAnsi="Times New Roman" w:hint="eastAsia"/>
        </w:rPr>
        <w:t xml:space="preserve">              </w:t>
      </w:r>
      <w:r w:rsidRPr="00161A38">
        <w:rPr>
          <w:rFonts w:ascii="Times New Roman" w:hAnsi="Times New Roman" w:hint="eastAsia"/>
          <w:b/>
          <w:bCs/>
        </w:rPr>
        <w:t>成都大学商学院推荐优秀应届本科毕业生免试攻读研究生综合能力成绩评分细则（试行）</w:t>
      </w:r>
    </w:p>
    <w:tbl>
      <w:tblPr>
        <w:tblW w:w="16586" w:type="dxa"/>
        <w:tblInd w:w="-431" w:type="dxa"/>
        <w:tblLook w:val="04A0" w:firstRow="1" w:lastRow="0" w:firstColumn="1" w:lastColumn="0" w:noHBand="0" w:noVBand="1"/>
      </w:tblPr>
      <w:tblGrid>
        <w:gridCol w:w="518"/>
        <w:gridCol w:w="901"/>
        <w:gridCol w:w="1134"/>
        <w:gridCol w:w="9639"/>
        <w:gridCol w:w="3543"/>
        <w:gridCol w:w="367"/>
        <w:gridCol w:w="567"/>
      </w:tblGrid>
      <w:tr w:rsidR="002D21D4" w:rsidRPr="00B9211A" w14:paraId="06D7E9A1" w14:textId="77777777" w:rsidTr="002D21D4">
        <w:trPr>
          <w:trHeight w:val="284"/>
        </w:trPr>
        <w:tc>
          <w:tcPr>
            <w:tcW w:w="518" w:type="dxa"/>
            <w:tcBorders>
              <w:top w:val="single" w:sz="4" w:space="0" w:color="auto"/>
              <w:left w:val="single" w:sz="4" w:space="0" w:color="auto"/>
              <w:bottom w:val="single" w:sz="4" w:space="0" w:color="auto"/>
              <w:right w:val="single" w:sz="4" w:space="0" w:color="auto"/>
            </w:tcBorders>
            <w:noWrap/>
            <w:vAlign w:val="center"/>
            <w:hideMark/>
          </w:tcPr>
          <w:p w14:paraId="05AF98C0"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一级指标</w:t>
            </w:r>
          </w:p>
        </w:tc>
        <w:tc>
          <w:tcPr>
            <w:tcW w:w="901" w:type="dxa"/>
            <w:tcBorders>
              <w:top w:val="single" w:sz="4" w:space="0" w:color="auto"/>
              <w:left w:val="nil"/>
              <w:bottom w:val="single" w:sz="4" w:space="0" w:color="auto"/>
              <w:right w:val="single" w:sz="4" w:space="0" w:color="auto"/>
            </w:tcBorders>
            <w:noWrap/>
            <w:vAlign w:val="center"/>
            <w:hideMark/>
          </w:tcPr>
          <w:p w14:paraId="3C83AAC8"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二级指标</w:t>
            </w:r>
          </w:p>
        </w:tc>
        <w:tc>
          <w:tcPr>
            <w:tcW w:w="1134" w:type="dxa"/>
            <w:tcBorders>
              <w:top w:val="single" w:sz="4" w:space="0" w:color="auto"/>
              <w:left w:val="nil"/>
              <w:bottom w:val="single" w:sz="4" w:space="0" w:color="auto"/>
              <w:right w:val="single" w:sz="4" w:space="0" w:color="auto"/>
            </w:tcBorders>
            <w:noWrap/>
            <w:vAlign w:val="center"/>
            <w:hideMark/>
          </w:tcPr>
          <w:p w14:paraId="223B9ADE"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三级指标</w:t>
            </w:r>
          </w:p>
        </w:tc>
        <w:tc>
          <w:tcPr>
            <w:tcW w:w="9639" w:type="dxa"/>
            <w:tcBorders>
              <w:top w:val="single" w:sz="4" w:space="0" w:color="auto"/>
              <w:left w:val="nil"/>
              <w:bottom w:val="single" w:sz="4" w:space="0" w:color="auto"/>
              <w:right w:val="single" w:sz="4" w:space="0" w:color="auto"/>
            </w:tcBorders>
            <w:noWrap/>
            <w:vAlign w:val="center"/>
            <w:hideMark/>
          </w:tcPr>
          <w:p w14:paraId="63B0F2D0"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内容及分值</w:t>
            </w:r>
          </w:p>
        </w:tc>
        <w:tc>
          <w:tcPr>
            <w:tcW w:w="3543" w:type="dxa"/>
            <w:tcBorders>
              <w:top w:val="single" w:sz="4" w:space="0" w:color="auto"/>
              <w:left w:val="nil"/>
              <w:bottom w:val="single" w:sz="4" w:space="0" w:color="auto"/>
              <w:right w:val="single" w:sz="4" w:space="0" w:color="auto"/>
            </w:tcBorders>
            <w:noWrap/>
            <w:vAlign w:val="center"/>
            <w:hideMark/>
          </w:tcPr>
          <w:p w14:paraId="1660104C"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备注</w:t>
            </w:r>
          </w:p>
        </w:tc>
        <w:tc>
          <w:tcPr>
            <w:tcW w:w="284" w:type="dxa"/>
            <w:tcBorders>
              <w:top w:val="single" w:sz="4" w:space="0" w:color="auto"/>
              <w:left w:val="nil"/>
              <w:bottom w:val="single" w:sz="4" w:space="0" w:color="auto"/>
              <w:right w:val="single" w:sz="4" w:space="0" w:color="auto"/>
            </w:tcBorders>
            <w:noWrap/>
            <w:vAlign w:val="center"/>
            <w:hideMark/>
          </w:tcPr>
          <w:p w14:paraId="7E5DFB50"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分数</w:t>
            </w:r>
          </w:p>
        </w:tc>
        <w:tc>
          <w:tcPr>
            <w:tcW w:w="567" w:type="dxa"/>
            <w:tcBorders>
              <w:top w:val="single" w:sz="4" w:space="0" w:color="auto"/>
              <w:left w:val="nil"/>
              <w:bottom w:val="single" w:sz="4" w:space="0" w:color="auto"/>
              <w:right w:val="single" w:sz="4" w:space="0" w:color="auto"/>
            </w:tcBorders>
            <w:noWrap/>
            <w:vAlign w:val="center"/>
            <w:hideMark/>
          </w:tcPr>
          <w:p w14:paraId="767F25BE"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加分项目</w:t>
            </w:r>
          </w:p>
        </w:tc>
      </w:tr>
      <w:tr w:rsidR="002D21D4" w:rsidRPr="00B9211A" w14:paraId="65CE412E" w14:textId="77777777" w:rsidTr="002D21D4">
        <w:trPr>
          <w:trHeight w:val="1370"/>
        </w:trPr>
        <w:tc>
          <w:tcPr>
            <w:tcW w:w="518" w:type="dxa"/>
            <w:vMerge w:val="restart"/>
            <w:tcBorders>
              <w:top w:val="nil"/>
              <w:left w:val="single" w:sz="4" w:space="0" w:color="auto"/>
              <w:bottom w:val="single" w:sz="4" w:space="0" w:color="auto"/>
              <w:right w:val="single" w:sz="4" w:space="0" w:color="auto"/>
            </w:tcBorders>
            <w:vAlign w:val="center"/>
            <w:hideMark/>
          </w:tcPr>
          <w:p w14:paraId="242A85DB"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科研创新</w:t>
            </w:r>
            <w:r w:rsidRPr="00B9211A">
              <w:rPr>
                <w:rFonts w:ascii="宋体" w:hAnsi="宋体" w:cs="宋体" w:hint="eastAsia"/>
                <w:b/>
                <w:bCs/>
                <w:kern w:val="0"/>
                <w:sz w:val="15"/>
                <w:szCs w:val="15"/>
              </w:rPr>
              <w:br/>
              <w:t>（满分70分）</w:t>
            </w:r>
          </w:p>
        </w:tc>
        <w:tc>
          <w:tcPr>
            <w:tcW w:w="901"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5DD729"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科研成果</w:t>
            </w:r>
          </w:p>
        </w:tc>
        <w:tc>
          <w:tcPr>
            <w:tcW w:w="1134" w:type="dxa"/>
            <w:tcBorders>
              <w:top w:val="nil"/>
              <w:left w:val="nil"/>
              <w:bottom w:val="single" w:sz="4" w:space="0" w:color="auto"/>
              <w:right w:val="single" w:sz="4" w:space="0" w:color="auto"/>
            </w:tcBorders>
            <w:shd w:val="clear" w:color="000000" w:fill="FFFFFF"/>
            <w:noWrap/>
            <w:vAlign w:val="center"/>
            <w:hideMark/>
          </w:tcPr>
          <w:p w14:paraId="41140700"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学术论文</w:t>
            </w:r>
          </w:p>
        </w:tc>
        <w:tc>
          <w:tcPr>
            <w:tcW w:w="9639" w:type="dxa"/>
            <w:tcBorders>
              <w:top w:val="nil"/>
              <w:left w:val="nil"/>
              <w:bottom w:val="single" w:sz="4" w:space="0" w:color="auto"/>
              <w:right w:val="single" w:sz="4" w:space="0" w:color="auto"/>
            </w:tcBorders>
            <w:shd w:val="clear" w:color="000000" w:fill="FFFFFF"/>
            <w:vAlign w:val="center"/>
            <w:hideMark/>
          </w:tcPr>
          <w:p w14:paraId="385D734D"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1.高水平科研论文（拔尖项目）类：以独立作者或第一作者发表与专业相关的高水平科研论文（高水平科研论文一般包含：SSCI、SCI、AHCI、南大核心(不含扩展板）收录论文）按四个等级由高到低分别加60分、50分、40分、30分：</w:t>
            </w:r>
            <w:r w:rsidRPr="004C41A9">
              <w:rPr>
                <w:rFonts w:ascii="宋体" w:hAnsi="宋体" w:cs="宋体" w:hint="eastAsia"/>
                <w:kern w:val="0"/>
                <w:sz w:val="13"/>
                <w:szCs w:val="13"/>
              </w:rPr>
              <w:br/>
              <w:t xml:space="preserve">   SSCI、SCI、AHCI按中科院分区为一区、南大核心(不含扩展板）以社科院AMI评价为顶级和权威的论文认定为A级，加60分；</w:t>
            </w:r>
            <w:r w:rsidRPr="004C41A9">
              <w:rPr>
                <w:rFonts w:ascii="宋体" w:hAnsi="宋体" w:cs="宋体" w:hint="eastAsia"/>
                <w:kern w:val="0"/>
                <w:sz w:val="13"/>
                <w:szCs w:val="13"/>
              </w:rPr>
              <w:br/>
              <w:t xml:space="preserve">   SSCI、SCI、AHCI按中科院分区为二区、南大核心(不含扩展板）以社科院AMI评价为核心的论文认定为B级，加50分；</w:t>
            </w:r>
            <w:r w:rsidRPr="004C41A9">
              <w:rPr>
                <w:rFonts w:ascii="宋体" w:hAnsi="宋体" w:cs="宋体" w:hint="eastAsia"/>
                <w:kern w:val="0"/>
                <w:sz w:val="13"/>
                <w:szCs w:val="13"/>
              </w:rPr>
              <w:br/>
              <w:t xml:space="preserve">   SSCI、SCI、AHCI按中科院分区为三区、南大核心(不含扩展板）以社科院AMI评价为扩展的论文认定为C级，加40分；</w:t>
            </w:r>
            <w:r w:rsidRPr="004C41A9">
              <w:rPr>
                <w:rFonts w:ascii="宋体" w:hAnsi="宋体" w:cs="宋体" w:hint="eastAsia"/>
                <w:kern w:val="0"/>
                <w:sz w:val="13"/>
                <w:szCs w:val="13"/>
              </w:rPr>
              <w:br/>
              <w:t xml:space="preserve">   SSCI、SCI、AHCI按中科院分区为四区、南大核心(不含扩展板）以社科院AMI评价为入库的论文认定为D级，加30分；</w:t>
            </w:r>
            <w:r w:rsidRPr="004C41A9">
              <w:rPr>
                <w:rFonts w:ascii="宋体" w:hAnsi="宋体" w:cs="宋体" w:hint="eastAsia"/>
                <w:kern w:val="0"/>
                <w:sz w:val="13"/>
                <w:szCs w:val="13"/>
              </w:rPr>
              <w:br/>
              <w:t>2.南大核心期刊扩展版、北大核心期刊 、EI检索的期刊论文、CSCD核心期刊等加25分。(期刊收录情况以论文发表时的数据库收录为准）。</w:t>
            </w:r>
          </w:p>
        </w:tc>
        <w:tc>
          <w:tcPr>
            <w:tcW w:w="3543" w:type="dxa"/>
            <w:tcBorders>
              <w:top w:val="nil"/>
              <w:left w:val="nil"/>
              <w:bottom w:val="single" w:sz="4" w:space="0" w:color="auto"/>
              <w:right w:val="single" w:sz="4" w:space="0" w:color="auto"/>
            </w:tcBorders>
            <w:shd w:val="clear" w:color="000000" w:fill="FFFFFF"/>
            <w:vAlign w:val="center"/>
            <w:hideMark/>
          </w:tcPr>
          <w:p w14:paraId="741D24D1"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以成都大学为第一知识产权（署名）单位；</w:t>
            </w:r>
            <w:r w:rsidRPr="004C41A9">
              <w:rPr>
                <w:rFonts w:ascii="宋体" w:hAnsi="宋体" w:cs="宋体" w:hint="eastAsia"/>
                <w:kern w:val="0"/>
                <w:sz w:val="13"/>
                <w:szCs w:val="13"/>
              </w:rPr>
              <w:br/>
              <w:t>以独立作者或第一作者发表的与学业相关的科研论文。</w:t>
            </w:r>
          </w:p>
        </w:tc>
        <w:tc>
          <w:tcPr>
            <w:tcW w:w="284" w:type="dxa"/>
            <w:tcBorders>
              <w:top w:val="nil"/>
              <w:left w:val="nil"/>
              <w:bottom w:val="single" w:sz="4" w:space="0" w:color="auto"/>
              <w:right w:val="single" w:sz="4" w:space="0" w:color="auto"/>
            </w:tcBorders>
            <w:noWrap/>
            <w:vAlign w:val="center"/>
            <w:hideMark/>
          </w:tcPr>
          <w:p w14:paraId="1D1A4995"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1485A316"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064CA2FD" w14:textId="77777777" w:rsidTr="002D21D4">
        <w:trPr>
          <w:trHeight w:val="566"/>
        </w:trPr>
        <w:tc>
          <w:tcPr>
            <w:tcW w:w="518" w:type="dxa"/>
            <w:vMerge/>
            <w:tcBorders>
              <w:top w:val="nil"/>
              <w:left w:val="single" w:sz="4" w:space="0" w:color="auto"/>
              <w:bottom w:val="single" w:sz="4" w:space="0" w:color="auto"/>
              <w:right w:val="single" w:sz="4" w:space="0" w:color="auto"/>
            </w:tcBorders>
            <w:vAlign w:val="center"/>
            <w:hideMark/>
          </w:tcPr>
          <w:p w14:paraId="34A778C6"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tcBorders>
              <w:top w:val="nil"/>
              <w:left w:val="single" w:sz="4" w:space="0" w:color="auto"/>
              <w:bottom w:val="single" w:sz="4" w:space="0" w:color="auto"/>
              <w:right w:val="single" w:sz="4" w:space="0" w:color="auto"/>
            </w:tcBorders>
            <w:vAlign w:val="center"/>
            <w:hideMark/>
          </w:tcPr>
          <w:p w14:paraId="17D10F76"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1134" w:type="dxa"/>
            <w:tcBorders>
              <w:top w:val="nil"/>
              <w:left w:val="nil"/>
              <w:bottom w:val="single" w:sz="4" w:space="0" w:color="auto"/>
              <w:right w:val="single" w:sz="4" w:space="0" w:color="auto"/>
            </w:tcBorders>
            <w:shd w:val="clear" w:color="000000" w:fill="FFFFFF"/>
            <w:noWrap/>
            <w:vAlign w:val="center"/>
            <w:hideMark/>
          </w:tcPr>
          <w:p w14:paraId="4A4AD8F0"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发明专利</w:t>
            </w:r>
          </w:p>
        </w:tc>
        <w:tc>
          <w:tcPr>
            <w:tcW w:w="9639" w:type="dxa"/>
            <w:tcBorders>
              <w:top w:val="nil"/>
              <w:left w:val="nil"/>
              <w:bottom w:val="single" w:sz="4" w:space="0" w:color="auto"/>
              <w:right w:val="single" w:sz="4" w:space="0" w:color="auto"/>
            </w:tcBorders>
            <w:shd w:val="clear" w:color="000000" w:fill="FFFFFF"/>
            <w:vAlign w:val="center"/>
            <w:hideMark/>
          </w:tcPr>
          <w:p w14:paraId="34715C6F"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1.本科期间学生为发明专利第一完成人申请获批的发明专利加30分；</w:t>
            </w:r>
            <w:r w:rsidRPr="004C41A9">
              <w:rPr>
                <w:rFonts w:ascii="宋体" w:hAnsi="宋体" w:cs="宋体" w:hint="eastAsia"/>
                <w:kern w:val="0"/>
                <w:sz w:val="13"/>
                <w:szCs w:val="13"/>
              </w:rPr>
              <w:br/>
              <w:t>2.实用新型专利（著作权）、外观设计专利（著作权）、软件著作权第一完成人申请获批的相关成果加8分。</w:t>
            </w:r>
          </w:p>
        </w:tc>
        <w:tc>
          <w:tcPr>
            <w:tcW w:w="3543" w:type="dxa"/>
            <w:tcBorders>
              <w:top w:val="nil"/>
              <w:left w:val="nil"/>
              <w:bottom w:val="single" w:sz="4" w:space="0" w:color="auto"/>
              <w:right w:val="single" w:sz="4" w:space="0" w:color="auto"/>
            </w:tcBorders>
            <w:shd w:val="clear" w:color="000000" w:fill="FFFFFF"/>
            <w:vAlign w:val="center"/>
            <w:hideMark/>
          </w:tcPr>
          <w:p w14:paraId="7BF3E1B7"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以成都大学为第一知识产权（署名）单位；</w:t>
            </w:r>
            <w:r w:rsidRPr="004C41A9">
              <w:rPr>
                <w:rFonts w:ascii="宋体" w:hAnsi="宋体" w:cs="宋体" w:hint="eastAsia"/>
                <w:kern w:val="0"/>
                <w:sz w:val="13"/>
                <w:szCs w:val="13"/>
              </w:rPr>
              <w:br/>
              <w:t>排名第一按100%计算，每下降 1 个排位分值按上一排名的 50％计分，限排名前三参与人。</w:t>
            </w:r>
          </w:p>
        </w:tc>
        <w:tc>
          <w:tcPr>
            <w:tcW w:w="284" w:type="dxa"/>
            <w:tcBorders>
              <w:top w:val="nil"/>
              <w:left w:val="nil"/>
              <w:bottom w:val="single" w:sz="4" w:space="0" w:color="auto"/>
              <w:right w:val="single" w:sz="4" w:space="0" w:color="auto"/>
            </w:tcBorders>
            <w:noWrap/>
            <w:vAlign w:val="center"/>
            <w:hideMark/>
          </w:tcPr>
          <w:p w14:paraId="5627300D"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386B4541"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3C390E36" w14:textId="77777777" w:rsidTr="002D21D4">
        <w:trPr>
          <w:trHeight w:val="1275"/>
        </w:trPr>
        <w:tc>
          <w:tcPr>
            <w:tcW w:w="518" w:type="dxa"/>
            <w:vMerge/>
            <w:tcBorders>
              <w:top w:val="nil"/>
              <w:left w:val="single" w:sz="4" w:space="0" w:color="auto"/>
              <w:bottom w:val="single" w:sz="4" w:space="0" w:color="auto"/>
              <w:right w:val="single" w:sz="4" w:space="0" w:color="auto"/>
            </w:tcBorders>
            <w:vAlign w:val="center"/>
            <w:hideMark/>
          </w:tcPr>
          <w:p w14:paraId="45156541"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tcBorders>
              <w:top w:val="nil"/>
              <w:left w:val="nil"/>
              <w:bottom w:val="single" w:sz="4" w:space="0" w:color="auto"/>
              <w:right w:val="single" w:sz="4" w:space="0" w:color="auto"/>
            </w:tcBorders>
            <w:shd w:val="clear" w:color="000000" w:fill="FFFFFF"/>
            <w:noWrap/>
            <w:vAlign w:val="center"/>
            <w:hideMark/>
          </w:tcPr>
          <w:p w14:paraId="60DA41EF"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科研项目</w:t>
            </w:r>
          </w:p>
        </w:tc>
        <w:tc>
          <w:tcPr>
            <w:tcW w:w="1134" w:type="dxa"/>
            <w:tcBorders>
              <w:top w:val="nil"/>
              <w:left w:val="nil"/>
              <w:bottom w:val="single" w:sz="4" w:space="0" w:color="auto"/>
              <w:right w:val="single" w:sz="4" w:space="0" w:color="auto"/>
            </w:tcBorders>
            <w:shd w:val="clear" w:color="000000" w:fill="FFFFFF"/>
            <w:noWrap/>
            <w:vAlign w:val="center"/>
            <w:hideMark/>
          </w:tcPr>
          <w:p w14:paraId="30204711"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科创项目</w:t>
            </w:r>
          </w:p>
        </w:tc>
        <w:tc>
          <w:tcPr>
            <w:tcW w:w="9639" w:type="dxa"/>
            <w:tcBorders>
              <w:top w:val="nil"/>
              <w:left w:val="nil"/>
              <w:bottom w:val="single" w:sz="4" w:space="0" w:color="auto"/>
              <w:right w:val="single" w:sz="4" w:space="0" w:color="auto"/>
            </w:tcBorders>
            <w:shd w:val="clear" w:color="000000" w:fill="FFFFFF"/>
            <w:vAlign w:val="center"/>
            <w:hideMark/>
          </w:tcPr>
          <w:p w14:paraId="61531776"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1.立项国家级、省部级、厅局级纵向科研课题，并在规定时间内结题，分别加50、30、15分；</w:t>
            </w:r>
            <w:r w:rsidRPr="004C41A9">
              <w:rPr>
                <w:rFonts w:ascii="宋体" w:hAnsi="宋体" w:cs="宋体" w:hint="eastAsia"/>
                <w:kern w:val="0"/>
                <w:sz w:val="13"/>
                <w:szCs w:val="13"/>
              </w:rPr>
              <w:br/>
              <w:t>2.在国家级一级协会立项和省级一级协立项课题并在规定时间内结项，分别加30分、15分；</w:t>
            </w:r>
            <w:r w:rsidRPr="004C41A9">
              <w:rPr>
                <w:rFonts w:ascii="宋体" w:hAnsi="宋体" w:cs="宋体" w:hint="eastAsia"/>
                <w:kern w:val="0"/>
                <w:sz w:val="13"/>
                <w:szCs w:val="13"/>
              </w:rPr>
              <w:br/>
              <w:t>3.在大学生创新创业训练项目立项且在规定时间内完成结项，按立项（结题）等级国家级、省级分别加20分、10分；</w:t>
            </w:r>
            <w:r w:rsidRPr="004C41A9">
              <w:rPr>
                <w:rFonts w:ascii="宋体" w:hAnsi="宋体" w:cs="宋体" w:hint="eastAsia"/>
                <w:kern w:val="0"/>
                <w:sz w:val="13"/>
                <w:szCs w:val="13"/>
              </w:rPr>
              <w:br/>
              <w:t>4.创业项目获融资，到校经费达100万元加30分；</w:t>
            </w:r>
            <w:r w:rsidRPr="004C41A9">
              <w:rPr>
                <w:rFonts w:ascii="宋体" w:hAnsi="宋体" w:cs="宋体" w:hint="eastAsia"/>
                <w:kern w:val="0"/>
                <w:sz w:val="13"/>
                <w:szCs w:val="13"/>
              </w:rPr>
              <w:br/>
              <w:t>5.创办企业获高新技术企业或科技型中小型企业认定加30分；</w:t>
            </w:r>
            <w:r w:rsidRPr="004C41A9">
              <w:rPr>
                <w:rFonts w:ascii="宋体" w:hAnsi="宋体" w:cs="宋体" w:hint="eastAsia"/>
                <w:kern w:val="0"/>
                <w:sz w:val="13"/>
                <w:szCs w:val="13"/>
              </w:rPr>
              <w:br/>
              <w:t>6.获成都市“蓉漂之星”、全国大学生创业英雄“百强”、教育部大学生就业创业典型人物(创新创业类别)称号加30分。</w:t>
            </w:r>
          </w:p>
        </w:tc>
        <w:tc>
          <w:tcPr>
            <w:tcW w:w="3543" w:type="dxa"/>
            <w:tcBorders>
              <w:top w:val="nil"/>
              <w:left w:val="nil"/>
              <w:bottom w:val="single" w:sz="4" w:space="0" w:color="auto"/>
              <w:right w:val="single" w:sz="4" w:space="0" w:color="auto"/>
            </w:tcBorders>
            <w:shd w:val="clear" w:color="000000" w:fill="FFFFFF"/>
            <w:vAlign w:val="center"/>
            <w:hideMark/>
          </w:tcPr>
          <w:p w14:paraId="4BB8043A" w14:textId="6850B851"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以成都大学为第一知识产权（署名）单位；</w:t>
            </w:r>
            <w:r w:rsidRPr="004C41A9">
              <w:rPr>
                <w:rFonts w:ascii="宋体" w:hAnsi="宋体" w:cs="宋体" w:hint="eastAsia"/>
                <w:kern w:val="0"/>
                <w:sz w:val="13"/>
                <w:szCs w:val="13"/>
              </w:rPr>
              <w:br/>
              <w:t>排名第一按100%计算，每下降1个排位分值按上一排名的50％计分，限排名前三参与人。未完成结题分值减半</w:t>
            </w:r>
            <w:r w:rsidR="002D21D4" w:rsidRPr="004C41A9">
              <w:rPr>
                <w:rFonts w:ascii="宋体" w:hAnsi="宋体" w:cs="宋体" w:hint="eastAsia"/>
                <w:kern w:val="0"/>
                <w:sz w:val="13"/>
                <w:szCs w:val="13"/>
              </w:rPr>
              <w:t>；</w:t>
            </w:r>
            <w:r w:rsidRPr="004C41A9">
              <w:rPr>
                <w:rFonts w:ascii="宋体" w:hAnsi="宋体" w:cs="宋体" w:hint="eastAsia"/>
                <w:kern w:val="0"/>
                <w:sz w:val="13"/>
                <w:szCs w:val="13"/>
              </w:rPr>
              <w:br/>
              <w:t>须出具相应的证书、证明材料。</w:t>
            </w:r>
          </w:p>
        </w:tc>
        <w:tc>
          <w:tcPr>
            <w:tcW w:w="284" w:type="dxa"/>
            <w:tcBorders>
              <w:top w:val="nil"/>
              <w:left w:val="nil"/>
              <w:bottom w:val="single" w:sz="4" w:space="0" w:color="auto"/>
              <w:right w:val="single" w:sz="4" w:space="0" w:color="auto"/>
            </w:tcBorders>
            <w:noWrap/>
            <w:vAlign w:val="center"/>
            <w:hideMark/>
          </w:tcPr>
          <w:p w14:paraId="6D86F04C"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6CBD7B88"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5CB3B9A1" w14:textId="77777777" w:rsidTr="002D21D4">
        <w:trPr>
          <w:trHeight w:val="1403"/>
        </w:trPr>
        <w:tc>
          <w:tcPr>
            <w:tcW w:w="518" w:type="dxa"/>
            <w:vMerge/>
            <w:tcBorders>
              <w:top w:val="nil"/>
              <w:left w:val="single" w:sz="4" w:space="0" w:color="auto"/>
              <w:bottom w:val="single" w:sz="4" w:space="0" w:color="auto"/>
              <w:right w:val="single" w:sz="4" w:space="0" w:color="auto"/>
            </w:tcBorders>
            <w:vAlign w:val="center"/>
            <w:hideMark/>
          </w:tcPr>
          <w:p w14:paraId="73E3068E"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tcBorders>
              <w:top w:val="nil"/>
              <w:left w:val="nil"/>
              <w:bottom w:val="single" w:sz="4" w:space="0" w:color="auto"/>
              <w:right w:val="single" w:sz="4" w:space="0" w:color="auto"/>
            </w:tcBorders>
            <w:shd w:val="clear" w:color="000000" w:fill="FFFFFF"/>
            <w:vAlign w:val="center"/>
            <w:hideMark/>
          </w:tcPr>
          <w:p w14:paraId="677F66BA"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学科竞赛</w:t>
            </w:r>
          </w:p>
        </w:tc>
        <w:tc>
          <w:tcPr>
            <w:tcW w:w="1134" w:type="dxa"/>
            <w:tcBorders>
              <w:top w:val="nil"/>
              <w:left w:val="nil"/>
              <w:bottom w:val="single" w:sz="4" w:space="0" w:color="auto"/>
              <w:right w:val="single" w:sz="4" w:space="0" w:color="auto"/>
            </w:tcBorders>
            <w:shd w:val="clear" w:color="000000" w:fill="FFFFFF"/>
            <w:noWrap/>
            <w:vAlign w:val="center"/>
            <w:hideMark/>
          </w:tcPr>
          <w:p w14:paraId="1D94D234"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学科竞赛</w:t>
            </w:r>
          </w:p>
        </w:tc>
        <w:tc>
          <w:tcPr>
            <w:tcW w:w="9639" w:type="dxa"/>
            <w:tcBorders>
              <w:top w:val="nil"/>
              <w:left w:val="nil"/>
              <w:bottom w:val="single" w:sz="4" w:space="0" w:color="auto"/>
              <w:right w:val="single" w:sz="4" w:space="0" w:color="auto"/>
            </w:tcBorders>
            <w:shd w:val="clear" w:color="000000" w:fill="FFFFFF"/>
            <w:vAlign w:val="center"/>
            <w:hideMark/>
          </w:tcPr>
          <w:p w14:paraId="7150C631"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1.“中国国际大学生创新大赛全国赛”、“挑战杯”获国家级特等奖、金奖、银奖、铜奖分别加70分、60分、50分（拔尖项目，专项赛同获全国普通高校学科竞赛排行榜内竞赛加分一致）；</w:t>
            </w:r>
            <w:r w:rsidRPr="004C41A9">
              <w:rPr>
                <w:rFonts w:ascii="宋体" w:hAnsi="宋体" w:cs="宋体" w:hint="eastAsia"/>
                <w:kern w:val="0"/>
                <w:sz w:val="13"/>
                <w:szCs w:val="13"/>
              </w:rPr>
              <w:br/>
              <w:t>2.获全国普通高校学科竞赛排行榜内竞赛国家级一等奖、二等奖、三等奖分别加30分、20分、10分（非拔尖项目），排名第一按100%计算，每下降 1 个排位分值按上一排名的 50％计分，限排名前3参与人。</w:t>
            </w:r>
          </w:p>
        </w:tc>
        <w:tc>
          <w:tcPr>
            <w:tcW w:w="3543" w:type="dxa"/>
            <w:tcBorders>
              <w:top w:val="nil"/>
              <w:left w:val="nil"/>
              <w:bottom w:val="single" w:sz="4" w:space="0" w:color="auto"/>
              <w:right w:val="single" w:sz="4" w:space="0" w:color="auto"/>
            </w:tcBorders>
            <w:shd w:val="clear" w:color="000000" w:fill="FFFFFF"/>
            <w:vAlign w:val="center"/>
            <w:hideMark/>
          </w:tcPr>
          <w:p w14:paraId="42D03392"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以成都大学为第一报赛单位；</w:t>
            </w:r>
            <w:r w:rsidRPr="004C41A9">
              <w:rPr>
                <w:rFonts w:ascii="宋体" w:hAnsi="宋体" w:cs="宋体" w:hint="eastAsia"/>
                <w:kern w:val="0"/>
                <w:sz w:val="13"/>
                <w:szCs w:val="13"/>
              </w:rPr>
              <w:br/>
              <w:t>竞赛类：在“挑战杯”竞赛（不含专项赛）获得全国特等奖的团队前5名负责人、金奖的团队前4名负责人、银奖的团队前3名负责人、铜奖的团队前2名负责人；在中国国际大学生创新大赛全国赛中获得金奖的团队前5名负责人、银奖的团队前4名负责人、铜奖的团队前3名负责人属于拔尖项目加分范畴，按负责人100%计算加分。</w:t>
            </w:r>
          </w:p>
        </w:tc>
        <w:tc>
          <w:tcPr>
            <w:tcW w:w="284" w:type="dxa"/>
            <w:tcBorders>
              <w:top w:val="nil"/>
              <w:left w:val="nil"/>
              <w:bottom w:val="single" w:sz="4" w:space="0" w:color="auto"/>
              <w:right w:val="single" w:sz="4" w:space="0" w:color="auto"/>
            </w:tcBorders>
            <w:noWrap/>
            <w:vAlign w:val="center"/>
            <w:hideMark/>
          </w:tcPr>
          <w:p w14:paraId="485745ED"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57225F6D"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646CA399" w14:textId="77777777" w:rsidTr="002D21D4">
        <w:trPr>
          <w:trHeight w:val="585"/>
        </w:trPr>
        <w:tc>
          <w:tcPr>
            <w:tcW w:w="5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E537F1"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其他综合能力</w:t>
            </w:r>
            <w:r w:rsidRPr="00B9211A">
              <w:rPr>
                <w:rFonts w:ascii="宋体" w:hAnsi="宋体" w:cs="宋体" w:hint="eastAsia"/>
                <w:b/>
                <w:bCs/>
                <w:kern w:val="0"/>
                <w:sz w:val="15"/>
                <w:szCs w:val="15"/>
              </w:rPr>
              <w:br/>
              <w:t>（满分30分）</w:t>
            </w:r>
          </w:p>
        </w:tc>
        <w:tc>
          <w:tcPr>
            <w:tcW w:w="9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A00C50" w14:textId="50E0177C"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社会实践</w:t>
            </w:r>
          </w:p>
        </w:tc>
        <w:tc>
          <w:tcPr>
            <w:tcW w:w="1134" w:type="dxa"/>
            <w:tcBorders>
              <w:top w:val="nil"/>
              <w:left w:val="nil"/>
              <w:bottom w:val="single" w:sz="4" w:space="0" w:color="auto"/>
              <w:right w:val="single" w:sz="4" w:space="0" w:color="auto"/>
            </w:tcBorders>
            <w:shd w:val="clear" w:color="000000" w:fill="FFFFFF"/>
            <w:vAlign w:val="center"/>
            <w:hideMark/>
          </w:tcPr>
          <w:p w14:paraId="18054B55" w14:textId="3A87042F"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团学工作</w:t>
            </w:r>
          </w:p>
        </w:tc>
        <w:tc>
          <w:tcPr>
            <w:tcW w:w="9639" w:type="dxa"/>
            <w:tcBorders>
              <w:top w:val="nil"/>
              <w:left w:val="nil"/>
              <w:bottom w:val="single" w:sz="4" w:space="0" w:color="auto"/>
              <w:right w:val="single" w:sz="4" w:space="0" w:color="auto"/>
            </w:tcBorders>
            <w:shd w:val="clear" w:color="000000" w:fill="FFFFFF"/>
            <w:vAlign w:val="center"/>
            <w:hideMark/>
          </w:tcPr>
          <w:p w14:paraId="1E27AF82" w14:textId="44B562D8" w:rsidR="00B9211A" w:rsidRPr="004C41A9" w:rsidRDefault="00E5709F"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校院团委、学生会主席团成员加5分；五星社团（协会）会长（副会长）及其他学校学生组织负责人加4分；校院团委、学生会部门负责人、党支部干部(含党员服务站站长、副站长)、三星、四星社团（协会）会长（副会长）、班长、团支书、学习委员、党员先锋队队长、班助、辅导员工作室学生负责人加3分；未评定星级社团（协会）会长（副会长）及其他学校学生组织部门负责人加2分；担任团委、学生会、其他学生组织干事、其他班委、协会干事的加1分。</w:t>
            </w:r>
          </w:p>
        </w:tc>
        <w:tc>
          <w:tcPr>
            <w:tcW w:w="3543" w:type="dxa"/>
            <w:tcBorders>
              <w:top w:val="nil"/>
              <w:left w:val="nil"/>
              <w:bottom w:val="single" w:sz="4" w:space="0" w:color="auto"/>
              <w:right w:val="single" w:sz="4" w:space="0" w:color="auto"/>
            </w:tcBorders>
            <w:shd w:val="clear" w:color="000000" w:fill="FFFFFF"/>
            <w:noWrap/>
            <w:vAlign w:val="center"/>
            <w:hideMark/>
          </w:tcPr>
          <w:p w14:paraId="7384C778"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tc>
        <w:tc>
          <w:tcPr>
            <w:tcW w:w="284" w:type="dxa"/>
            <w:tcBorders>
              <w:top w:val="nil"/>
              <w:left w:val="nil"/>
              <w:bottom w:val="single" w:sz="4" w:space="0" w:color="auto"/>
              <w:right w:val="single" w:sz="4" w:space="0" w:color="auto"/>
            </w:tcBorders>
            <w:noWrap/>
            <w:vAlign w:val="center"/>
            <w:hideMark/>
          </w:tcPr>
          <w:p w14:paraId="47E53E1B"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408C60DC"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438597D8" w14:textId="77777777" w:rsidTr="002D21D4">
        <w:trPr>
          <w:trHeight w:val="423"/>
        </w:trPr>
        <w:tc>
          <w:tcPr>
            <w:tcW w:w="518" w:type="dxa"/>
            <w:vMerge/>
            <w:tcBorders>
              <w:top w:val="nil"/>
              <w:left w:val="single" w:sz="4" w:space="0" w:color="auto"/>
              <w:bottom w:val="single" w:sz="4" w:space="0" w:color="auto"/>
              <w:right w:val="single" w:sz="4" w:space="0" w:color="auto"/>
            </w:tcBorders>
            <w:vAlign w:val="center"/>
            <w:hideMark/>
          </w:tcPr>
          <w:p w14:paraId="36CD0FF5"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tcBorders>
              <w:top w:val="nil"/>
              <w:left w:val="single" w:sz="4" w:space="0" w:color="auto"/>
              <w:bottom w:val="single" w:sz="4" w:space="0" w:color="auto"/>
              <w:right w:val="single" w:sz="4" w:space="0" w:color="auto"/>
            </w:tcBorders>
            <w:vAlign w:val="center"/>
            <w:hideMark/>
          </w:tcPr>
          <w:p w14:paraId="73E9E8A4"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1134" w:type="dxa"/>
            <w:tcBorders>
              <w:top w:val="nil"/>
              <w:left w:val="nil"/>
              <w:bottom w:val="single" w:sz="4" w:space="0" w:color="auto"/>
              <w:right w:val="single" w:sz="4" w:space="0" w:color="auto"/>
            </w:tcBorders>
            <w:shd w:val="clear" w:color="000000" w:fill="FFFFFF"/>
            <w:noWrap/>
            <w:vAlign w:val="center"/>
            <w:hideMark/>
          </w:tcPr>
          <w:p w14:paraId="6F8ED615"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参军入伍</w:t>
            </w:r>
          </w:p>
        </w:tc>
        <w:tc>
          <w:tcPr>
            <w:tcW w:w="9639" w:type="dxa"/>
            <w:tcBorders>
              <w:top w:val="nil"/>
              <w:left w:val="nil"/>
              <w:bottom w:val="single" w:sz="4" w:space="0" w:color="auto"/>
              <w:right w:val="single" w:sz="4" w:space="0" w:color="auto"/>
            </w:tcBorders>
            <w:shd w:val="clear" w:color="000000" w:fill="FFFFFF"/>
            <w:vAlign w:val="center"/>
            <w:hideMark/>
          </w:tcPr>
          <w:p w14:paraId="55B7E33B"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大学期间服兵役2年加5分；服兵役期间在部队荣立三等功（个人）加10分；服兵役期间获通令嘉奖或者优秀士兵称号（旅或者团级及以上单位表彰）加10分。</w:t>
            </w:r>
          </w:p>
        </w:tc>
        <w:tc>
          <w:tcPr>
            <w:tcW w:w="3543" w:type="dxa"/>
            <w:tcBorders>
              <w:top w:val="nil"/>
              <w:left w:val="nil"/>
              <w:bottom w:val="single" w:sz="4" w:space="0" w:color="auto"/>
              <w:right w:val="single" w:sz="4" w:space="0" w:color="auto"/>
            </w:tcBorders>
            <w:shd w:val="clear" w:color="000000" w:fill="FFFFFF"/>
            <w:noWrap/>
            <w:vAlign w:val="center"/>
            <w:hideMark/>
          </w:tcPr>
          <w:p w14:paraId="0A95352A"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tc>
        <w:tc>
          <w:tcPr>
            <w:tcW w:w="284" w:type="dxa"/>
            <w:tcBorders>
              <w:top w:val="nil"/>
              <w:left w:val="nil"/>
              <w:bottom w:val="single" w:sz="4" w:space="0" w:color="auto"/>
              <w:right w:val="single" w:sz="4" w:space="0" w:color="auto"/>
            </w:tcBorders>
            <w:noWrap/>
            <w:vAlign w:val="center"/>
            <w:hideMark/>
          </w:tcPr>
          <w:p w14:paraId="192540DC"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4535FF07"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27797739" w14:textId="77777777" w:rsidTr="00EF79CB">
        <w:trPr>
          <w:trHeight w:val="361"/>
        </w:trPr>
        <w:tc>
          <w:tcPr>
            <w:tcW w:w="518" w:type="dxa"/>
            <w:vMerge/>
            <w:tcBorders>
              <w:top w:val="nil"/>
              <w:left w:val="single" w:sz="4" w:space="0" w:color="auto"/>
              <w:bottom w:val="single" w:sz="4" w:space="0" w:color="auto"/>
              <w:right w:val="single" w:sz="4" w:space="0" w:color="auto"/>
            </w:tcBorders>
            <w:vAlign w:val="center"/>
            <w:hideMark/>
          </w:tcPr>
          <w:p w14:paraId="771F0D4F"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tcBorders>
              <w:top w:val="nil"/>
              <w:left w:val="single" w:sz="4" w:space="0" w:color="auto"/>
              <w:bottom w:val="single" w:sz="4" w:space="0" w:color="auto"/>
              <w:right w:val="single" w:sz="4" w:space="0" w:color="auto"/>
            </w:tcBorders>
            <w:vAlign w:val="center"/>
            <w:hideMark/>
          </w:tcPr>
          <w:p w14:paraId="7D4E99B7"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1134" w:type="dxa"/>
            <w:tcBorders>
              <w:top w:val="nil"/>
              <w:left w:val="nil"/>
              <w:bottom w:val="single" w:sz="4" w:space="0" w:color="auto"/>
              <w:right w:val="single" w:sz="4" w:space="0" w:color="auto"/>
            </w:tcBorders>
            <w:shd w:val="clear" w:color="000000" w:fill="FFFFFF"/>
            <w:vAlign w:val="center"/>
            <w:hideMark/>
          </w:tcPr>
          <w:p w14:paraId="4B6BF1CC"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国际组织</w:t>
            </w:r>
            <w:r w:rsidRPr="00B9211A">
              <w:rPr>
                <w:rFonts w:ascii="宋体" w:hAnsi="宋体" w:cs="宋体" w:hint="eastAsia"/>
                <w:kern w:val="0"/>
                <w:sz w:val="15"/>
                <w:szCs w:val="15"/>
              </w:rPr>
              <w:br/>
              <w:t>实习</w:t>
            </w:r>
          </w:p>
        </w:tc>
        <w:tc>
          <w:tcPr>
            <w:tcW w:w="9639" w:type="dxa"/>
            <w:tcBorders>
              <w:top w:val="nil"/>
              <w:left w:val="nil"/>
              <w:bottom w:val="single" w:sz="4" w:space="0" w:color="auto"/>
              <w:right w:val="single" w:sz="4" w:space="0" w:color="auto"/>
            </w:tcBorders>
            <w:shd w:val="clear" w:color="000000" w:fill="FFFFFF"/>
            <w:vAlign w:val="center"/>
            <w:hideMark/>
          </w:tcPr>
          <w:p w14:paraId="072803BE" w14:textId="0A0ECF6C"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到境外交流或国际组织实习并获得官方颁发证书或证明，交流/实习时长1个月及以下加1分，交流/实习时长2-6个月加2分，交流/实习时长6个月以上加3分。</w:t>
            </w:r>
          </w:p>
        </w:tc>
        <w:tc>
          <w:tcPr>
            <w:tcW w:w="3543" w:type="dxa"/>
            <w:tcBorders>
              <w:top w:val="nil"/>
              <w:left w:val="nil"/>
              <w:bottom w:val="single" w:sz="4" w:space="0" w:color="auto"/>
              <w:right w:val="single" w:sz="4" w:space="0" w:color="auto"/>
            </w:tcBorders>
            <w:shd w:val="clear" w:color="000000" w:fill="FFFFFF"/>
            <w:noWrap/>
            <w:vAlign w:val="center"/>
            <w:hideMark/>
          </w:tcPr>
          <w:p w14:paraId="25244154"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tc>
        <w:tc>
          <w:tcPr>
            <w:tcW w:w="284" w:type="dxa"/>
            <w:tcBorders>
              <w:top w:val="nil"/>
              <w:left w:val="nil"/>
              <w:bottom w:val="single" w:sz="4" w:space="0" w:color="auto"/>
              <w:right w:val="single" w:sz="4" w:space="0" w:color="auto"/>
            </w:tcBorders>
            <w:noWrap/>
            <w:vAlign w:val="center"/>
            <w:hideMark/>
          </w:tcPr>
          <w:p w14:paraId="7AEAFAEB"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23A90D8C"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7CCFE18E" w14:textId="77777777" w:rsidTr="002D21D4">
        <w:trPr>
          <w:trHeight w:val="897"/>
        </w:trPr>
        <w:tc>
          <w:tcPr>
            <w:tcW w:w="518" w:type="dxa"/>
            <w:vMerge/>
            <w:tcBorders>
              <w:top w:val="nil"/>
              <w:left w:val="single" w:sz="4" w:space="0" w:color="auto"/>
              <w:bottom w:val="single" w:sz="4" w:space="0" w:color="auto"/>
              <w:right w:val="single" w:sz="4" w:space="0" w:color="auto"/>
            </w:tcBorders>
            <w:vAlign w:val="center"/>
            <w:hideMark/>
          </w:tcPr>
          <w:p w14:paraId="79DF847E"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EEADE39" w14:textId="3FF1CED5"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个人荣誉</w:t>
            </w:r>
          </w:p>
        </w:tc>
        <w:tc>
          <w:tcPr>
            <w:tcW w:w="1134" w:type="dxa"/>
            <w:tcBorders>
              <w:top w:val="nil"/>
              <w:left w:val="nil"/>
              <w:bottom w:val="single" w:sz="4" w:space="0" w:color="auto"/>
              <w:right w:val="single" w:sz="4" w:space="0" w:color="auto"/>
            </w:tcBorders>
            <w:shd w:val="clear" w:color="000000" w:fill="FFFFFF"/>
            <w:vAlign w:val="center"/>
            <w:hideMark/>
          </w:tcPr>
          <w:p w14:paraId="635BDB57"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文体活动</w:t>
            </w:r>
          </w:p>
        </w:tc>
        <w:tc>
          <w:tcPr>
            <w:tcW w:w="9639" w:type="dxa"/>
            <w:tcBorders>
              <w:top w:val="nil"/>
              <w:left w:val="nil"/>
              <w:bottom w:val="single" w:sz="4" w:space="0" w:color="auto"/>
              <w:right w:val="single" w:sz="4" w:space="0" w:color="auto"/>
            </w:tcBorders>
            <w:shd w:val="clear" w:color="000000" w:fill="FFFFFF"/>
            <w:vAlign w:val="center"/>
            <w:hideMark/>
          </w:tcPr>
          <w:p w14:paraId="1FA40EA1"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1.在由教育部、体育总局及全国大学生体协举办的全国性比赛（田径、羽毛球、乒乓球、网球、游泳、武术、健美操、跆拳道等）中，获得单项成绩前八名或集体项目成绩前八名的主力队员(篮球:比赛中平均上场时间最多的8名运动员;足球:比赛中平均上场时间最多的13名运动员)，加10分；</w:t>
            </w:r>
            <w:r w:rsidRPr="004C41A9">
              <w:rPr>
                <w:rFonts w:ascii="宋体" w:hAnsi="宋体" w:cs="宋体" w:hint="eastAsia"/>
                <w:kern w:val="0"/>
                <w:sz w:val="13"/>
                <w:szCs w:val="13"/>
              </w:rPr>
              <w:br/>
              <w:t>2.在由省教育厅、体育局及省大学生体协举办省级比赛中，获得单项成绩或集体项目成绩前八名的主力队员(篮球:比赛中平均上场时间最多的8名运动员;足球:比赛中平均上场时间最多的13名运动员)，加6分</w:t>
            </w:r>
            <w:r w:rsidR="00E5709F" w:rsidRPr="004C41A9">
              <w:rPr>
                <w:rFonts w:ascii="宋体" w:hAnsi="宋体" w:cs="宋体" w:hint="eastAsia"/>
                <w:kern w:val="0"/>
                <w:sz w:val="13"/>
                <w:szCs w:val="13"/>
              </w:rPr>
              <w:t>；</w:t>
            </w:r>
          </w:p>
          <w:p w14:paraId="55FA8001" w14:textId="6BF9E4A2" w:rsidR="00E5709F" w:rsidRPr="004C41A9" w:rsidRDefault="00E5709F"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3.大学生艺术节等文艺类比赛主要演出队员获国家级奖项加10分，获省级奖项加6分。</w:t>
            </w:r>
          </w:p>
        </w:tc>
        <w:tc>
          <w:tcPr>
            <w:tcW w:w="3543" w:type="dxa"/>
            <w:tcBorders>
              <w:top w:val="nil"/>
              <w:left w:val="nil"/>
              <w:bottom w:val="single" w:sz="4" w:space="0" w:color="auto"/>
              <w:right w:val="single" w:sz="4" w:space="0" w:color="auto"/>
            </w:tcBorders>
            <w:shd w:val="clear" w:color="000000" w:fill="FFFFFF"/>
            <w:noWrap/>
            <w:vAlign w:val="center"/>
            <w:hideMark/>
          </w:tcPr>
          <w:p w14:paraId="4CBE7A31" w14:textId="77777777" w:rsidR="00E5709F" w:rsidRPr="004C41A9" w:rsidRDefault="00E5709F"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p w14:paraId="060D99AF" w14:textId="4E19BEED" w:rsidR="00B9211A" w:rsidRPr="004C41A9" w:rsidRDefault="00E5709F"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主要队员、演出人员按由相关部门出具证明。</w:t>
            </w:r>
          </w:p>
        </w:tc>
        <w:tc>
          <w:tcPr>
            <w:tcW w:w="284" w:type="dxa"/>
            <w:tcBorders>
              <w:top w:val="nil"/>
              <w:left w:val="nil"/>
              <w:bottom w:val="single" w:sz="4" w:space="0" w:color="auto"/>
              <w:right w:val="single" w:sz="4" w:space="0" w:color="auto"/>
            </w:tcBorders>
            <w:noWrap/>
            <w:vAlign w:val="center"/>
            <w:hideMark/>
          </w:tcPr>
          <w:p w14:paraId="52CD7097"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2E653C87"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3570B6E5" w14:textId="77777777" w:rsidTr="002D21D4">
        <w:trPr>
          <w:trHeight w:val="790"/>
        </w:trPr>
        <w:tc>
          <w:tcPr>
            <w:tcW w:w="518" w:type="dxa"/>
            <w:vMerge/>
            <w:tcBorders>
              <w:top w:val="nil"/>
              <w:left w:val="single" w:sz="4" w:space="0" w:color="auto"/>
              <w:bottom w:val="single" w:sz="4" w:space="0" w:color="auto"/>
              <w:right w:val="single" w:sz="4" w:space="0" w:color="auto"/>
            </w:tcBorders>
            <w:vAlign w:val="center"/>
            <w:hideMark/>
          </w:tcPr>
          <w:p w14:paraId="4E0CEE9C"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tcBorders>
              <w:top w:val="nil"/>
              <w:left w:val="single" w:sz="4" w:space="0" w:color="auto"/>
              <w:bottom w:val="single" w:sz="4" w:space="0" w:color="auto"/>
              <w:right w:val="single" w:sz="4" w:space="0" w:color="auto"/>
            </w:tcBorders>
            <w:vAlign w:val="center"/>
            <w:hideMark/>
          </w:tcPr>
          <w:p w14:paraId="612AB169"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1134" w:type="dxa"/>
            <w:tcBorders>
              <w:top w:val="nil"/>
              <w:left w:val="nil"/>
              <w:bottom w:val="single" w:sz="4" w:space="0" w:color="auto"/>
              <w:right w:val="single" w:sz="4" w:space="0" w:color="auto"/>
            </w:tcBorders>
            <w:shd w:val="clear" w:color="000000" w:fill="FFFFFF"/>
            <w:vAlign w:val="center"/>
            <w:hideMark/>
          </w:tcPr>
          <w:p w14:paraId="3DE4E1B6"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其他个人荣誉</w:t>
            </w:r>
          </w:p>
        </w:tc>
        <w:tc>
          <w:tcPr>
            <w:tcW w:w="9639" w:type="dxa"/>
            <w:tcBorders>
              <w:top w:val="nil"/>
              <w:left w:val="nil"/>
              <w:bottom w:val="single" w:sz="4" w:space="0" w:color="auto"/>
              <w:right w:val="single" w:sz="4" w:space="0" w:color="auto"/>
            </w:tcBorders>
            <w:shd w:val="clear" w:color="000000" w:fill="FFFFFF"/>
            <w:vAlign w:val="center"/>
            <w:hideMark/>
          </w:tcPr>
          <w:p w14:paraId="10B3D16C" w14:textId="60C0B99B" w:rsidR="00B9211A" w:rsidRPr="004C41A9" w:rsidRDefault="00F81290"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全国五四奖章（个人）30分，省五四奖章25分，市五四奖章20分；全国优秀团员、优秀团干30分，省优秀团员、优秀团干20分，市优秀团员、优秀团干10分；</w:t>
            </w:r>
            <w:r w:rsidR="00B9211A" w:rsidRPr="004C41A9">
              <w:rPr>
                <w:rFonts w:ascii="宋体" w:hAnsi="宋体" w:cs="宋体" w:hint="eastAsia"/>
                <w:kern w:val="0"/>
                <w:sz w:val="13"/>
                <w:szCs w:val="13"/>
              </w:rPr>
              <w:t>中国大学生自强之星、中国大学生年度人物，加10分，省级大学生自强之星、省级大学生年度人物6分；其余获得国家级相关表彰加8分，省级相关表彰加4分，市级表彰2分（包括志愿服务类、社会实践类等）；在见义勇为、抢险救灾、拾金不昧、乐于助人等方面获厅级及以上单位表扬者加5分。</w:t>
            </w:r>
          </w:p>
        </w:tc>
        <w:tc>
          <w:tcPr>
            <w:tcW w:w="3543" w:type="dxa"/>
            <w:tcBorders>
              <w:top w:val="nil"/>
              <w:left w:val="nil"/>
              <w:bottom w:val="single" w:sz="4" w:space="0" w:color="auto"/>
              <w:right w:val="single" w:sz="4" w:space="0" w:color="auto"/>
            </w:tcBorders>
            <w:shd w:val="clear" w:color="000000" w:fill="FFFFFF"/>
            <w:noWrap/>
            <w:vAlign w:val="center"/>
            <w:hideMark/>
          </w:tcPr>
          <w:p w14:paraId="5D75C897"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tc>
        <w:tc>
          <w:tcPr>
            <w:tcW w:w="284" w:type="dxa"/>
            <w:tcBorders>
              <w:top w:val="nil"/>
              <w:left w:val="nil"/>
              <w:bottom w:val="single" w:sz="4" w:space="0" w:color="auto"/>
              <w:right w:val="single" w:sz="4" w:space="0" w:color="auto"/>
            </w:tcBorders>
            <w:noWrap/>
            <w:vAlign w:val="center"/>
            <w:hideMark/>
          </w:tcPr>
          <w:p w14:paraId="0A9D3714"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4C56B529"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6A85BC40" w14:textId="77777777" w:rsidTr="002D21D4">
        <w:trPr>
          <w:trHeight w:val="509"/>
        </w:trPr>
        <w:tc>
          <w:tcPr>
            <w:tcW w:w="518" w:type="dxa"/>
            <w:vMerge/>
            <w:tcBorders>
              <w:top w:val="nil"/>
              <w:left w:val="single" w:sz="4" w:space="0" w:color="auto"/>
              <w:bottom w:val="single" w:sz="4" w:space="0" w:color="auto"/>
              <w:right w:val="single" w:sz="4" w:space="0" w:color="auto"/>
            </w:tcBorders>
            <w:vAlign w:val="center"/>
            <w:hideMark/>
          </w:tcPr>
          <w:p w14:paraId="4025303B"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B81462" w14:textId="3A98929A"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专业技能</w:t>
            </w:r>
          </w:p>
        </w:tc>
        <w:tc>
          <w:tcPr>
            <w:tcW w:w="1134" w:type="dxa"/>
            <w:tcBorders>
              <w:top w:val="nil"/>
              <w:left w:val="nil"/>
              <w:bottom w:val="single" w:sz="4" w:space="0" w:color="auto"/>
              <w:right w:val="single" w:sz="4" w:space="0" w:color="auto"/>
            </w:tcBorders>
            <w:shd w:val="clear" w:color="000000" w:fill="FFFFFF"/>
            <w:vAlign w:val="center"/>
            <w:hideMark/>
          </w:tcPr>
          <w:p w14:paraId="49F2E258"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通用技能</w:t>
            </w:r>
          </w:p>
        </w:tc>
        <w:tc>
          <w:tcPr>
            <w:tcW w:w="9639" w:type="dxa"/>
            <w:tcBorders>
              <w:top w:val="nil"/>
              <w:left w:val="nil"/>
              <w:bottom w:val="single" w:sz="4" w:space="0" w:color="auto"/>
              <w:right w:val="single" w:sz="4" w:space="0" w:color="auto"/>
            </w:tcBorders>
            <w:shd w:val="clear" w:color="000000" w:fill="FFFFFF"/>
            <w:vAlign w:val="center"/>
            <w:hideMark/>
          </w:tcPr>
          <w:p w14:paraId="05E235CB" w14:textId="62302001"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 xml:space="preserve">CET6(≥425)2分，口试1分；雅思≥6分、托福≥60分、 GRE≥310分、GMAT≥630分、德福通过三级、法语通过四级、日语通过N1级、其他小语种达到申请学校水平、BEC中级及以上、CATTI通过三级，加2分；计算机三级加2分。 </w:t>
            </w:r>
          </w:p>
        </w:tc>
        <w:tc>
          <w:tcPr>
            <w:tcW w:w="3543" w:type="dxa"/>
            <w:tcBorders>
              <w:top w:val="nil"/>
              <w:left w:val="nil"/>
              <w:bottom w:val="single" w:sz="4" w:space="0" w:color="auto"/>
              <w:right w:val="single" w:sz="4" w:space="0" w:color="auto"/>
            </w:tcBorders>
            <w:shd w:val="clear" w:color="000000" w:fill="FFFFFF"/>
            <w:noWrap/>
            <w:vAlign w:val="center"/>
            <w:hideMark/>
          </w:tcPr>
          <w:p w14:paraId="52366ED5" w14:textId="77777777" w:rsidR="00B9211A" w:rsidRPr="004C41A9" w:rsidRDefault="00B9211A" w:rsidP="002D21D4">
            <w:pPr>
              <w:widowControl/>
              <w:adjustRightInd w:val="0"/>
              <w:snapToGrid w:val="0"/>
              <w:jc w:val="left"/>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tc>
        <w:tc>
          <w:tcPr>
            <w:tcW w:w="284" w:type="dxa"/>
            <w:tcBorders>
              <w:top w:val="nil"/>
              <w:left w:val="nil"/>
              <w:bottom w:val="single" w:sz="4" w:space="0" w:color="auto"/>
              <w:right w:val="single" w:sz="4" w:space="0" w:color="auto"/>
            </w:tcBorders>
            <w:noWrap/>
            <w:vAlign w:val="center"/>
            <w:hideMark/>
          </w:tcPr>
          <w:p w14:paraId="0D46C32A"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6EB9D74E"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2D21D4" w:rsidRPr="00B9211A" w14:paraId="33DBEBF4" w14:textId="77777777" w:rsidTr="002D21D4">
        <w:trPr>
          <w:trHeight w:val="417"/>
        </w:trPr>
        <w:tc>
          <w:tcPr>
            <w:tcW w:w="518" w:type="dxa"/>
            <w:vMerge/>
            <w:tcBorders>
              <w:top w:val="nil"/>
              <w:left w:val="single" w:sz="4" w:space="0" w:color="auto"/>
              <w:bottom w:val="single" w:sz="4" w:space="0" w:color="auto"/>
              <w:right w:val="single" w:sz="4" w:space="0" w:color="auto"/>
            </w:tcBorders>
            <w:vAlign w:val="center"/>
            <w:hideMark/>
          </w:tcPr>
          <w:p w14:paraId="2793D944"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901" w:type="dxa"/>
            <w:vMerge/>
            <w:tcBorders>
              <w:top w:val="nil"/>
              <w:left w:val="single" w:sz="4" w:space="0" w:color="auto"/>
              <w:bottom w:val="single" w:sz="4" w:space="0" w:color="auto"/>
              <w:right w:val="single" w:sz="4" w:space="0" w:color="auto"/>
            </w:tcBorders>
            <w:vAlign w:val="center"/>
            <w:hideMark/>
          </w:tcPr>
          <w:p w14:paraId="6E02BC66" w14:textId="77777777" w:rsidR="00B9211A" w:rsidRPr="00B9211A" w:rsidRDefault="00B9211A" w:rsidP="002D21D4">
            <w:pPr>
              <w:widowControl/>
              <w:adjustRightInd w:val="0"/>
              <w:snapToGrid w:val="0"/>
              <w:jc w:val="left"/>
              <w:rPr>
                <w:rFonts w:ascii="宋体" w:hAnsi="宋体" w:cs="宋体" w:hint="eastAsia"/>
                <w:b/>
                <w:bCs/>
                <w:kern w:val="0"/>
                <w:sz w:val="15"/>
                <w:szCs w:val="15"/>
              </w:rPr>
            </w:pPr>
          </w:p>
        </w:tc>
        <w:tc>
          <w:tcPr>
            <w:tcW w:w="1134" w:type="dxa"/>
            <w:tcBorders>
              <w:top w:val="nil"/>
              <w:left w:val="nil"/>
              <w:bottom w:val="single" w:sz="4" w:space="0" w:color="auto"/>
              <w:right w:val="single" w:sz="4" w:space="0" w:color="auto"/>
            </w:tcBorders>
            <w:shd w:val="clear" w:color="000000" w:fill="FFFFFF"/>
            <w:vAlign w:val="center"/>
            <w:hideMark/>
          </w:tcPr>
          <w:p w14:paraId="7A0285D2"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专业技能</w:t>
            </w:r>
          </w:p>
        </w:tc>
        <w:tc>
          <w:tcPr>
            <w:tcW w:w="9639" w:type="dxa"/>
            <w:tcBorders>
              <w:top w:val="nil"/>
              <w:left w:val="nil"/>
              <w:bottom w:val="single" w:sz="4" w:space="0" w:color="auto"/>
              <w:right w:val="single" w:sz="4" w:space="0" w:color="auto"/>
            </w:tcBorders>
            <w:shd w:val="clear" w:color="000000" w:fill="FFFFFF"/>
            <w:vAlign w:val="center"/>
            <w:hideMark/>
          </w:tcPr>
          <w:p w14:paraId="4DD4B15D" w14:textId="250A2078" w:rsidR="00B9211A" w:rsidRPr="004C41A9" w:rsidRDefault="00EF79CB"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获得ACCA/CFA/FRM/CMA等金融证书加5分，获得初级会计师、初级审计师、证券从业资格证、基金从业资格证等专业相关证书加3分。</w:t>
            </w:r>
          </w:p>
        </w:tc>
        <w:tc>
          <w:tcPr>
            <w:tcW w:w="3543" w:type="dxa"/>
            <w:tcBorders>
              <w:top w:val="nil"/>
              <w:left w:val="nil"/>
              <w:bottom w:val="single" w:sz="4" w:space="0" w:color="auto"/>
              <w:right w:val="single" w:sz="4" w:space="0" w:color="auto"/>
            </w:tcBorders>
            <w:shd w:val="clear" w:color="000000" w:fill="FFFFFF"/>
            <w:vAlign w:val="center"/>
            <w:hideMark/>
          </w:tcPr>
          <w:p w14:paraId="73A52229" w14:textId="77777777" w:rsidR="00B9211A" w:rsidRPr="004C41A9" w:rsidRDefault="00B9211A" w:rsidP="002D21D4">
            <w:pPr>
              <w:widowControl/>
              <w:adjustRightInd w:val="0"/>
              <w:snapToGrid w:val="0"/>
              <w:rPr>
                <w:rFonts w:ascii="宋体" w:hAnsi="宋体" w:cs="宋体" w:hint="eastAsia"/>
                <w:kern w:val="0"/>
                <w:sz w:val="13"/>
                <w:szCs w:val="13"/>
              </w:rPr>
            </w:pPr>
            <w:r w:rsidRPr="004C41A9">
              <w:rPr>
                <w:rFonts w:ascii="宋体" w:hAnsi="宋体" w:cs="宋体" w:hint="eastAsia"/>
                <w:kern w:val="0"/>
                <w:sz w:val="13"/>
                <w:szCs w:val="13"/>
              </w:rPr>
              <w:t>须出具相应的证书、证明材料。</w:t>
            </w:r>
          </w:p>
        </w:tc>
        <w:tc>
          <w:tcPr>
            <w:tcW w:w="284" w:type="dxa"/>
            <w:tcBorders>
              <w:top w:val="nil"/>
              <w:left w:val="nil"/>
              <w:bottom w:val="single" w:sz="4" w:space="0" w:color="auto"/>
              <w:right w:val="single" w:sz="4" w:space="0" w:color="auto"/>
            </w:tcBorders>
            <w:noWrap/>
            <w:vAlign w:val="center"/>
            <w:hideMark/>
          </w:tcPr>
          <w:p w14:paraId="211C75E2"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noWrap/>
            <w:vAlign w:val="center"/>
            <w:hideMark/>
          </w:tcPr>
          <w:p w14:paraId="5BE323A9" w14:textId="77777777" w:rsidR="00B9211A" w:rsidRPr="00B9211A" w:rsidRDefault="00B9211A" w:rsidP="002D21D4">
            <w:pPr>
              <w:widowControl/>
              <w:adjustRightInd w:val="0"/>
              <w:snapToGrid w:val="0"/>
              <w:jc w:val="left"/>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B9211A" w:rsidRPr="00B9211A" w14:paraId="64EFD5A8" w14:textId="77777777" w:rsidTr="002D21D4">
        <w:trPr>
          <w:trHeight w:val="370"/>
        </w:trPr>
        <w:tc>
          <w:tcPr>
            <w:tcW w:w="1573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16F7B627" w14:textId="77777777" w:rsidR="00B9211A" w:rsidRPr="00B9211A" w:rsidRDefault="00B9211A" w:rsidP="002D21D4">
            <w:pPr>
              <w:widowControl/>
              <w:adjustRightInd w:val="0"/>
              <w:snapToGrid w:val="0"/>
              <w:jc w:val="center"/>
              <w:rPr>
                <w:rFonts w:ascii="宋体" w:hAnsi="宋体" w:cs="宋体" w:hint="eastAsia"/>
                <w:b/>
                <w:bCs/>
                <w:kern w:val="0"/>
                <w:sz w:val="15"/>
                <w:szCs w:val="15"/>
              </w:rPr>
            </w:pPr>
            <w:r w:rsidRPr="00B9211A">
              <w:rPr>
                <w:rFonts w:ascii="宋体" w:hAnsi="宋体" w:cs="宋体" w:hint="eastAsia"/>
                <w:b/>
                <w:bCs/>
                <w:kern w:val="0"/>
                <w:sz w:val="15"/>
                <w:szCs w:val="15"/>
              </w:rPr>
              <w:t>自评总分</w:t>
            </w:r>
          </w:p>
        </w:tc>
        <w:tc>
          <w:tcPr>
            <w:tcW w:w="851" w:type="dxa"/>
            <w:gridSpan w:val="2"/>
            <w:tcBorders>
              <w:top w:val="single" w:sz="4" w:space="0" w:color="auto"/>
              <w:left w:val="nil"/>
              <w:bottom w:val="single" w:sz="4" w:space="0" w:color="auto"/>
              <w:right w:val="single" w:sz="4" w:space="0" w:color="auto"/>
            </w:tcBorders>
            <w:noWrap/>
            <w:vAlign w:val="center"/>
            <w:hideMark/>
          </w:tcPr>
          <w:p w14:paraId="3813A6B9" w14:textId="77777777" w:rsidR="00B9211A" w:rsidRPr="00B9211A" w:rsidRDefault="00B9211A" w:rsidP="002D21D4">
            <w:pPr>
              <w:widowControl/>
              <w:adjustRightInd w:val="0"/>
              <w:snapToGrid w:val="0"/>
              <w:jc w:val="center"/>
              <w:rPr>
                <w:rFonts w:ascii="宋体" w:hAnsi="宋体" w:cs="宋体" w:hint="eastAsia"/>
                <w:kern w:val="0"/>
                <w:sz w:val="15"/>
                <w:szCs w:val="15"/>
              </w:rPr>
            </w:pPr>
            <w:r w:rsidRPr="00B9211A">
              <w:rPr>
                <w:rFonts w:ascii="宋体" w:hAnsi="宋体" w:cs="宋体" w:hint="eastAsia"/>
                <w:kern w:val="0"/>
                <w:sz w:val="15"/>
                <w:szCs w:val="15"/>
              </w:rPr>
              <w:t xml:space="preserve">　</w:t>
            </w:r>
          </w:p>
        </w:tc>
      </w:tr>
      <w:tr w:rsidR="00B9211A" w:rsidRPr="00B9211A" w14:paraId="59773BEA" w14:textId="77777777" w:rsidTr="002D21D4">
        <w:trPr>
          <w:trHeight w:val="342"/>
        </w:trPr>
        <w:tc>
          <w:tcPr>
            <w:tcW w:w="16586"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14:paraId="5FE46EB0" w14:textId="77777777" w:rsidR="00B9211A" w:rsidRPr="00B9211A" w:rsidRDefault="00B9211A" w:rsidP="002D21D4">
            <w:pPr>
              <w:widowControl/>
              <w:adjustRightInd w:val="0"/>
              <w:snapToGrid w:val="0"/>
              <w:jc w:val="left"/>
              <w:rPr>
                <w:rFonts w:ascii="宋体" w:hAnsi="宋体" w:cs="宋体" w:hint="eastAsia"/>
                <w:b/>
                <w:bCs/>
                <w:kern w:val="0"/>
                <w:sz w:val="15"/>
                <w:szCs w:val="15"/>
              </w:rPr>
            </w:pPr>
            <w:r w:rsidRPr="00B9211A">
              <w:rPr>
                <w:rFonts w:ascii="宋体" w:hAnsi="宋体" w:cs="宋体" w:hint="eastAsia"/>
                <w:b/>
                <w:bCs/>
                <w:kern w:val="0"/>
                <w:sz w:val="15"/>
                <w:szCs w:val="15"/>
              </w:rPr>
              <w:t xml:space="preserve">本人签字：                          审核人签字：                            复核人签字：                        监督人员签字：                                 核定总分：            </w:t>
            </w:r>
          </w:p>
        </w:tc>
      </w:tr>
    </w:tbl>
    <w:p w14:paraId="0F7542E4" w14:textId="7D5151BC" w:rsidR="00E76A01" w:rsidRPr="00291CE1" w:rsidRDefault="00FB2404" w:rsidP="00B56DA0">
      <w:pPr>
        <w:adjustRightInd w:val="0"/>
        <w:snapToGrid w:val="0"/>
        <w:ind w:leftChars="-202" w:left="1" w:right="960" w:hangingChars="327" w:hanging="425"/>
        <w:rPr>
          <w:rFonts w:ascii="Times New Roman" w:hAnsi="Times New Roman"/>
          <w:sz w:val="24"/>
          <w:szCs w:val="32"/>
        </w:rPr>
      </w:pPr>
      <w:r w:rsidRPr="00161A38">
        <w:rPr>
          <w:rFonts w:ascii="Times New Roman" w:hAnsi="Times New Roman" w:hint="eastAsia"/>
          <w:sz w:val="13"/>
          <w:szCs w:val="16"/>
        </w:rPr>
        <w:t>分值认定说明：学生在某一方面（三级指标）中有多项加分情况时，原则上只取一项材料加分。《成都大学商学院推荐优秀应届本科毕业生免试攻读研究生综合</w:t>
      </w:r>
      <w:r w:rsidR="00AF3346">
        <w:rPr>
          <w:rFonts w:ascii="Times New Roman" w:hAnsi="Times New Roman" w:hint="eastAsia"/>
          <w:sz w:val="13"/>
          <w:szCs w:val="16"/>
        </w:rPr>
        <w:t>能力</w:t>
      </w:r>
      <w:r w:rsidRPr="00161A38">
        <w:rPr>
          <w:rFonts w:ascii="Times New Roman" w:hAnsi="Times New Roman" w:hint="eastAsia"/>
          <w:sz w:val="13"/>
          <w:szCs w:val="16"/>
        </w:rPr>
        <w:t>成绩评分细则（试行）》最终解释权归成都大学商学院推免生遴选工作小组所有。</w:t>
      </w:r>
    </w:p>
    <w:sectPr w:rsidR="00E76A01" w:rsidRPr="00291CE1" w:rsidSect="00B56DA0">
      <w:pgSz w:w="16838" w:h="11906" w:orient="landscape"/>
      <w:pgMar w:top="567" w:right="567" w:bottom="567" w:left="56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E7A66" w14:textId="77777777" w:rsidR="00DA77CF" w:rsidRDefault="00DA77CF" w:rsidP="00FB1D5A">
      <w:r>
        <w:separator/>
      </w:r>
    </w:p>
  </w:endnote>
  <w:endnote w:type="continuationSeparator" w:id="0">
    <w:p w14:paraId="74EA777D" w14:textId="77777777" w:rsidR="00DA77CF" w:rsidRDefault="00DA77CF" w:rsidP="00FB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E437A" w14:textId="77777777" w:rsidR="00DA77CF" w:rsidRDefault="00DA77CF" w:rsidP="00FB1D5A">
      <w:r>
        <w:separator/>
      </w:r>
    </w:p>
  </w:footnote>
  <w:footnote w:type="continuationSeparator" w:id="0">
    <w:p w14:paraId="1A43AD44" w14:textId="77777777" w:rsidR="00DA77CF" w:rsidRDefault="00DA77CF" w:rsidP="00FB1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E32B9"/>
    <w:multiLevelType w:val="hybridMultilevel"/>
    <w:tmpl w:val="66AEB6C2"/>
    <w:lvl w:ilvl="0" w:tplc="BFFA5C04">
      <w:start w:val="1"/>
      <w:numFmt w:val="decimal"/>
      <w:lvlText w:val="%1."/>
      <w:lvlJc w:val="left"/>
      <w:pPr>
        <w:ind w:left="1028" w:hanging="269"/>
      </w:pPr>
      <w:rPr>
        <w:rFonts w:hint="default"/>
        <w:spacing w:val="0"/>
        <w:w w:val="100"/>
      </w:rPr>
    </w:lvl>
    <w:lvl w:ilvl="1" w:tplc="A218E156">
      <w:start w:val="1"/>
      <w:numFmt w:val="decimal"/>
      <w:lvlText w:val="（%2）"/>
      <w:lvlJc w:val="left"/>
      <w:pPr>
        <w:ind w:left="1389" w:hanging="450"/>
      </w:pPr>
      <w:rPr>
        <w:rFonts w:hint="default"/>
        <w:spacing w:val="-2"/>
        <w:w w:val="100"/>
      </w:rPr>
    </w:lvl>
    <w:lvl w:ilvl="2" w:tplc="41F8342C">
      <w:numFmt w:val="bullet"/>
      <w:lvlText w:val="•"/>
      <w:lvlJc w:val="left"/>
      <w:pPr>
        <w:ind w:left="2485" w:hanging="450"/>
      </w:pPr>
      <w:rPr>
        <w:rFonts w:hint="default"/>
      </w:rPr>
    </w:lvl>
    <w:lvl w:ilvl="3" w:tplc="DD6AEC62">
      <w:numFmt w:val="bullet"/>
      <w:lvlText w:val="•"/>
      <w:lvlJc w:val="left"/>
      <w:pPr>
        <w:ind w:left="3590" w:hanging="450"/>
      </w:pPr>
      <w:rPr>
        <w:rFonts w:hint="default"/>
      </w:rPr>
    </w:lvl>
    <w:lvl w:ilvl="4" w:tplc="27A66764">
      <w:numFmt w:val="bullet"/>
      <w:lvlText w:val="•"/>
      <w:lvlJc w:val="left"/>
      <w:pPr>
        <w:ind w:left="4695" w:hanging="450"/>
      </w:pPr>
      <w:rPr>
        <w:rFonts w:hint="default"/>
      </w:rPr>
    </w:lvl>
    <w:lvl w:ilvl="5" w:tplc="DC401260">
      <w:numFmt w:val="bullet"/>
      <w:lvlText w:val="•"/>
      <w:lvlJc w:val="left"/>
      <w:pPr>
        <w:ind w:left="5800" w:hanging="450"/>
      </w:pPr>
      <w:rPr>
        <w:rFonts w:hint="default"/>
      </w:rPr>
    </w:lvl>
    <w:lvl w:ilvl="6" w:tplc="36AE3070">
      <w:numFmt w:val="bullet"/>
      <w:lvlText w:val="•"/>
      <w:lvlJc w:val="left"/>
      <w:pPr>
        <w:ind w:left="6905" w:hanging="450"/>
      </w:pPr>
      <w:rPr>
        <w:rFonts w:hint="default"/>
      </w:rPr>
    </w:lvl>
    <w:lvl w:ilvl="7" w:tplc="BC1628D6">
      <w:numFmt w:val="bullet"/>
      <w:lvlText w:val="•"/>
      <w:lvlJc w:val="left"/>
      <w:pPr>
        <w:ind w:left="8010" w:hanging="450"/>
      </w:pPr>
      <w:rPr>
        <w:rFonts w:hint="default"/>
      </w:rPr>
    </w:lvl>
    <w:lvl w:ilvl="8" w:tplc="E8B02A3E">
      <w:numFmt w:val="bullet"/>
      <w:lvlText w:val="•"/>
      <w:lvlJc w:val="left"/>
      <w:pPr>
        <w:ind w:left="9115" w:hanging="450"/>
      </w:pPr>
      <w:rPr>
        <w:rFonts w:hint="default"/>
      </w:rPr>
    </w:lvl>
  </w:abstractNum>
  <w:abstractNum w:abstractNumId="1" w15:restartNumberingAfterBreak="0">
    <w:nsid w:val="4AD6374A"/>
    <w:multiLevelType w:val="hybridMultilevel"/>
    <w:tmpl w:val="99F85730"/>
    <w:lvl w:ilvl="0" w:tplc="3B7427B6">
      <w:start w:val="1"/>
      <w:numFmt w:val="decimal"/>
      <w:lvlText w:val="（%1）"/>
      <w:lvlJc w:val="left"/>
      <w:pPr>
        <w:ind w:left="1329" w:hanging="450"/>
      </w:pPr>
      <w:rPr>
        <w:rFonts w:ascii="黑体" w:eastAsia="黑体" w:hAnsi="黑体" w:cs="黑体" w:hint="default"/>
        <w:spacing w:val="-2"/>
        <w:w w:val="100"/>
        <w:sz w:val="16"/>
        <w:szCs w:val="16"/>
      </w:rPr>
    </w:lvl>
    <w:lvl w:ilvl="1" w:tplc="EAD6D828">
      <w:numFmt w:val="bullet"/>
      <w:lvlText w:val="•"/>
      <w:lvlJc w:val="left"/>
      <w:pPr>
        <w:ind w:left="2320" w:hanging="450"/>
      </w:pPr>
      <w:rPr>
        <w:rFonts w:hint="default"/>
      </w:rPr>
    </w:lvl>
    <w:lvl w:ilvl="2" w:tplc="234EE74C">
      <w:numFmt w:val="bullet"/>
      <w:lvlText w:val="•"/>
      <w:lvlJc w:val="left"/>
      <w:pPr>
        <w:ind w:left="3321" w:hanging="450"/>
      </w:pPr>
      <w:rPr>
        <w:rFonts w:hint="default"/>
      </w:rPr>
    </w:lvl>
    <w:lvl w:ilvl="3" w:tplc="EAF2EF56">
      <w:numFmt w:val="bullet"/>
      <w:lvlText w:val="•"/>
      <w:lvlJc w:val="left"/>
      <w:pPr>
        <w:ind w:left="4321" w:hanging="450"/>
      </w:pPr>
      <w:rPr>
        <w:rFonts w:hint="default"/>
      </w:rPr>
    </w:lvl>
    <w:lvl w:ilvl="4" w:tplc="3A820B48">
      <w:numFmt w:val="bullet"/>
      <w:lvlText w:val="•"/>
      <w:lvlJc w:val="left"/>
      <w:pPr>
        <w:ind w:left="5322" w:hanging="450"/>
      </w:pPr>
      <w:rPr>
        <w:rFonts w:hint="default"/>
      </w:rPr>
    </w:lvl>
    <w:lvl w:ilvl="5" w:tplc="1ED09350">
      <w:numFmt w:val="bullet"/>
      <w:lvlText w:val="•"/>
      <w:lvlJc w:val="left"/>
      <w:pPr>
        <w:ind w:left="6323" w:hanging="450"/>
      </w:pPr>
      <w:rPr>
        <w:rFonts w:hint="default"/>
      </w:rPr>
    </w:lvl>
    <w:lvl w:ilvl="6" w:tplc="D3006502">
      <w:numFmt w:val="bullet"/>
      <w:lvlText w:val="•"/>
      <w:lvlJc w:val="left"/>
      <w:pPr>
        <w:ind w:left="7323" w:hanging="450"/>
      </w:pPr>
      <w:rPr>
        <w:rFonts w:hint="default"/>
      </w:rPr>
    </w:lvl>
    <w:lvl w:ilvl="7" w:tplc="725226B0">
      <w:numFmt w:val="bullet"/>
      <w:lvlText w:val="•"/>
      <w:lvlJc w:val="left"/>
      <w:pPr>
        <w:ind w:left="8324" w:hanging="450"/>
      </w:pPr>
      <w:rPr>
        <w:rFonts w:hint="default"/>
      </w:rPr>
    </w:lvl>
    <w:lvl w:ilvl="8" w:tplc="94A4066C">
      <w:numFmt w:val="bullet"/>
      <w:lvlText w:val="•"/>
      <w:lvlJc w:val="left"/>
      <w:pPr>
        <w:ind w:left="9324" w:hanging="450"/>
      </w:pPr>
      <w:rPr>
        <w:rFonts w:hint="default"/>
      </w:rPr>
    </w:lvl>
  </w:abstractNum>
  <w:abstractNum w:abstractNumId="2" w15:restartNumberingAfterBreak="0">
    <w:nsid w:val="69676ADE"/>
    <w:multiLevelType w:val="hybridMultilevel"/>
    <w:tmpl w:val="22CEC3D8"/>
    <w:lvl w:ilvl="0" w:tplc="BFD278FE">
      <w:start w:val="1"/>
      <w:numFmt w:val="decimal"/>
      <w:lvlText w:val="%1."/>
      <w:lvlJc w:val="left"/>
      <w:pPr>
        <w:ind w:left="408" w:hanging="153"/>
      </w:pPr>
      <w:rPr>
        <w:rFonts w:ascii="黑体" w:eastAsia="黑体" w:hAnsi="黑体" w:cs="黑体" w:hint="default"/>
        <w:b/>
        <w:bCs/>
        <w:spacing w:val="-1"/>
        <w:w w:val="98"/>
        <w:sz w:val="13"/>
        <w:szCs w:val="13"/>
      </w:rPr>
    </w:lvl>
    <w:lvl w:ilvl="1" w:tplc="068EE7E8">
      <w:start w:val="2"/>
      <w:numFmt w:val="decimal"/>
      <w:lvlText w:val="(%2)"/>
      <w:lvlJc w:val="left"/>
      <w:pPr>
        <w:ind w:left="633" w:hanging="226"/>
        <w:jc w:val="right"/>
      </w:pPr>
      <w:rPr>
        <w:rFonts w:ascii="黑体" w:eastAsia="黑体" w:hAnsi="黑体" w:cs="黑体" w:hint="default"/>
        <w:spacing w:val="-1"/>
        <w:w w:val="99"/>
        <w:sz w:val="13"/>
        <w:szCs w:val="13"/>
      </w:rPr>
    </w:lvl>
    <w:lvl w:ilvl="2" w:tplc="5F4C74CE">
      <w:numFmt w:val="bullet"/>
      <w:lvlText w:val="•"/>
      <w:lvlJc w:val="left"/>
      <w:pPr>
        <w:ind w:left="1416" w:hanging="226"/>
      </w:pPr>
      <w:rPr>
        <w:rFonts w:hint="default"/>
      </w:rPr>
    </w:lvl>
    <w:lvl w:ilvl="3" w:tplc="A75AC1F8">
      <w:numFmt w:val="bullet"/>
      <w:lvlText w:val="•"/>
      <w:lvlJc w:val="left"/>
      <w:pPr>
        <w:ind w:left="2193" w:hanging="226"/>
      </w:pPr>
      <w:rPr>
        <w:rFonts w:hint="default"/>
      </w:rPr>
    </w:lvl>
    <w:lvl w:ilvl="4" w:tplc="C9568CA8">
      <w:numFmt w:val="bullet"/>
      <w:lvlText w:val="•"/>
      <w:lvlJc w:val="left"/>
      <w:pPr>
        <w:ind w:left="2970" w:hanging="226"/>
      </w:pPr>
      <w:rPr>
        <w:rFonts w:hint="default"/>
      </w:rPr>
    </w:lvl>
    <w:lvl w:ilvl="5" w:tplc="AED234AC">
      <w:numFmt w:val="bullet"/>
      <w:lvlText w:val="•"/>
      <w:lvlJc w:val="left"/>
      <w:pPr>
        <w:ind w:left="3746" w:hanging="226"/>
      </w:pPr>
      <w:rPr>
        <w:rFonts w:hint="default"/>
      </w:rPr>
    </w:lvl>
    <w:lvl w:ilvl="6" w:tplc="0ED45D6C">
      <w:numFmt w:val="bullet"/>
      <w:lvlText w:val="•"/>
      <w:lvlJc w:val="left"/>
      <w:pPr>
        <w:ind w:left="4523" w:hanging="226"/>
      </w:pPr>
      <w:rPr>
        <w:rFonts w:hint="default"/>
      </w:rPr>
    </w:lvl>
    <w:lvl w:ilvl="7" w:tplc="831A1EB2">
      <w:numFmt w:val="bullet"/>
      <w:lvlText w:val="•"/>
      <w:lvlJc w:val="left"/>
      <w:pPr>
        <w:ind w:left="5300" w:hanging="226"/>
      </w:pPr>
      <w:rPr>
        <w:rFonts w:hint="default"/>
      </w:rPr>
    </w:lvl>
    <w:lvl w:ilvl="8" w:tplc="DC624258">
      <w:numFmt w:val="bullet"/>
      <w:lvlText w:val="•"/>
      <w:lvlJc w:val="left"/>
      <w:pPr>
        <w:ind w:left="6076" w:hanging="226"/>
      </w:pPr>
      <w:rPr>
        <w:rFonts w:hint="default"/>
      </w:rPr>
    </w:lvl>
  </w:abstractNum>
  <w:abstractNum w:abstractNumId="3" w15:restartNumberingAfterBreak="0">
    <w:nsid w:val="767124E1"/>
    <w:multiLevelType w:val="hybridMultilevel"/>
    <w:tmpl w:val="15A83C2E"/>
    <w:lvl w:ilvl="0" w:tplc="FF4CA7DA">
      <w:start w:val="1"/>
      <w:numFmt w:val="decimal"/>
      <w:lvlText w:val="（%1）"/>
      <w:lvlJc w:val="left"/>
      <w:pPr>
        <w:ind w:left="1029" w:hanging="450"/>
      </w:pPr>
      <w:rPr>
        <w:rFonts w:ascii="黑体" w:eastAsia="黑体" w:hAnsi="黑体" w:cs="黑体" w:hint="default"/>
        <w:spacing w:val="-2"/>
        <w:w w:val="100"/>
        <w:sz w:val="16"/>
        <w:szCs w:val="16"/>
      </w:rPr>
    </w:lvl>
    <w:lvl w:ilvl="1" w:tplc="C0B6AFFA">
      <w:numFmt w:val="bullet"/>
      <w:lvlText w:val="•"/>
      <w:lvlJc w:val="left"/>
      <w:pPr>
        <w:ind w:left="2050" w:hanging="450"/>
      </w:pPr>
      <w:rPr>
        <w:rFonts w:hint="default"/>
      </w:rPr>
    </w:lvl>
    <w:lvl w:ilvl="2" w:tplc="7DC4600A">
      <w:numFmt w:val="bullet"/>
      <w:lvlText w:val="•"/>
      <w:lvlJc w:val="left"/>
      <w:pPr>
        <w:ind w:left="3081" w:hanging="450"/>
      </w:pPr>
      <w:rPr>
        <w:rFonts w:hint="default"/>
      </w:rPr>
    </w:lvl>
    <w:lvl w:ilvl="3" w:tplc="CA4E9D1C">
      <w:numFmt w:val="bullet"/>
      <w:lvlText w:val="•"/>
      <w:lvlJc w:val="left"/>
      <w:pPr>
        <w:ind w:left="4111" w:hanging="450"/>
      </w:pPr>
      <w:rPr>
        <w:rFonts w:hint="default"/>
      </w:rPr>
    </w:lvl>
    <w:lvl w:ilvl="4" w:tplc="E33C1176">
      <w:numFmt w:val="bullet"/>
      <w:lvlText w:val="•"/>
      <w:lvlJc w:val="left"/>
      <w:pPr>
        <w:ind w:left="5142" w:hanging="450"/>
      </w:pPr>
      <w:rPr>
        <w:rFonts w:hint="default"/>
      </w:rPr>
    </w:lvl>
    <w:lvl w:ilvl="5" w:tplc="5BC4C7AE">
      <w:numFmt w:val="bullet"/>
      <w:lvlText w:val="•"/>
      <w:lvlJc w:val="left"/>
      <w:pPr>
        <w:ind w:left="6173" w:hanging="450"/>
      </w:pPr>
      <w:rPr>
        <w:rFonts w:hint="default"/>
      </w:rPr>
    </w:lvl>
    <w:lvl w:ilvl="6" w:tplc="0C64C66A">
      <w:numFmt w:val="bullet"/>
      <w:lvlText w:val="•"/>
      <w:lvlJc w:val="left"/>
      <w:pPr>
        <w:ind w:left="7203" w:hanging="450"/>
      </w:pPr>
      <w:rPr>
        <w:rFonts w:hint="default"/>
      </w:rPr>
    </w:lvl>
    <w:lvl w:ilvl="7" w:tplc="57920CFC">
      <w:numFmt w:val="bullet"/>
      <w:lvlText w:val="•"/>
      <w:lvlJc w:val="left"/>
      <w:pPr>
        <w:ind w:left="8234" w:hanging="450"/>
      </w:pPr>
      <w:rPr>
        <w:rFonts w:hint="default"/>
      </w:rPr>
    </w:lvl>
    <w:lvl w:ilvl="8" w:tplc="5BC40268">
      <w:numFmt w:val="bullet"/>
      <w:lvlText w:val="•"/>
      <w:lvlJc w:val="left"/>
      <w:pPr>
        <w:ind w:left="9264" w:hanging="450"/>
      </w:pPr>
      <w:rPr>
        <w:rFonts w:hint="default"/>
      </w:rPr>
    </w:lvl>
  </w:abstractNum>
  <w:num w:numId="1" w16cid:durableId="846483180">
    <w:abstractNumId w:val="3"/>
  </w:num>
  <w:num w:numId="2" w16cid:durableId="30888462">
    <w:abstractNumId w:val="1"/>
  </w:num>
  <w:num w:numId="3" w16cid:durableId="1343630439">
    <w:abstractNumId w:val="0"/>
  </w:num>
  <w:num w:numId="4" w16cid:durableId="486553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22"/>
    <w:rsid w:val="000133CD"/>
    <w:rsid w:val="00052B45"/>
    <w:rsid w:val="00076CE8"/>
    <w:rsid w:val="00083BAF"/>
    <w:rsid w:val="000A1A2E"/>
    <w:rsid w:val="000A6A51"/>
    <w:rsid w:val="000D5F20"/>
    <w:rsid w:val="00106AE1"/>
    <w:rsid w:val="00107CF1"/>
    <w:rsid w:val="00112B26"/>
    <w:rsid w:val="00161A38"/>
    <w:rsid w:val="001B22BC"/>
    <w:rsid w:val="001C7A4C"/>
    <w:rsid w:val="001D57F8"/>
    <w:rsid w:val="00214302"/>
    <w:rsid w:val="0022633A"/>
    <w:rsid w:val="0024278D"/>
    <w:rsid w:val="00247D74"/>
    <w:rsid w:val="00252C5C"/>
    <w:rsid w:val="0027053F"/>
    <w:rsid w:val="00291CE1"/>
    <w:rsid w:val="002D13C5"/>
    <w:rsid w:val="002D21D4"/>
    <w:rsid w:val="002D4185"/>
    <w:rsid w:val="002D61B2"/>
    <w:rsid w:val="002E3122"/>
    <w:rsid w:val="002E44DF"/>
    <w:rsid w:val="00301BED"/>
    <w:rsid w:val="003062B2"/>
    <w:rsid w:val="00313A35"/>
    <w:rsid w:val="003438B6"/>
    <w:rsid w:val="00346368"/>
    <w:rsid w:val="003571A6"/>
    <w:rsid w:val="0036469D"/>
    <w:rsid w:val="00386226"/>
    <w:rsid w:val="003A3EB0"/>
    <w:rsid w:val="003C295E"/>
    <w:rsid w:val="003C30BA"/>
    <w:rsid w:val="003D0EB1"/>
    <w:rsid w:val="003D3A61"/>
    <w:rsid w:val="003D4B64"/>
    <w:rsid w:val="003E7BDA"/>
    <w:rsid w:val="00403B0D"/>
    <w:rsid w:val="0041404A"/>
    <w:rsid w:val="0041490B"/>
    <w:rsid w:val="00416599"/>
    <w:rsid w:val="004255A1"/>
    <w:rsid w:val="00436DA8"/>
    <w:rsid w:val="004558EC"/>
    <w:rsid w:val="004638E6"/>
    <w:rsid w:val="00473C4D"/>
    <w:rsid w:val="0048568B"/>
    <w:rsid w:val="004A6A5D"/>
    <w:rsid w:val="004B28B7"/>
    <w:rsid w:val="004C41A9"/>
    <w:rsid w:val="004C4B3A"/>
    <w:rsid w:val="004D5129"/>
    <w:rsid w:val="00560545"/>
    <w:rsid w:val="00562E9D"/>
    <w:rsid w:val="00566D18"/>
    <w:rsid w:val="0058171C"/>
    <w:rsid w:val="00582183"/>
    <w:rsid w:val="00594FC1"/>
    <w:rsid w:val="00595444"/>
    <w:rsid w:val="005A35C9"/>
    <w:rsid w:val="005D2EEE"/>
    <w:rsid w:val="005E042A"/>
    <w:rsid w:val="005F328E"/>
    <w:rsid w:val="00601E98"/>
    <w:rsid w:val="00602AD6"/>
    <w:rsid w:val="00610EFE"/>
    <w:rsid w:val="00615EAE"/>
    <w:rsid w:val="00622EDB"/>
    <w:rsid w:val="00645559"/>
    <w:rsid w:val="006535A7"/>
    <w:rsid w:val="00667B9B"/>
    <w:rsid w:val="00676FCA"/>
    <w:rsid w:val="006A6903"/>
    <w:rsid w:val="006B1164"/>
    <w:rsid w:val="006B2F02"/>
    <w:rsid w:val="006E36A3"/>
    <w:rsid w:val="006F0115"/>
    <w:rsid w:val="006F0857"/>
    <w:rsid w:val="006F11E5"/>
    <w:rsid w:val="006F4495"/>
    <w:rsid w:val="0071448C"/>
    <w:rsid w:val="007172F8"/>
    <w:rsid w:val="00723AFD"/>
    <w:rsid w:val="00730680"/>
    <w:rsid w:val="00732784"/>
    <w:rsid w:val="007346E1"/>
    <w:rsid w:val="00741B5C"/>
    <w:rsid w:val="0076117C"/>
    <w:rsid w:val="00772746"/>
    <w:rsid w:val="00775CF5"/>
    <w:rsid w:val="00785DD4"/>
    <w:rsid w:val="00792C26"/>
    <w:rsid w:val="007A031B"/>
    <w:rsid w:val="007B3713"/>
    <w:rsid w:val="007B5003"/>
    <w:rsid w:val="007C148A"/>
    <w:rsid w:val="007D046F"/>
    <w:rsid w:val="007F2E8D"/>
    <w:rsid w:val="00805E68"/>
    <w:rsid w:val="008115FE"/>
    <w:rsid w:val="00822771"/>
    <w:rsid w:val="00822890"/>
    <w:rsid w:val="00826F46"/>
    <w:rsid w:val="0083244E"/>
    <w:rsid w:val="00854D94"/>
    <w:rsid w:val="00856196"/>
    <w:rsid w:val="00865710"/>
    <w:rsid w:val="0087098D"/>
    <w:rsid w:val="00892216"/>
    <w:rsid w:val="008C48F8"/>
    <w:rsid w:val="008E7204"/>
    <w:rsid w:val="008E750C"/>
    <w:rsid w:val="008E7BD0"/>
    <w:rsid w:val="00906255"/>
    <w:rsid w:val="00927763"/>
    <w:rsid w:val="00930557"/>
    <w:rsid w:val="00933DFE"/>
    <w:rsid w:val="00946590"/>
    <w:rsid w:val="0094750E"/>
    <w:rsid w:val="00971798"/>
    <w:rsid w:val="00982A52"/>
    <w:rsid w:val="009903B7"/>
    <w:rsid w:val="009A7C87"/>
    <w:rsid w:val="009B4A3E"/>
    <w:rsid w:val="009B6972"/>
    <w:rsid w:val="009C008E"/>
    <w:rsid w:val="009C15E3"/>
    <w:rsid w:val="009D31EF"/>
    <w:rsid w:val="009D5B8A"/>
    <w:rsid w:val="009D6A9E"/>
    <w:rsid w:val="009F32D7"/>
    <w:rsid w:val="00A059BE"/>
    <w:rsid w:val="00A26B41"/>
    <w:rsid w:val="00A30D92"/>
    <w:rsid w:val="00A572FD"/>
    <w:rsid w:val="00A732A2"/>
    <w:rsid w:val="00A8050E"/>
    <w:rsid w:val="00A85D3D"/>
    <w:rsid w:val="00A91985"/>
    <w:rsid w:val="00A9423A"/>
    <w:rsid w:val="00A94E9C"/>
    <w:rsid w:val="00AA2454"/>
    <w:rsid w:val="00AD5CA0"/>
    <w:rsid w:val="00AF3346"/>
    <w:rsid w:val="00B107FC"/>
    <w:rsid w:val="00B311EC"/>
    <w:rsid w:val="00B35CE9"/>
    <w:rsid w:val="00B56DA0"/>
    <w:rsid w:val="00B66E0D"/>
    <w:rsid w:val="00B749DD"/>
    <w:rsid w:val="00B7601D"/>
    <w:rsid w:val="00B8307F"/>
    <w:rsid w:val="00B90B15"/>
    <w:rsid w:val="00B9211A"/>
    <w:rsid w:val="00B944BD"/>
    <w:rsid w:val="00B9454D"/>
    <w:rsid w:val="00BB5F05"/>
    <w:rsid w:val="00BD1318"/>
    <w:rsid w:val="00BE6A8C"/>
    <w:rsid w:val="00BE6EB9"/>
    <w:rsid w:val="00C173F4"/>
    <w:rsid w:val="00C27E9D"/>
    <w:rsid w:val="00C35C8B"/>
    <w:rsid w:val="00C42D22"/>
    <w:rsid w:val="00C60AAB"/>
    <w:rsid w:val="00C61D61"/>
    <w:rsid w:val="00C64B29"/>
    <w:rsid w:val="00C83978"/>
    <w:rsid w:val="00C91D54"/>
    <w:rsid w:val="00CC2143"/>
    <w:rsid w:val="00CC3F26"/>
    <w:rsid w:val="00CE1362"/>
    <w:rsid w:val="00CE43EF"/>
    <w:rsid w:val="00CF31AF"/>
    <w:rsid w:val="00CF4596"/>
    <w:rsid w:val="00D459EE"/>
    <w:rsid w:val="00D82231"/>
    <w:rsid w:val="00D90E9F"/>
    <w:rsid w:val="00DA77CF"/>
    <w:rsid w:val="00DC1432"/>
    <w:rsid w:val="00DC3711"/>
    <w:rsid w:val="00DC481E"/>
    <w:rsid w:val="00DE2862"/>
    <w:rsid w:val="00DF6186"/>
    <w:rsid w:val="00E12F31"/>
    <w:rsid w:val="00E513BF"/>
    <w:rsid w:val="00E52FFA"/>
    <w:rsid w:val="00E5709F"/>
    <w:rsid w:val="00E76A01"/>
    <w:rsid w:val="00E82C3D"/>
    <w:rsid w:val="00E84EE2"/>
    <w:rsid w:val="00EB10E1"/>
    <w:rsid w:val="00EC422A"/>
    <w:rsid w:val="00ED29D1"/>
    <w:rsid w:val="00EF0187"/>
    <w:rsid w:val="00EF79CB"/>
    <w:rsid w:val="00F16664"/>
    <w:rsid w:val="00F24CAB"/>
    <w:rsid w:val="00F432CE"/>
    <w:rsid w:val="00F65E26"/>
    <w:rsid w:val="00F73240"/>
    <w:rsid w:val="00F766D8"/>
    <w:rsid w:val="00F81290"/>
    <w:rsid w:val="00F814E3"/>
    <w:rsid w:val="00F82FCA"/>
    <w:rsid w:val="00FA098E"/>
    <w:rsid w:val="00FB1D5A"/>
    <w:rsid w:val="00FB2404"/>
    <w:rsid w:val="00FD0A54"/>
    <w:rsid w:val="00FE3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A8924"/>
  <w15:chartTrackingRefBased/>
  <w15:docId w15:val="{D7605F66-2951-4B03-B4A9-CF28598F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1D5A"/>
    <w:pPr>
      <w:widowControl w:val="0"/>
      <w:spacing w:after="0" w:line="240" w:lineRule="auto"/>
      <w:jc w:val="both"/>
    </w:pPr>
    <w:rPr>
      <w:rFonts w:ascii="Calibri" w:eastAsia="宋体" w:hAnsi="Calibri" w:cs="Times New Roman"/>
      <w:sz w:val="21"/>
      <w14:ligatures w14:val="none"/>
    </w:rPr>
  </w:style>
  <w:style w:type="paragraph" w:styleId="1">
    <w:name w:val="heading 1"/>
    <w:basedOn w:val="a"/>
    <w:next w:val="a"/>
    <w:link w:val="10"/>
    <w:uiPriority w:val="9"/>
    <w:qFormat/>
    <w:rsid w:val="002E312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E312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E312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E312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E312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E3122"/>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E312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E312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E312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E312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E312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E312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E3122"/>
    <w:rPr>
      <w:rFonts w:cstheme="majorBidi"/>
      <w:color w:val="2F5496" w:themeColor="accent1" w:themeShade="BF"/>
      <w:sz w:val="28"/>
      <w:szCs w:val="28"/>
    </w:rPr>
  </w:style>
  <w:style w:type="character" w:customStyle="1" w:styleId="50">
    <w:name w:val="标题 5 字符"/>
    <w:basedOn w:val="a0"/>
    <w:link w:val="5"/>
    <w:uiPriority w:val="9"/>
    <w:semiHidden/>
    <w:rsid w:val="002E3122"/>
    <w:rPr>
      <w:rFonts w:cstheme="majorBidi"/>
      <w:color w:val="2F5496" w:themeColor="accent1" w:themeShade="BF"/>
      <w:sz w:val="24"/>
    </w:rPr>
  </w:style>
  <w:style w:type="character" w:customStyle="1" w:styleId="60">
    <w:name w:val="标题 6 字符"/>
    <w:basedOn w:val="a0"/>
    <w:link w:val="6"/>
    <w:uiPriority w:val="9"/>
    <w:semiHidden/>
    <w:rsid w:val="002E3122"/>
    <w:rPr>
      <w:rFonts w:cstheme="majorBidi"/>
      <w:b/>
      <w:bCs/>
      <w:color w:val="2F5496" w:themeColor="accent1" w:themeShade="BF"/>
    </w:rPr>
  </w:style>
  <w:style w:type="character" w:customStyle="1" w:styleId="70">
    <w:name w:val="标题 7 字符"/>
    <w:basedOn w:val="a0"/>
    <w:link w:val="7"/>
    <w:uiPriority w:val="9"/>
    <w:semiHidden/>
    <w:rsid w:val="002E3122"/>
    <w:rPr>
      <w:rFonts w:cstheme="majorBidi"/>
      <w:b/>
      <w:bCs/>
      <w:color w:val="595959" w:themeColor="text1" w:themeTint="A6"/>
    </w:rPr>
  </w:style>
  <w:style w:type="character" w:customStyle="1" w:styleId="80">
    <w:name w:val="标题 8 字符"/>
    <w:basedOn w:val="a0"/>
    <w:link w:val="8"/>
    <w:uiPriority w:val="9"/>
    <w:semiHidden/>
    <w:rsid w:val="002E3122"/>
    <w:rPr>
      <w:rFonts w:cstheme="majorBidi"/>
      <w:color w:val="595959" w:themeColor="text1" w:themeTint="A6"/>
    </w:rPr>
  </w:style>
  <w:style w:type="character" w:customStyle="1" w:styleId="90">
    <w:name w:val="标题 9 字符"/>
    <w:basedOn w:val="a0"/>
    <w:link w:val="9"/>
    <w:uiPriority w:val="9"/>
    <w:semiHidden/>
    <w:rsid w:val="002E3122"/>
    <w:rPr>
      <w:rFonts w:eastAsiaTheme="majorEastAsia" w:cstheme="majorBidi"/>
      <w:color w:val="595959" w:themeColor="text1" w:themeTint="A6"/>
    </w:rPr>
  </w:style>
  <w:style w:type="paragraph" w:styleId="a3">
    <w:name w:val="Title"/>
    <w:basedOn w:val="a"/>
    <w:next w:val="a"/>
    <w:link w:val="a4"/>
    <w:uiPriority w:val="10"/>
    <w:qFormat/>
    <w:rsid w:val="002E31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E31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312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E31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3122"/>
    <w:pPr>
      <w:spacing w:before="160"/>
      <w:jc w:val="center"/>
    </w:pPr>
    <w:rPr>
      <w:i/>
      <w:iCs/>
      <w:color w:val="404040" w:themeColor="text1" w:themeTint="BF"/>
    </w:rPr>
  </w:style>
  <w:style w:type="character" w:customStyle="1" w:styleId="a8">
    <w:name w:val="引用 字符"/>
    <w:basedOn w:val="a0"/>
    <w:link w:val="a7"/>
    <w:uiPriority w:val="29"/>
    <w:rsid w:val="002E3122"/>
    <w:rPr>
      <w:i/>
      <w:iCs/>
      <w:color w:val="404040" w:themeColor="text1" w:themeTint="BF"/>
    </w:rPr>
  </w:style>
  <w:style w:type="paragraph" w:styleId="a9">
    <w:name w:val="List Paragraph"/>
    <w:basedOn w:val="a"/>
    <w:uiPriority w:val="1"/>
    <w:qFormat/>
    <w:rsid w:val="002E3122"/>
    <w:pPr>
      <w:ind w:left="720"/>
      <w:contextualSpacing/>
    </w:pPr>
  </w:style>
  <w:style w:type="character" w:styleId="aa">
    <w:name w:val="Intense Emphasis"/>
    <w:basedOn w:val="a0"/>
    <w:uiPriority w:val="21"/>
    <w:qFormat/>
    <w:rsid w:val="002E3122"/>
    <w:rPr>
      <w:i/>
      <w:iCs/>
      <w:color w:val="2F5496" w:themeColor="accent1" w:themeShade="BF"/>
    </w:rPr>
  </w:style>
  <w:style w:type="paragraph" w:styleId="ab">
    <w:name w:val="Intense Quote"/>
    <w:basedOn w:val="a"/>
    <w:next w:val="a"/>
    <w:link w:val="ac"/>
    <w:uiPriority w:val="30"/>
    <w:qFormat/>
    <w:rsid w:val="002E3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E3122"/>
    <w:rPr>
      <w:i/>
      <w:iCs/>
      <w:color w:val="2F5496" w:themeColor="accent1" w:themeShade="BF"/>
    </w:rPr>
  </w:style>
  <w:style w:type="character" w:styleId="ad">
    <w:name w:val="Intense Reference"/>
    <w:basedOn w:val="a0"/>
    <w:uiPriority w:val="32"/>
    <w:qFormat/>
    <w:rsid w:val="002E3122"/>
    <w:rPr>
      <w:b/>
      <w:bCs/>
      <w:smallCaps/>
      <w:color w:val="2F5496" w:themeColor="accent1" w:themeShade="BF"/>
      <w:spacing w:val="5"/>
    </w:rPr>
  </w:style>
  <w:style w:type="paragraph" w:styleId="ae">
    <w:name w:val="header"/>
    <w:basedOn w:val="a"/>
    <w:link w:val="af"/>
    <w:uiPriority w:val="99"/>
    <w:unhideWhenUsed/>
    <w:rsid w:val="00FB1D5A"/>
    <w:pPr>
      <w:tabs>
        <w:tab w:val="center" w:pos="4153"/>
        <w:tab w:val="right" w:pos="8306"/>
      </w:tabs>
      <w:snapToGrid w:val="0"/>
      <w:jc w:val="center"/>
    </w:pPr>
    <w:rPr>
      <w:sz w:val="18"/>
      <w:szCs w:val="18"/>
    </w:rPr>
  </w:style>
  <w:style w:type="character" w:customStyle="1" w:styleId="af">
    <w:name w:val="页眉 字符"/>
    <w:basedOn w:val="a0"/>
    <w:link w:val="ae"/>
    <w:uiPriority w:val="99"/>
    <w:rsid w:val="00FB1D5A"/>
    <w:rPr>
      <w:sz w:val="18"/>
      <w:szCs w:val="18"/>
    </w:rPr>
  </w:style>
  <w:style w:type="paragraph" w:styleId="af0">
    <w:name w:val="footer"/>
    <w:basedOn w:val="a"/>
    <w:link w:val="af1"/>
    <w:uiPriority w:val="99"/>
    <w:unhideWhenUsed/>
    <w:rsid w:val="00FB1D5A"/>
    <w:pPr>
      <w:tabs>
        <w:tab w:val="center" w:pos="4153"/>
        <w:tab w:val="right" w:pos="8306"/>
      </w:tabs>
      <w:snapToGrid w:val="0"/>
    </w:pPr>
    <w:rPr>
      <w:sz w:val="18"/>
      <w:szCs w:val="18"/>
    </w:rPr>
  </w:style>
  <w:style w:type="character" w:customStyle="1" w:styleId="af1">
    <w:name w:val="页脚 字符"/>
    <w:basedOn w:val="a0"/>
    <w:link w:val="af0"/>
    <w:uiPriority w:val="99"/>
    <w:rsid w:val="00FB1D5A"/>
    <w:rPr>
      <w:sz w:val="18"/>
      <w:szCs w:val="18"/>
    </w:rPr>
  </w:style>
  <w:style w:type="table" w:styleId="af2">
    <w:name w:val="Table Grid"/>
    <w:basedOn w:val="a1"/>
    <w:uiPriority w:val="39"/>
    <w:rsid w:val="003A3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676FCA"/>
    <w:rPr>
      <w:color w:val="0563C1" w:themeColor="hyperlink"/>
      <w:u w:val="single"/>
    </w:rPr>
  </w:style>
  <w:style w:type="character" w:styleId="af4">
    <w:name w:val="Unresolved Mention"/>
    <w:basedOn w:val="a0"/>
    <w:uiPriority w:val="99"/>
    <w:semiHidden/>
    <w:unhideWhenUsed/>
    <w:rsid w:val="00676FCA"/>
    <w:rPr>
      <w:color w:val="605E5C"/>
      <w:shd w:val="clear" w:color="auto" w:fill="E1DFDD"/>
    </w:rPr>
  </w:style>
  <w:style w:type="table" w:customStyle="1" w:styleId="TableNormal">
    <w:name w:val="Table Normal"/>
    <w:uiPriority w:val="2"/>
    <w:semiHidden/>
    <w:unhideWhenUsed/>
    <w:qFormat/>
    <w:rsid w:val="009D5B8A"/>
    <w:pPr>
      <w:widowControl w:val="0"/>
      <w:autoSpaceDE w:val="0"/>
      <w:autoSpaceDN w:val="0"/>
      <w:spacing w:after="0" w:line="240" w:lineRule="auto"/>
    </w:pPr>
    <w:rPr>
      <w:kern w:val="0"/>
      <w:szCs w:val="22"/>
      <w:lang w:eastAsia="en-US"/>
      <w14:ligatures w14:val="none"/>
    </w:rPr>
    <w:tblPr>
      <w:tblInd w:w="0" w:type="dxa"/>
      <w:tblCellMar>
        <w:top w:w="0" w:type="dxa"/>
        <w:left w:w="0" w:type="dxa"/>
        <w:bottom w:w="0" w:type="dxa"/>
        <w:right w:w="0" w:type="dxa"/>
      </w:tblCellMar>
    </w:tblPr>
  </w:style>
  <w:style w:type="paragraph" w:styleId="af5">
    <w:name w:val="Body Text"/>
    <w:basedOn w:val="a"/>
    <w:link w:val="af6"/>
    <w:uiPriority w:val="1"/>
    <w:qFormat/>
    <w:rsid w:val="009D5B8A"/>
    <w:pPr>
      <w:autoSpaceDE w:val="0"/>
      <w:autoSpaceDN w:val="0"/>
      <w:jc w:val="left"/>
    </w:pPr>
    <w:rPr>
      <w:rFonts w:ascii="黑体" w:eastAsia="黑体" w:hAnsi="黑体" w:cs="黑体"/>
      <w:kern w:val="0"/>
      <w:sz w:val="18"/>
      <w:szCs w:val="18"/>
      <w:lang w:eastAsia="en-US"/>
    </w:rPr>
  </w:style>
  <w:style w:type="character" w:customStyle="1" w:styleId="af6">
    <w:name w:val="正文文本 字符"/>
    <w:basedOn w:val="a0"/>
    <w:link w:val="af5"/>
    <w:uiPriority w:val="1"/>
    <w:rsid w:val="009D5B8A"/>
    <w:rPr>
      <w:rFonts w:ascii="黑体" w:eastAsia="黑体" w:hAnsi="黑体" w:cs="黑体"/>
      <w:kern w:val="0"/>
      <w:sz w:val="18"/>
      <w:szCs w:val="18"/>
      <w:lang w:eastAsia="en-US"/>
      <w14:ligatures w14:val="none"/>
    </w:rPr>
  </w:style>
  <w:style w:type="paragraph" w:customStyle="1" w:styleId="TableParagraph">
    <w:name w:val="Table Paragraph"/>
    <w:basedOn w:val="a"/>
    <w:uiPriority w:val="1"/>
    <w:qFormat/>
    <w:rsid w:val="009D5B8A"/>
    <w:pPr>
      <w:autoSpaceDE w:val="0"/>
      <w:autoSpaceDN w:val="0"/>
      <w:jc w:val="left"/>
    </w:pPr>
    <w:rPr>
      <w:rFonts w:ascii="黑体" w:eastAsia="黑体" w:hAnsi="黑体" w:cs="黑体"/>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2030</TotalTime>
  <Pages>1</Pages>
  <Words>1488</Words>
  <Characters>1549</Characters>
  <Application>Microsoft Office Word</Application>
  <DocSecurity>0</DocSecurity>
  <Lines>77</Lines>
  <Paragraphs>66</Paragraphs>
  <ScaleCrop>false</ScaleCrop>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h</dc:creator>
  <cp:keywords/>
  <dc:description/>
  <cp:lastModifiedBy>y h</cp:lastModifiedBy>
  <cp:revision>65</cp:revision>
  <cp:lastPrinted>2025-09-06T07:17:00Z</cp:lastPrinted>
  <dcterms:created xsi:type="dcterms:W3CDTF">2025-08-24T08:12:00Z</dcterms:created>
  <dcterms:modified xsi:type="dcterms:W3CDTF">2025-09-06T10:26:00Z</dcterms:modified>
</cp:coreProperties>
</file>