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B5537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288" w:lineRule="atLeast"/>
        <w:ind w:left="0" w:right="0" w:firstLine="843" w:firstLineChars="300"/>
        <w:rPr>
          <w:rFonts w:hint="eastAsia" w:ascii="宋体" w:hAnsi="宋体" w:eastAsia="宋体" w:cs="宋体"/>
          <w:b/>
          <w:bCs/>
          <w:i w:val="0"/>
          <w:iCs w:val="0"/>
          <w:caps w:val="0"/>
          <w:color w:val="333333"/>
          <w:spacing w:val="0"/>
          <w:sz w:val="28"/>
          <w:szCs w:val="28"/>
          <w:shd w:val="clear" w:fill="FFFFFF"/>
        </w:rPr>
      </w:pPr>
      <w:r>
        <w:rPr>
          <w:rFonts w:hint="eastAsia" w:ascii="宋体" w:hAnsi="宋体" w:eastAsia="宋体" w:cs="宋体"/>
          <w:b/>
          <w:bCs/>
          <w:i w:val="0"/>
          <w:iCs w:val="0"/>
          <w:caps w:val="0"/>
          <w:color w:val="333333"/>
          <w:spacing w:val="0"/>
          <w:sz w:val="28"/>
          <w:szCs w:val="28"/>
          <w:shd w:val="clear" w:fill="FFFFFF"/>
        </w:rPr>
        <w:t>成都信息工程大学</w:t>
      </w:r>
      <w:r>
        <w:rPr>
          <w:rFonts w:hint="eastAsia" w:ascii="宋体" w:hAnsi="宋体" w:eastAsia="宋体" w:cs="宋体"/>
          <w:b/>
          <w:bCs/>
          <w:i w:val="0"/>
          <w:iCs w:val="0"/>
          <w:caps w:val="0"/>
          <w:color w:val="333333"/>
          <w:spacing w:val="0"/>
          <w:sz w:val="28"/>
          <w:szCs w:val="28"/>
          <w:shd w:val="clear" w:fill="FFFFFF"/>
          <w:lang w:val="en-US" w:eastAsia="zh-CN"/>
        </w:rPr>
        <w:t>统计</w:t>
      </w:r>
      <w:r>
        <w:rPr>
          <w:rFonts w:hint="eastAsia" w:ascii="宋体" w:hAnsi="宋体" w:eastAsia="宋体" w:cs="宋体"/>
          <w:b/>
          <w:bCs/>
          <w:i w:val="0"/>
          <w:iCs w:val="0"/>
          <w:caps w:val="0"/>
          <w:color w:val="333333"/>
          <w:spacing w:val="0"/>
          <w:sz w:val="28"/>
          <w:szCs w:val="28"/>
          <w:shd w:val="clear" w:fill="FFFFFF"/>
        </w:rPr>
        <w:t>学院2026届推免生综合素质加分细则</w:t>
      </w:r>
    </w:p>
    <w:p w14:paraId="3D40B0A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288" w:lineRule="atLeast"/>
        <w:ind w:left="0" w:right="0" w:firstLine="843" w:firstLineChars="300"/>
        <w:jc w:val="center"/>
        <w:rPr>
          <w:rFonts w:hint="eastAsia" w:ascii="宋体" w:hAnsi="宋体" w:eastAsia="宋体" w:cs="宋体"/>
          <w:b/>
          <w:bCs/>
          <w:i w:val="0"/>
          <w:iCs w:val="0"/>
          <w:caps w:val="0"/>
          <w:color w:val="333333"/>
          <w:spacing w:val="0"/>
          <w:sz w:val="28"/>
          <w:szCs w:val="28"/>
          <w:shd w:val="clear" w:fill="FFFFFF"/>
        </w:rPr>
      </w:pPr>
      <w:r>
        <w:rPr>
          <w:rFonts w:hint="eastAsia" w:ascii="宋体" w:hAnsi="宋体" w:eastAsia="宋体" w:cs="宋体"/>
          <w:b/>
          <w:bCs/>
          <w:i w:val="0"/>
          <w:iCs w:val="0"/>
          <w:caps w:val="0"/>
          <w:color w:val="333333"/>
          <w:spacing w:val="0"/>
          <w:sz w:val="28"/>
          <w:szCs w:val="28"/>
          <w:shd w:val="clear" w:fill="FFFFFF"/>
        </w:rPr>
        <w:t>（试行稿）</w:t>
      </w:r>
    </w:p>
    <w:p w14:paraId="04F685A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288" w:lineRule="atLeast"/>
        <w:ind w:left="0" w:right="0" w:firstLine="0"/>
        <w:rPr>
          <w:rFonts w:hint="eastAsia" w:ascii="宋体" w:hAnsi="宋体" w:eastAsia="宋体" w:cs="宋体"/>
          <w:i w:val="0"/>
          <w:iCs w:val="0"/>
          <w:caps w:val="0"/>
          <w:color w:val="333333"/>
          <w:spacing w:val="0"/>
          <w:sz w:val="19"/>
          <w:szCs w:val="19"/>
        </w:rPr>
      </w:pPr>
      <w:r>
        <w:rPr>
          <w:rStyle w:val="7"/>
          <w:rFonts w:hint="eastAsia" w:ascii="宋体" w:hAnsi="宋体" w:eastAsia="宋体" w:cs="宋体"/>
          <w:b/>
          <w:bCs/>
          <w:i w:val="0"/>
          <w:iCs w:val="0"/>
          <w:caps w:val="0"/>
          <w:color w:val="333333"/>
          <w:spacing w:val="0"/>
          <w:sz w:val="22"/>
          <w:szCs w:val="22"/>
          <w:shd w:val="clear" w:fill="FFFFFF"/>
        </w:rPr>
        <w:t>（一）综合成绩构成</w:t>
      </w:r>
    </w:p>
    <w:p w14:paraId="77CF8BB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288" w:lineRule="atLeast"/>
        <w:ind w:left="0" w:right="0" w:firstLine="444"/>
        <w:rPr>
          <w:rFonts w:hint="eastAsia" w:ascii="宋体" w:hAnsi="宋体" w:eastAsia="宋体" w:cs="宋体"/>
          <w:i w:val="0"/>
          <w:iCs w:val="0"/>
          <w:caps w:val="0"/>
          <w:color w:val="333333"/>
          <w:spacing w:val="0"/>
          <w:sz w:val="19"/>
          <w:szCs w:val="19"/>
        </w:rPr>
      </w:pPr>
      <w:r>
        <w:rPr>
          <w:rFonts w:hint="eastAsia" w:ascii="宋体" w:hAnsi="宋体" w:eastAsia="宋体" w:cs="宋体"/>
          <w:i w:val="0"/>
          <w:iCs w:val="0"/>
          <w:caps w:val="0"/>
          <w:color w:val="333333"/>
          <w:spacing w:val="0"/>
          <w:sz w:val="22"/>
          <w:szCs w:val="22"/>
          <w:shd w:val="clear" w:fill="FFFFFF"/>
        </w:rPr>
        <w:t>课程成绩加权平均分（满分100分）、综合素质加分（满分10分）</w:t>
      </w:r>
    </w:p>
    <w:p w14:paraId="1995B8D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288" w:lineRule="atLeast"/>
        <w:ind w:left="0" w:right="0" w:firstLine="0"/>
        <w:rPr>
          <w:rFonts w:hint="eastAsia" w:ascii="宋体" w:hAnsi="宋体" w:eastAsia="宋体" w:cs="宋体"/>
          <w:i w:val="0"/>
          <w:iCs w:val="0"/>
          <w:caps w:val="0"/>
          <w:color w:val="333333"/>
          <w:spacing w:val="0"/>
          <w:sz w:val="19"/>
          <w:szCs w:val="19"/>
        </w:rPr>
      </w:pPr>
      <w:r>
        <w:rPr>
          <w:rStyle w:val="7"/>
          <w:rFonts w:hint="eastAsia" w:ascii="宋体" w:hAnsi="宋体" w:eastAsia="宋体" w:cs="宋体"/>
          <w:b/>
          <w:bCs/>
          <w:i w:val="0"/>
          <w:iCs w:val="0"/>
          <w:caps w:val="0"/>
          <w:color w:val="333333"/>
          <w:spacing w:val="0"/>
          <w:sz w:val="22"/>
          <w:szCs w:val="22"/>
          <w:shd w:val="clear" w:fill="FFFFFF"/>
        </w:rPr>
        <w:t>（二）课程成绩计算</w:t>
      </w:r>
    </w:p>
    <w:p w14:paraId="52A57ED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288" w:lineRule="atLeast"/>
        <w:ind w:left="0" w:right="0" w:firstLine="444"/>
        <w:rPr>
          <w:rFonts w:hint="eastAsia" w:ascii="宋体" w:hAnsi="宋体" w:eastAsia="宋体" w:cs="宋体"/>
          <w:i w:val="0"/>
          <w:iCs w:val="0"/>
          <w:caps w:val="0"/>
          <w:color w:val="333333"/>
          <w:spacing w:val="0"/>
          <w:sz w:val="19"/>
          <w:szCs w:val="19"/>
        </w:rPr>
      </w:pPr>
      <w:r>
        <w:rPr>
          <w:rFonts w:hint="eastAsia" w:ascii="宋体" w:hAnsi="宋体" w:eastAsia="宋体" w:cs="宋体"/>
          <w:i w:val="0"/>
          <w:iCs w:val="0"/>
          <w:caps w:val="0"/>
          <w:color w:val="333333"/>
          <w:spacing w:val="0"/>
          <w:sz w:val="22"/>
          <w:szCs w:val="22"/>
          <w:shd w:val="clear" w:fill="FFFFFF"/>
        </w:rPr>
        <w:t>以学生前六学期培养方案内必修课程（不含公共选修课）首次考核成绩计算加权平均分，保留两位小数。</w:t>
      </w:r>
    </w:p>
    <w:p w14:paraId="5D700E4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288" w:lineRule="atLeast"/>
        <w:ind w:left="0" w:right="0" w:firstLine="0"/>
        <w:rPr>
          <w:rFonts w:hint="eastAsia" w:ascii="宋体" w:hAnsi="宋体" w:eastAsia="宋体" w:cs="宋体"/>
          <w:i w:val="0"/>
          <w:iCs w:val="0"/>
          <w:caps w:val="0"/>
          <w:color w:val="333333"/>
          <w:spacing w:val="0"/>
          <w:sz w:val="19"/>
          <w:szCs w:val="19"/>
        </w:rPr>
      </w:pPr>
      <w:r>
        <w:rPr>
          <w:rStyle w:val="7"/>
          <w:rFonts w:hint="eastAsia" w:ascii="宋体" w:hAnsi="宋体" w:eastAsia="宋体" w:cs="宋体"/>
          <w:b/>
          <w:bCs/>
          <w:i w:val="0"/>
          <w:iCs w:val="0"/>
          <w:caps w:val="0"/>
          <w:color w:val="333333"/>
          <w:spacing w:val="0"/>
          <w:sz w:val="22"/>
          <w:szCs w:val="22"/>
          <w:shd w:val="clear" w:fill="FFFFFF"/>
        </w:rPr>
        <w:t>（三）综合素质加分</w:t>
      </w:r>
    </w:p>
    <w:p w14:paraId="269D98E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288" w:lineRule="atLeast"/>
        <w:ind w:left="0" w:right="0" w:firstLine="444"/>
        <w:rPr>
          <w:rFonts w:hint="eastAsia" w:ascii="宋体" w:hAnsi="宋体" w:eastAsia="宋体" w:cs="宋体"/>
          <w:i w:val="0"/>
          <w:iCs w:val="0"/>
          <w:caps w:val="0"/>
          <w:color w:val="333333"/>
          <w:spacing w:val="0"/>
          <w:sz w:val="19"/>
          <w:szCs w:val="19"/>
        </w:rPr>
      </w:pPr>
      <w:r>
        <w:rPr>
          <w:rFonts w:hint="eastAsia" w:ascii="宋体" w:hAnsi="宋体" w:eastAsia="宋体" w:cs="宋体"/>
          <w:i w:val="0"/>
          <w:iCs w:val="0"/>
          <w:caps w:val="0"/>
          <w:color w:val="333333"/>
          <w:spacing w:val="0"/>
          <w:sz w:val="22"/>
          <w:szCs w:val="22"/>
          <w:shd w:val="clear" w:fill="FFFFFF"/>
        </w:rPr>
        <w:t>依据《成都信息工程大学</w:t>
      </w:r>
      <w:r>
        <w:rPr>
          <w:rFonts w:hint="eastAsia" w:ascii="宋体" w:hAnsi="宋体" w:eastAsia="宋体" w:cs="宋体"/>
          <w:i w:val="0"/>
          <w:iCs w:val="0"/>
          <w:caps w:val="0"/>
          <w:color w:val="333333"/>
          <w:spacing w:val="0"/>
          <w:sz w:val="22"/>
          <w:szCs w:val="22"/>
          <w:shd w:val="clear" w:fill="FFFFFF"/>
          <w:lang w:val="en-US" w:eastAsia="zh-CN"/>
        </w:rPr>
        <w:t>统计</w:t>
      </w:r>
      <w:r>
        <w:rPr>
          <w:rFonts w:hint="eastAsia" w:ascii="宋体" w:hAnsi="宋体" w:eastAsia="宋体" w:cs="宋体"/>
          <w:i w:val="0"/>
          <w:iCs w:val="0"/>
          <w:caps w:val="0"/>
          <w:color w:val="333333"/>
          <w:spacing w:val="0"/>
          <w:sz w:val="22"/>
          <w:szCs w:val="22"/>
          <w:shd w:val="clear" w:fill="FFFFFF"/>
        </w:rPr>
        <w:t>学院2026届推免生综合素质加分细则（试行稿）》，包括“学科竞赛类、科研成果类、社会实践类、外语能力类</w:t>
      </w:r>
      <w:r>
        <w:rPr>
          <w:rFonts w:hint="eastAsia" w:ascii="宋体" w:hAnsi="宋体" w:eastAsia="宋体" w:cs="宋体"/>
          <w:i w:val="0"/>
          <w:iCs w:val="0"/>
          <w:caps w:val="0"/>
          <w:color w:val="333333"/>
          <w:spacing w:val="0"/>
          <w:sz w:val="22"/>
          <w:szCs w:val="22"/>
          <w:shd w:val="clear" w:fill="FFFFFF"/>
          <w:lang w:eastAsia="zh-CN"/>
        </w:rPr>
        <w:t>、</w:t>
      </w:r>
      <w:r>
        <w:rPr>
          <w:rFonts w:hint="eastAsia" w:ascii="宋体" w:hAnsi="宋体" w:eastAsia="宋体" w:cs="宋体"/>
          <w:i w:val="0"/>
          <w:iCs w:val="0"/>
          <w:caps w:val="0"/>
          <w:color w:val="333333"/>
          <w:spacing w:val="0"/>
          <w:sz w:val="22"/>
          <w:szCs w:val="22"/>
          <w:shd w:val="clear" w:fill="FFFFFF"/>
        </w:rPr>
        <w:t>其他</w:t>
      </w:r>
      <w:r>
        <w:rPr>
          <w:rFonts w:hint="eastAsia" w:ascii="宋体" w:hAnsi="宋体" w:eastAsia="宋体" w:cs="宋体"/>
          <w:i w:val="0"/>
          <w:iCs w:val="0"/>
          <w:caps w:val="0"/>
          <w:color w:val="333333"/>
          <w:spacing w:val="0"/>
          <w:sz w:val="22"/>
          <w:szCs w:val="22"/>
          <w:shd w:val="clear" w:fill="FFFFFF"/>
          <w:lang w:val="en-US" w:eastAsia="zh-CN"/>
        </w:rPr>
        <w:t>类</w:t>
      </w:r>
      <w:r>
        <w:rPr>
          <w:rFonts w:hint="eastAsia" w:ascii="宋体" w:hAnsi="宋体" w:eastAsia="宋体" w:cs="宋体"/>
          <w:i w:val="0"/>
          <w:iCs w:val="0"/>
          <w:caps w:val="0"/>
          <w:color w:val="333333"/>
          <w:spacing w:val="0"/>
          <w:sz w:val="22"/>
          <w:szCs w:val="22"/>
          <w:shd w:val="clear" w:fill="FFFFFF"/>
        </w:rPr>
        <w:t>”五类 ，</w:t>
      </w:r>
      <w:r>
        <w:rPr>
          <w:rFonts w:hint="eastAsia" w:ascii="宋体" w:hAnsi="宋体" w:eastAsia="宋体" w:cs="宋体"/>
          <w:i w:val="0"/>
          <w:iCs w:val="0"/>
          <w:caps w:val="0"/>
          <w:color w:val="333333"/>
          <w:spacing w:val="0"/>
          <w:sz w:val="22"/>
          <w:szCs w:val="22"/>
          <w:shd w:val="clear" w:fill="FFFFFF"/>
          <w:lang w:val="en-US" w:eastAsia="zh-CN"/>
        </w:rPr>
        <w:t>加分</w:t>
      </w:r>
      <w:r>
        <w:rPr>
          <w:rFonts w:hint="eastAsia" w:ascii="宋体" w:hAnsi="宋体" w:eastAsia="宋体" w:cs="宋体"/>
          <w:i w:val="0"/>
          <w:iCs w:val="0"/>
          <w:caps w:val="0"/>
          <w:color w:val="333333"/>
          <w:spacing w:val="0"/>
          <w:sz w:val="22"/>
          <w:szCs w:val="22"/>
          <w:shd w:val="clear" w:fill="FFFFFF"/>
        </w:rPr>
        <w:t>详细内容</w:t>
      </w:r>
      <w:r>
        <w:rPr>
          <w:rFonts w:hint="eastAsia" w:ascii="宋体" w:hAnsi="宋体" w:eastAsia="宋体" w:cs="宋体"/>
          <w:i w:val="0"/>
          <w:iCs w:val="0"/>
          <w:caps w:val="0"/>
          <w:color w:val="333333"/>
          <w:spacing w:val="0"/>
          <w:sz w:val="22"/>
          <w:szCs w:val="22"/>
          <w:shd w:val="clear" w:fill="FFFFFF"/>
          <w:lang w:val="en-US" w:eastAsia="zh-CN"/>
        </w:rPr>
        <w:t>参见《成都信息工程大学2026届推免生综合素质加分细则</w:t>
      </w:r>
      <w:r>
        <w:rPr>
          <w:rFonts w:hint="eastAsia" w:ascii="宋体" w:hAnsi="宋体" w:eastAsia="宋体" w:cs="宋体"/>
          <w:i w:val="0"/>
          <w:iCs w:val="0"/>
          <w:caps w:val="0"/>
          <w:color w:val="333333"/>
          <w:spacing w:val="0"/>
          <w:sz w:val="22"/>
          <w:szCs w:val="22"/>
          <w:shd w:val="clear" w:fill="FFFFFF"/>
        </w:rPr>
        <w:t>（试行稿）</w:t>
      </w:r>
      <w:r>
        <w:rPr>
          <w:rFonts w:hint="eastAsia" w:ascii="宋体" w:hAnsi="宋体" w:eastAsia="宋体" w:cs="宋体"/>
          <w:i w:val="0"/>
          <w:iCs w:val="0"/>
          <w:caps w:val="0"/>
          <w:color w:val="333333"/>
          <w:spacing w:val="0"/>
          <w:sz w:val="22"/>
          <w:szCs w:val="22"/>
          <w:shd w:val="clear" w:fill="FFFFFF"/>
          <w:lang w:val="en-US" w:eastAsia="zh-CN"/>
        </w:rPr>
        <w:t>》和《成都信息工程大学统计学院2026届推免生综合素质加分细则》的附件1-6</w:t>
      </w:r>
      <w:r>
        <w:rPr>
          <w:rFonts w:hint="eastAsia" w:ascii="宋体" w:hAnsi="宋体" w:eastAsia="宋体" w:cs="宋体"/>
          <w:i w:val="0"/>
          <w:iCs w:val="0"/>
          <w:caps w:val="0"/>
          <w:color w:val="333333"/>
          <w:spacing w:val="0"/>
          <w:sz w:val="22"/>
          <w:szCs w:val="22"/>
          <w:shd w:val="clear" w:fill="FFFFFF"/>
        </w:rPr>
        <w:t>。</w:t>
      </w:r>
    </w:p>
    <w:p w14:paraId="5B62806C">
      <w:pPr>
        <w:jc w:val="center"/>
        <w:rPr>
          <w:rFonts w:hint="eastAsia" w:ascii="宋体" w:hAnsi="宋体" w:eastAsia="宋体" w:cs="宋体"/>
          <w:b/>
          <w:bCs/>
          <w:sz w:val="32"/>
          <w:szCs w:val="32"/>
          <w:lang w:val="en-US" w:eastAsia="zh-CN"/>
        </w:rPr>
      </w:pPr>
    </w:p>
    <w:p w14:paraId="4A27966E">
      <w:pPr>
        <w:jc w:val="right"/>
        <w:rPr>
          <w:rFonts w:hint="eastAsia" w:ascii="宋体" w:hAnsi="宋体" w:eastAsia="宋体" w:cs="宋体"/>
          <w:b/>
          <w:bCs/>
          <w:sz w:val="32"/>
          <w:szCs w:val="32"/>
          <w:lang w:val="en-US" w:eastAsia="zh-CN"/>
        </w:rPr>
      </w:pPr>
    </w:p>
    <w:p w14:paraId="6DF9DB64">
      <w:pPr>
        <w:jc w:val="righ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成都信息工程大学统计学院</w:t>
      </w:r>
    </w:p>
    <w:p w14:paraId="435F4DD9">
      <w:pPr>
        <w:jc w:val="right"/>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2025年8月27日</w:t>
      </w:r>
    </w:p>
    <w:p w14:paraId="1C94B6C7">
      <w:pPr>
        <w:jc w:val="both"/>
        <w:rPr>
          <w:rFonts w:hint="eastAsia" w:ascii="宋体" w:hAnsi="宋体" w:eastAsia="宋体" w:cs="宋体"/>
          <w:b w:val="0"/>
          <w:bCs w:val="0"/>
          <w:sz w:val="24"/>
          <w:szCs w:val="24"/>
          <w:lang w:val="en-US" w:eastAsia="zh-CN"/>
        </w:rPr>
      </w:pPr>
    </w:p>
    <w:p w14:paraId="3F8B0038">
      <w:pPr>
        <w:jc w:val="both"/>
        <w:rPr>
          <w:rFonts w:hint="eastAsia" w:ascii="宋体" w:hAnsi="宋体" w:eastAsia="宋体" w:cs="宋体"/>
          <w:b w:val="0"/>
          <w:bCs w:val="0"/>
          <w:sz w:val="24"/>
          <w:szCs w:val="24"/>
          <w:lang w:val="en-US" w:eastAsia="zh-CN"/>
        </w:rPr>
      </w:pPr>
    </w:p>
    <w:p w14:paraId="0F712443">
      <w:pPr>
        <w:jc w:val="both"/>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附件1-6   成都信息工程大学统计学院2026届推免生综合素质加分细则 </w:t>
      </w:r>
    </w:p>
    <w:p w14:paraId="2CC89577">
      <w:pPr>
        <w:jc w:val="center"/>
        <w:rPr>
          <w:rFonts w:hint="eastAsia" w:ascii="宋体" w:hAnsi="宋体" w:eastAsia="宋体" w:cs="宋体"/>
          <w:b/>
          <w:bCs/>
          <w:sz w:val="32"/>
          <w:szCs w:val="32"/>
          <w:lang w:val="en-US" w:eastAsia="zh-CN"/>
        </w:rPr>
      </w:pPr>
    </w:p>
    <w:p w14:paraId="056C329C">
      <w:pPr>
        <w:jc w:val="center"/>
        <w:rPr>
          <w:rFonts w:hint="eastAsia" w:ascii="宋体" w:hAnsi="宋体" w:eastAsia="宋体" w:cs="宋体"/>
          <w:b/>
          <w:bCs/>
          <w:sz w:val="32"/>
          <w:szCs w:val="32"/>
          <w:lang w:val="en-US" w:eastAsia="zh-CN"/>
        </w:rPr>
      </w:pPr>
    </w:p>
    <w:p w14:paraId="722DCDBF">
      <w:pPr>
        <w:jc w:val="center"/>
        <w:rPr>
          <w:rFonts w:hint="eastAsia" w:ascii="宋体" w:hAnsi="宋体" w:eastAsia="宋体" w:cs="宋体"/>
          <w:b/>
          <w:bCs/>
          <w:sz w:val="32"/>
          <w:szCs w:val="32"/>
          <w:lang w:val="en-US" w:eastAsia="zh-CN"/>
        </w:rPr>
      </w:pPr>
    </w:p>
    <w:p w14:paraId="75643EC1">
      <w:pPr>
        <w:jc w:val="center"/>
        <w:rPr>
          <w:rFonts w:hint="eastAsia" w:ascii="宋体" w:hAnsi="宋体" w:eastAsia="宋体" w:cs="宋体"/>
          <w:b/>
          <w:bCs/>
          <w:sz w:val="32"/>
          <w:szCs w:val="32"/>
          <w:lang w:val="en-US" w:eastAsia="zh-CN"/>
        </w:rPr>
      </w:pPr>
    </w:p>
    <w:p w14:paraId="72ADE442">
      <w:pPr>
        <w:jc w:val="center"/>
        <w:rPr>
          <w:rFonts w:hint="eastAsia" w:ascii="宋体" w:hAnsi="宋体" w:eastAsia="宋体" w:cs="宋体"/>
          <w:b/>
          <w:bCs/>
          <w:sz w:val="32"/>
          <w:szCs w:val="32"/>
          <w:lang w:val="en-US" w:eastAsia="zh-CN"/>
        </w:rPr>
      </w:pPr>
    </w:p>
    <w:p w14:paraId="71BE1AA0">
      <w:pPr>
        <w:jc w:val="center"/>
        <w:rPr>
          <w:rFonts w:hint="eastAsia" w:ascii="宋体" w:hAnsi="宋体" w:eastAsia="宋体" w:cs="宋体"/>
          <w:b/>
          <w:bCs/>
          <w:sz w:val="32"/>
          <w:szCs w:val="32"/>
          <w:lang w:val="en-US" w:eastAsia="zh-CN"/>
        </w:rPr>
      </w:pPr>
    </w:p>
    <w:p w14:paraId="7E792D8B">
      <w:pPr>
        <w:jc w:val="center"/>
        <w:rPr>
          <w:rFonts w:hint="eastAsia" w:ascii="宋体" w:hAnsi="宋体" w:eastAsia="宋体" w:cs="宋体"/>
          <w:b/>
          <w:bCs/>
          <w:sz w:val="32"/>
          <w:szCs w:val="32"/>
          <w:lang w:val="en-US" w:eastAsia="zh-CN"/>
        </w:rPr>
      </w:pPr>
    </w:p>
    <w:p w14:paraId="1F8BD0BD">
      <w:pPr>
        <w:jc w:val="center"/>
        <w:rPr>
          <w:rFonts w:hint="eastAsia" w:ascii="宋体" w:hAnsi="宋体" w:eastAsia="宋体" w:cs="宋体"/>
          <w:b/>
          <w:bCs/>
          <w:sz w:val="28"/>
          <w:szCs w:val="28"/>
          <w:lang w:val="en-US" w:eastAsia="zh-CN"/>
        </w:rPr>
      </w:pPr>
    </w:p>
    <w:p w14:paraId="2F6CE0D0">
      <w:pPr>
        <w:jc w:val="center"/>
        <w:rPr>
          <w:rFonts w:hint="eastAsia" w:ascii="宋体" w:hAnsi="宋体" w:eastAsia="宋体" w:cs="宋体"/>
          <w:b/>
          <w:bCs/>
          <w:sz w:val="28"/>
          <w:szCs w:val="28"/>
          <w:lang w:val="en-US" w:eastAsia="zh-CN"/>
        </w:rPr>
      </w:pPr>
    </w:p>
    <w:p w14:paraId="6C8CE7A1">
      <w:p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附件1   成都信息工程大学统计学院</w:t>
      </w:r>
      <w:r>
        <w:rPr>
          <w:rFonts w:hint="eastAsia" w:ascii="宋体" w:hAnsi="宋体" w:eastAsia="宋体" w:cs="宋体"/>
          <w:b/>
          <w:bCs/>
          <w:sz w:val="28"/>
          <w:szCs w:val="28"/>
        </w:rPr>
        <w:t>学生</w:t>
      </w:r>
      <w:r>
        <w:rPr>
          <w:rFonts w:hint="eastAsia" w:ascii="宋体" w:hAnsi="宋体" w:eastAsia="宋体" w:cs="宋体"/>
          <w:b/>
          <w:bCs/>
          <w:sz w:val="28"/>
          <w:szCs w:val="28"/>
          <w:lang w:val="en-US" w:eastAsia="zh-CN"/>
        </w:rPr>
        <w:t>学科</w:t>
      </w:r>
      <w:r>
        <w:rPr>
          <w:rFonts w:hint="eastAsia" w:ascii="宋体" w:hAnsi="宋体" w:eastAsia="宋体" w:cs="宋体"/>
          <w:b/>
          <w:bCs/>
          <w:sz w:val="28"/>
          <w:szCs w:val="28"/>
        </w:rPr>
        <w:t>竞赛获奖</w:t>
      </w:r>
      <w:r>
        <w:rPr>
          <w:rFonts w:hint="eastAsia" w:ascii="宋体" w:hAnsi="宋体" w:eastAsia="宋体" w:cs="宋体"/>
          <w:b/>
          <w:bCs/>
          <w:sz w:val="28"/>
          <w:szCs w:val="28"/>
          <w:lang w:val="en-US" w:eastAsia="zh-CN"/>
        </w:rPr>
        <w:t xml:space="preserve">     </w:t>
      </w:r>
    </w:p>
    <w:p w14:paraId="12D91CEC">
      <w:pPr>
        <w:jc w:val="center"/>
        <w:rPr>
          <w:rFonts w:hint="eastAsia" w:ascii="宋体" w:hAnsi="宋体" w:eastAsia="宋体" w:cs="宋体"/>
          <w:b/>
          <w:bCs/>
          <w:sz w:val="28"/>
          <w:szCs w:val="28"/>
        </w:rPr>
      </w:pPr>
      <w:r>
        <w:rPr>
          <w:rFonts w:hint="eastAsia" w:ascii="宋体" w:hAnsi="宋体" w:eastAsia="宋体" w:cs="宋体"/>
          <w:b/>
          <w:bCs/>
          <w:sz w:val="28"/>
          <w:szCs w:val="28"/>
        </w:rPr>
        <w:t>（</w:t>
      </w:r>
      <w:r>
        <w:rPr>
          <w:rFonts w:hint="eastAsia" w:ascii="宋体" w:hAnsi="宋体" w:eastAsia="宋体" w:cs="宋体"/>
          <w:b/>
          <w:bCs/>
          <w:sz w:val="28"/>
          <w:szCs w:val="28"/>
          <w:lang w:val="en-US" w:eastAsia="zh-CN"/>
        </w:rPr>
        <w:t>统计学院</w:t>
      </w:r>
      <w:r>
        <w:rPr>
          <w:rFonts w:hint="eastAsia" w:ascii="宋体" w:hAnsi="宋体" w:eastAsia="宋体" w:cs="宋体"/>
          <w:b/>
          <w:bCs/>
          <w:sz w:val="28"/>
          <w:szCs w:val="28"/>
        </w:rPr>
        <w:t>推免研究生加分</w:t>
      </w:r>
      <w:r>
        <w:rPr>
          <w:rFonts w:hint="eastAsia" w:ascii="宋体" w:hAnsi="宋体" w:eastAsia="宋体" w:cs="宋体"/>
          <w:b/>
          <w:bCs/>
          <w:sz w:val="28"/>
          <w:szCs w:val="28"/>
          <w:lang w:val="en-US" w:eastAsia="zh-CN"/>
        </w:rPr>
        <w:t>试行</w:t>
      </w:r>
      <w:r>
        <w:rPr>
          <w:rFonts w:hint="eastAsia" w:ascii="宋体" w:hAnsi="宋体" w:eastAsia="宋体" w:cs="宋体"/>
          <w:b/>
          <w:bCs/>
          <w:sz w:val="28"/>
          <w:szCs w:val="28"/>
        </w:rPr>
        <w:t>）</w:t>
      </w:r>
    </w:p>
    <w:p w14:paraId="17D477AB">
      <w:pPr>
        <w:jc w:val="left"/>
        <w:rPr>
          <w:rFonts w:hint="eastAsia" w:ascii="宋体" w:hAnsi="宋体" w:eastAsia="宋体" w:cs="宋体"/>
          <w:b/>
          <w:bCs/>
          <w:sz w:val="24"/>
          <w:szCs w:val="24"/>
        </w:rPr>
      </w:pPr>
      <w:r>
        <w:rPr>
          <w:rFonts w:hint="eastAsia" w:ascii="宋体" w:hAnsi="宋体" w:eastAsia="宋体" w:cs="宋体"/>
          <w:b/>
          <w:bCs/>
          <w:sz w:val="24"/>
          <w:szCs w:val="24"/>
          <w:lang w:val="en-US" w:eastAsia="zh-CN"/>
        </w:rPr>
        <w:t>一、统计学院</w:t>
      </w:r>
      <w:r>
        <w:rPr>
          <w:rFonts w:hint="eastAsia" w:ascii="宋体" w:hAnsi="宋体" w:eastAsia="宋体" w:cs="宋体"/>
          <w:b/>
          <w:bCs/>
          <w:sz w:val="24"/>
          <w:szCs w:val="24"/>
        </w:rPr>
        <w:t>学生</w:t>
      </w:r>
      <w:r>
        <w:rPr>
          <w:rFonts w:hint="eastAsia" w:ascii="宋体" w:hAnsi="宋体" w:eastAsia="宋体" w:cs="宋体"/>
          <w:b/>
          <w:bCs/>
          <w:sz w:val="24"/>
          <w:szCs w:val="24"/>
          <w:lang w:val="en-US" w:eastAsia="zh-CN"/>
        </w:rPr>
        <w:t>参加统计学院组织学科</w:t>
      </w:r>
      <w:r>
        <w:rPr>
          <w:rFonts w:hint="eastAsia" w:ascii="宋体" w:hAnsi="宋体" w:eastAsia="宋体" w:cs="宋体"/>
          <w:b/>
          <w:bCs/>
          <w:sz w:val="24"/>
          <w:szCs w:val="24"/>
        </w:rPr>
        <w:t>竞赛获奖清单</w:t>
      </w:r>
    </w:p>
    <w:p w14:paraId="2DEC8C4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b/>
          <w:bCs/>
          <w:color w:val="000000"/>
          <w:kern w:val="0"/>
          <w:sz w:val="24"/>
          <w:szCs w:val="24"/>
          <w:lang w:val="en-US" w:eastAsia="zh-CN" w:bidi="ar"/>
        </w:rPr>
        <w:t>1、统计学院学科竞赛加分细则</w:t>
      </w:r>
    </w:p>
    <w:tbl>
      <w:tblPr>
        <w:tblStyle w:val="5"/>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6"/>
        <w:gridCol w:w="1086"/>
        <w:gridCol w:w="1612"/>
        <w:gridCol w:w="1314"/>
        <w:gridCol w:w="1310"/>
      </w:tblGrid>
      <w:tr w14:paraId="54BD2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2" w:type="dxa"/>
            <w:gridSpan w:val="2"/>
            <w:vMerge w:val="restart"/>
            <w:vAlign w:val="center"/>
          </w:tcPr>
          <w:p w14:paraId="2A44F4A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加分项目类别</w:t>
            </w:r>
          </w:p>
        </w:tc>
        <w:tc>
          <w:tcPr>
            <w:tcW w:w="4236" w:type="dxa"/>
            <w:gridSpan w:val="3"/>
            <w:vAlign w:val="center"/>
          </w:tcPr>
          <w:p w14:paraId="34162D9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加分标准</w:t>
            </w:r>
          </w:p>
        </w:tc>
      </w:tr>
      <w:tr w14:paraId="3CD08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2" w:type="dxa"/>
            <w:gridSpan w:val="2"/>
            <w:vMerge w:val="continue"/>
            <w:vAlign w:val="center"/>
          </w:tcPr>
          <w:p w14:paraId="3916181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p>
        </w:tc>
        <w:tc>
          <w:tcPr>
            <w:tcW w:w="1612" w:type="dxa"/>
            <w:vAlign w:val="center"/>
          </w:tcPr>
          <w:p w14:paraId="26400F8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一等奖</w:t>
            </w:r>
          </w:p>
        </w:tc>
        <w:tc>
          <w:tcPr>
            <w:tcW w:w="1314" w:type="dxa"/>
            <w:vAlign w:val="center"/>
          </w:tcPr>
          <w:p w14:paraId="31EC09D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二等奖</w:t>
            </w:r>
          </w:p>
        </w:tc>
        <w:tc>
          <w:tcPr>
            <w:tcW w:w="1310" w:type="dxa"/>
            <w:vAlign w:val="center"/>
          </w:tcPr>
          <w:p w14:paraId="53AAAB0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三等奖</w:t>
            </w:r>
          </w:p>
        </w:tc>
      </w:tr>
      <w:tr w14:paraId="440DF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66" w:type="dxa"/>
            <w:vMerge w:val="restart"/>
            <w:vAlign w:val="center"/>
          </w:tcPr>
          <w:p w14:paraId="44B2E3F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统计学院学科竞赛获奖(B1类竞赛单项加分最高不超过2分)</w:t>
            </w:r>
          </w:p>
        </w:tc>
        <w:tc>
          <w:tcPr>
            <w:tcW w:w="1086" w:type="dxa"/>
            <w:shd w:val="clear" w:color="auto" w:fill="auto"/>
            <w:vAlign w:val="center"/>
          </w:tcPr>
          <w:p w14:paraId="07015B8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国家级</w:t>
            </w:r>
          </w:p>
        </w:tc>
        <w:tc>
          <w:tcPr>
            <w:tcW w:w="1612" w:type="dxa"/>
            <w:shd w:val="clear" w:color="auto" w:fill="auto"/>
            <w:vAlign w:val="center"/>
          </w:tcPr>
          <w:p w14:paraId="71B5A32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2分/项</w:t>
            </w:r>
          </w:p>
        </w:tc>
        <w:tc>
          <w:tcPr>
            <w:tcW w:w="1314" w:type="dxa"/>
            <w:shd w:val="clear" w:color="auto" w:fill="auto"/>
            <w:vAlign w:val="center"/>
          </w:tcPr>
          <w:p w14:paraId="5B02899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1.8分/项</w:t>
            </w:r>
          </w:p>
        </w:tc>
        <w:tc>
          <w:tcPr>
            <w:tcW w:w="1310" w:type="dxa"/>
            <w:shd w:val="clear" w:color="auto" w:fill="auto"/>
            <w:vAlign w:val="center"/>
          </w:tcPr>
          <w:p w14:paraId="6ED63B8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1.6分/项</w:t>
            </w:r>
          </w:p>
        </w:tc>
      </w:tr>
      <w:tr w14:paraId="7A8E3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3466" w:type="dxa"/>
            <w:vMerge w:val="continue"/>
            <w:vAlign w:val="center"/>
          </w:tcPr>
          <w:p w14:paraId="30C45C8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1086" w:type="dxa"/>
            <w:shd w:val="clear" w:color="auto" w:fill="auto"/>
            <w:vAlign w:val="center"/>
          </w:tcPr>
          <w:p w14:paraId="7DE64A1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省级</w:t>
            </w:r>
          </w:p>
        </w:tc>
        <w:tc>
          <w:tcPr>
            <w:tcW w:w="1612" w:type="dxa"/>
            <w:shd w:val="clear" w:color="auto" w:fill="auto"/>
            <w:vAlign w:val="center"/>
          </w:tcPr>
          <w:p w14:paraId="75955DB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1.4分/项</w:t>
            </w:r>
          </w:p>
        </w:tc>
        <w:tc>
          <w:tcPr>
            <w:tcW w:w="1314" w:type="dxa"/>
            <w:shd w:val="clear" w:color="auto" w:fill="auto"/>
            <w:vAlign w:val="center"/>
          </w:tcPr>
          <w:p w14:paraId="51C340A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1分/项</w:t>
            </w:r>
          </w:p>
        </w:tc>
        <w:tc>
          <w:tcPr>
            <w:tcW w:w="1310" w:type="dxa"/>
            <w:shd w:val="clear" w:color="auto" w:fill="auto"/>
            <w:vAlign w:val="center"/>
          </w:tcPr>
          <w:p w14:paraId="61AAC2F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0.8分/项</w:t>
            </w:r>
          </w:p>
        </w:tc>
      </w:tr>
      <w:tr w14:paraId="00540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3466" w:type="dxa"/>
            <w:vMerge w:val="restart"/>
            <w:vAlign w:val="center"/>
          </w:tcPr>
          <w:p w14:paraId="1A91F13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统计学院学科竞赛获奖(其他B类竞赛单项加分最高不超过1分)</w:t>
            </w:r>
          </w:p>
        </w:tc>
        <w:tc>
          <w:tcPr>
            <w:tcW w:w="1086" w:type="dxa"/>
            <w:shd w:val="clear" w:color="auto" w:fill="auto"/>
            <w:vAlign w:val="center"/>
          </w:tcPr>
          <w:p w14:paraId="44F0F73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国家级</w:t>
            </w:r>
          </w:p>
        </w:tc>
        <w:tc>
          <w:tcPr>
            <w:tcW w:w="1612" w:type="dxa"/>
            <w:shd w:val="clear" w:color="auto" w:fill="auto"/>
            <w:vAlign w:val="center"/>
          </w:tcPr>
          <w:p w14:paraId="389F863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1分/项</w:t>
            </w:r>
          </w:p>
        </w:tc>
        <w:tc>
          <w:tcPr>
            <w:tcW w:w="1314" w:type="dxa"/>
            <w:shd w:val="clear" w:color="auto" w:fill="auto"/>
            <w:vAlign w:val="center"/>
          </w:tcPr>
          <w:p w14:paraId="78A79FE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0.8分/项</w:t>
            </w:r>
          </w:p>
        </w:tc>
        <w:tc>
          <w:tcPr>
            <w:tcW w:w="1310" w:type="dxa"/>
            <w:shd w:val="clear" w:color="auto" w:fill="auto"/>
            <w:vAlign w:val="center"/>
          </w:tcPr>
          <w:p w14:paraId="0051EC1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0.6分/项</w:t>
            </w:r>
          </w:p>
        </w:tc>
      </w:tr>
      <w:tr w14:paraId="24DE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466" w:type="dxa"/>
            <w:vMerge w:val="continue"/>
            <w:vAlign w:val="center"/>
          </w:tcPr>
          <w:p w14:paraId="27D6E1E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1086" w:type="dxa"/>
            <w:shd w:val="clear" w:color="auto" w:fill="auto"/>
            <w:vAlign w:val="center"/>
          </w:tcPr>
          <w:p w14:paraId="5226ECA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省级</w:t>
            </w:r>
          </w:p>
        </w:tc>
        <w:tc>
          <w:tcPr>
            <w:tcW w:w="1612" w:type="dxa"/>
            <w:shd w:val="clear" w:color="auto" w:fill="auto"/>
            <w:vAlign w:val="center"/>
          </w:tcPr>
          <w:p w14:paraId="39C67C5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0.5分/项</w:t>
            </w:r>
          </w:p>
        </w:tc>
        <w:tc>
          <w:tcPr>
            <w:tcW w:w="1314" w:type="dxa"/>
            <w:shd w:val="clear" w:color="auto" w:fill="auto"/>
            <w:vAlign w:val="center"/>
          </w:tcPr>
          <w:p w14:paraId="10D5A80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0.4分/项</w:t>
            </w:r>
          </w:p>
        </w:tc>
        <w:tc>
          <w:tcPr>
            <w:tcW w:w="1310" w:type="dxa"/>
            <w:shd w:val="clear" w:color="auto" w:fill="auto"/>
            <w:vAlign w:val="center"/>
          </w:tcPr>
          <w:p w14:paraId="37AB58F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0.3分/项</w:t>
            </w:r>
          </w:p>
        </w:tc>
      </w:tr>
      <w:tr w14:paraId="1DEB1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3466" w:type="dxa"/>
            <w:vMerge w:val="restart"/>
            <w:shd w:val="clear" w:color="auto" w:fill="auto"/>
            <w:vAlign w:val="center"/>
          </w:tcPr>
          <w:p w14:paraId="1927835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统计学院其他类学科竞赛获奖(单项加分最高不超过0.2分,累计不超过0.5分)</w:t>
            </w:r>
          </w:p>
        </w:tc>
        <w:tc>
          <w:tcPr>
            <w:tcW w:w="1086" w:type="dxa"/>
            <w:shd w:val="clear" w:color="auto" w:fill="auto"/>
            <w:vAlign w:val="center"/>
          </w:tcPr>
          <w:p w14:paraId="1E52B06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国家级</w:t>
            </w:r>
          </w:p>
        </w:tc>
        <w:tc>
          <w:tcPr>
            <w:tcW w:w="1612" w:type="dxa"/>
            <w:shd w:val="clear" w:color="auto" w:fill="auto"/>
            <w:vAlign w:val="center"/>
          </w:tcPr>
          <w:p w14:paraId="27B911E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0.2分/项</w:t>
            </w:r>
          </w:p>
        </w:tc>
        <w:tc>
          <w:tcPr>
            <w:tcW w:w="1314" w:type="dxa"/>
            <w:shd w:val="clear" w:color="auto" w:fill="auto"/>
            <w:vAlign w:val="center"/>
          </w:tcPr>
          <w:p w14:paraId="612B535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0.15分/项</w:t>
            </w:r>
          </w:p>
        </w:tc>
        <w:tc>
          <w:tcPr>
            <w:tcW w:w="1310" w:type="dxa"/>
            <w:shd w:val="clear" w:color="auto" w:fill="auto"/>
            <w:vAlign w:val="center"/>
          </w:tcPr>
          <w:p w14:paraId="47EFF12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0.1分/项</w:t>
            </w:r>
          </w:p>
        </w:tc>
      </w:tr>
      <w:tr w14:paraId="41262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3466" w:type="dxa"/>
            <w:vMerge w:val="continue"/>
            <w:shd w:val="clear" w:color="auto" w:fill="auto"/>
            <w:vAlign w:val="center"/>
          </w:tcPr>
          <w:p w14:paraId="49C308A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p>
        </w:tc>
        <w:tc>
          <w:tcPr>
            <w:tcW w:w="1086" w:type="dxa"/>
            <w:shd w:val="clear" w:color="auto" w:fill="auto"/>
            <w:vAlign w:val="center"/>
          </w:tcPr>
          <w:p w14:paraId="1FEAA2A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省级</w:t>
            </w:r>
          </w:p>
        </w:tc>
        <w:tc>
          <w:tcPr>
            <w:tcW w:w="1612" w:type="dxa"/>
            <w:shd w:val="clear" w:color="auto" w:fill="auto"/>
            <w:vAlign w:val="center"/>
          </w:tcPr>
          <w:p w14:paraId="3F79D34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0.08分/项</w:t>
            </w:r>
          </w:p>
        </w:tc>
        <w:tc>
          <w:tcPr>
            <w:tcW w:w="1314" w:type="dxa"/>
            <w:shd w:val="clear" w:color="auto" w:fill="auto"/>
            <w:vAlign w:val="center"/>
          </w:tcPr>
          <w:p w14:paraId="1B831A1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0.06分/项</w:t>
            </w:r>
          </w:p>
        </w:tc>
        <w:tc>
          <w:tcPr>
            <w:tcW w:w="1310" w:type="dxa"/>
            <w:shd w:val="clear" w:color="auto" w:fill="auto"/>
            <w:vAlign w:val="center"/>
          </w:tcPr>
          <w:p w14:paraId="4C007B8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0.04分/项</w:t>
            </w:r>
          </w:p>
        </w:tc>
      </w:tr>
    </w:tbl>
    <w:p w14:paraId="5E723B07">
      <w:pPr>
        <w:rPr>
          <w:rFonts w:hint="eastAsia" w:ascii="宋体" w:hAnsi="宋体" w:eastAsia="宋体" w:cs="宋体"/>
          <w:sz w:val="21"/>
          <w:szCs w:val="21"/>
          <w:lang w:val="en-US" w:eastAsia="zh-CN"/>
        </w:rPr>
      </w:pPr>
      <w:r>
        <w:rPr>
          <w:rFonts w:hint="eastAsia" w:ascii="宋体" w:hAnsi="宋体" w:eastAsia="宋体" w:cs="宋体"/>
          <w:sz w:val="21"/>
          <w:szCs w:val="21"/>
          <w:lang w:eastAsia="zh-CN"/>
        </w:rPr>
        <w:t>备注</w:t>
      </w:r>
      <w:r>
        <w:rPr>
          <w:rFonts w:hint="eastAsia" w:ascii="宋体" w:hAnsi="宋体" w:eastAsia="宋体" w:cs="宋体"/>
          <w:sz w:val="21"/>
          <w:szCs w:val="21"/>
          <w:lang w:val="en-US" w:eastAsia="zh-CN"/>
        </w:rPr>
        <w:t>:</w:t>
      </w:r>
    </w:p>
    <w:p w14:paraId="7C8E1430">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（1）学科竞赛获奖的类别、级别、等次和排名根据《成都信息工程大学本科生学科竞赛管理办法》（成信校发〔2021〕175 号）认定；</w:t>
      </w:r>
    </w:p>
    <w:p w14:paraId="7BB5A762">
      <w:pPr>
        <w:rPr>
          <w:rFonts w:hint="eastAsia" w:ascii="宋体" w:hAnsi="宋体" w:eastAsia="宋体" w:cs="宋体"/>
          <w:sz w:val="21"/>
          <w:szCs w:val="21"/>
        </w:rPr>
      </w:pPr>
      <w:r>
        <w:rPr>
          <w:rFonts w:hint="eastAsia" w:ascii="宋体" w:hAnsi="宋体" w:eastAsia="宋体" w:cs="宋体"/>
          <w:sz w:val="21"/>
          <w:szCs w:val="21"/>
          <w:lang w:val="en-US" w:eastAsia="zh-CN"/>
        </w:rPr>
        <w:t>（2）团队参赛，团队队长（或组长）按标准分的1.0系数计算，团队其他成员按标准分的0.8系数计算，其中团队队长（或组长）按获奖证书排名第一的同学认定为队长（或组长）。若无队长，团队成员都按标准分的1.0系数计算。</w:t>
      </w:r>
    </w:p>
    <w:p w14:paraId="6C408B80">
      <w:pPr>
        <w:rPr>
          <w:rFonts w:hint="eastAsia" w:ascii="宋体" w:hAnsi="宋体" w:eastAsia="宋体" w:cs="宋体"/>
          <w:sz w:val="24"/>
          <w:szCs w:val="24"/>
        </w:rPr>
      </w:pPr>
    </w:p>
    <w:p w14:paraId="1F1C460E">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firstLine="723" w:firstLineChars="300"/>
        <w:jc w:val="both"/>
        <w:textAlignment w:val="auto"/>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2、统计学院学科竞赛名单</w:t>
      </w:r>
    </w:p>
    <w:tbl>
      <w:tblPr>
        <w:tblStyle w:val="4"/>
        <w:tblW w:w="855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3"/>
        <w:gridCol w:w="4437"/>
        <w:gridCol w:w="1925"/>
        <w:gridCol w:w="1375"/>
      </w:tblGrid>
      <w:tr w14:paraId="73746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6AB9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序号</w:t>
            </w:r>
          </w:p>
        </w:tc>
        <w:tc>
          <w:tcPr>
            <w:tcW w:w="4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0FAA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竞赛全称</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961D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竞赛级别</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BD7D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竞赛类别</w:t>
            </w:r>
          </w:p>
        </w:tc>
      </w:tr>
      <w:tr w14:paraId="2C972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D25B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1</w:t>
            </w:r>
          </w:p>
        </w:tc>
        <w:tc>
          <w:tcPr>
            <w:tcW w:w="4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B38F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全国大学生统计建模大赛</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646F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国家级/省级</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2FE7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B1</w:t>
            </w:r>
          </w:p>
        </w:tc>
      </w:tr>
      <w:tr w14:paraId="55362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 w:hRule="atLeast"/>
        </w:trPr>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92E7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2</w:t>
            </w:r>
          </w:p>
        </w:tc>
        <w:tc>
          <w:tcPr>
            <w:tcW w:w="4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B8F4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全国大学生市场调查与分析大赛</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18C2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国家级/省级</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762F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B2</w:t>
            </w:r>
          </w:p>
        </w:tc>
      </w:tr>
      <w:tr w14:paraId="24E75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883A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3</w:t>
            </w:r>
          </w:p>
        </w:tc>
        <w:tc>
          <w:tcPr>
            <w:tcW w:w="4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CF5C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全国大学生金融创新大赛</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3D46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国家级/省级</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7E72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其他</w:t>
            </w:r>
          </w:p>
        </w:tc>
      </w:tr>
      <w:tr w14:paraId="1D6C0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DD39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4</w:t>
            </w:r>
          </w:p>
        </w:tc>
        <w:tc>
          <w:tcPr>
            <w:tcW w:w="4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03DC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四川省大学生证券投资模拟大赛</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5B9B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省级</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B4AD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B3</w:t>
            </w:r>
          </w:p>
        </w:tc>
      </w:tr>
      <w:tr w14:paraId="5886B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 w:hRule="atLeast"/>
        </w:trPr>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8F7D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5</w:t>
            </w:r>
          </w:p>
        </w:tc>
        <w:tc>
          <w:tcPr>
            <w:tcW w:w="4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77B6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POCIB全国外贸从业能力大赛</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6E83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国家级/省级</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0450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其他</w:t>
            </w:r>
          </w:p>
        </w:tc>
      </w:tr>
      <w:tr w14:paraId="38582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34F2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6</w:t>
            </w:r>
          </w:p>
        </w:tc>
        <w:tc>
          <w:tcPr>
            <w:tcW w:w="4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CEA1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全国大学生数字贸易综合技能大赛</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BEFA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国家级/省级</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BAE0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其他</w:t>
            </w:r>
          </w:p>
        </w:tc>
      </w:tr>
      <w:tr w14:paraId="7EAE8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 w:hRule="atLeast"/>
        </w:trPr>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0ACD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7</w:t>
            </w:r>
          </w:p>
        </w:tc>
        <w:tc>
          <w:tcPr>
            <w:tcW w:w="4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9F21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全国大学生数据要素素质大赛</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C55B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国家级/省级</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8FC5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其他</w:t>
            </w:r>
          </w:p>
        </w:tc>
      </w:tr>
      <w:tr w14:paraId="3AB9B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 w:hRule="atLeast"/>
        </w:trPr>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5013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8</w:t>
            </w:r>
          </w:p>
        </w:tc>
        <w:tc>
          <w:tcPr>
            <w:tcW w:w="4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3F9F5">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全国大学生金融挑战赛</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DD09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国家级/省级</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4B7E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其他</w:t>
            </w:r>
          </w:p>
        </w:tc>
      </w:tr>
      <w:tr w14:paraId="6F07E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3391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9</w:t>
            </w:r>
          </w:p>
        </w:tc>
        <w:tc>
          <w:tcPr>
            <w:tcW w:w="4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0792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全国大学生金融模拟交易大赛</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3E91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国家级/省级</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ECC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其他</w:t>
            </w:r>
          </w:p>
        </w:tc>
      </w:tr>
      <w:tr w14:paraId="3F318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 w:hRule="atLeast"/>
        </w:trPr>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2551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10</w:t>
            </w:r>
          </w:p>
        </w:tc>
        <w:tc>
          <w:tcPr>
            <w:tcW w:w="4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595D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全国高校ETF知识及理财规划大赛</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DC95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国家级/省级</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6B0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其他</w:t>
            </w:r>
          </w:p>
        </w:tc>
      </w:tr>
    </w:tbl>
    <w:p w14:paraId="28FC7D00">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both"/>
        <w:textAlignment w:val="auto"/>
        <w:rPr>
          <w:rFonts w:hint="eastAsia" w:ascii="宋体" w:hAnsi="宋体" w:eastAsia="宋体" w:cs="宋体"/>
          <w:b/>
          <w:bCs/>
          <w:color w:val="000000"/>
          <w:kern w:val="0"/>
          <w:sz w:val="24"/>
          <w:szCs w:val="24"/>
          <w:lang w:val="en-US" w:eastAsia="zh-CN" w:bidi="ar"/>
        </w:rPr>
      </w:pPr>
    </w:p>
    <w:p w14:paraId="3CCAE0BF">
      <w:pPr>
        <w:keepNext w:val="0"/>
        <w:keepLines w:val="0"/>
        <w:pageBreakBefore w:val="0"/>
        <w:widowControl/>
        <w:numPr>
          <w:ilvl w:val="0"/>
          <w:numId w:val="1"/>
        </w:numPr>
        <w:suppressLineNumbers w:val="0"/>
        <w:kinsoku/>
        <w:wordWrap/>
        <w:overflowPunct/>
        <w:topLinePunct w:val="0"/>
        <w:autoSpaceDE/>
        <w:autoSpaceDN/>
        <w:bidi w:val="0"/>
        <w:adjustRightInd/>
        <w:snapToGrid/>
        <w:ind w:leftChars="0"/>
        <w:jc w:val="both"/>
        <w:textAlignment w:val="auto"/>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统计学院学生参加数学类学生竞赛获奖清单</w:t>
      </w:r>
    </w:p>
    <w:p w14:paraId="60BE7E75">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both"/>
        <w:textAlignment w:val="auto"/>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1、数学类学科竞赛加分清单</w:t>
      </w:r>
    </w:p>
    <w:tbl>
      <w:tblPr>
        <w:tblStyle w:val="5"/>
        <w:tblpPr w:leftFromText="180" w:rightFromText="180" w:vertAnchor="text" w:horzAnchor="page" w:tblpX="1893" w:tblpY="299"/>
        <w:tblOverlap w:val="never"/>
        <w:tblW w:w="86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33"/>
        <w:gridCol w:w="920"/>
        <w:gridCol w:w="1217"/>
        <w:gridCol w:w="1244"/>
        <w:gridCol w:w="1287"/>
      </w:tblGrid>
      <w:tr w14:paraId="44E75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3" w:type="dxa"/>
            <w:gridSpan w:val="2"/>
            <w:vMerge w:val="restart"/>
            <w:vAlign w:val="center"/>
          </w:tcPr>
          <w:p w14:paraId="2145A46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加分项目类别</w:t>
            </w:r>
          </w:p>
        </w:tc>
        <w:tc>
          <w:tcPr>
            <w:tcW w:w="3748" w:type="dxa"/>
            <w:gridSpan w:val="3"/>
            <w:vAlign w:val="center"/>
          </w:tcPr>
          <w:p w14:paraId="7216C6E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加分标准</w:t>
            </w:r>
          </w:p>
        </w:tc>
      </w:tr>
      <w:tr w14:paraId="35FD5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3" w:type="dxa"/>
            <w:gridSpan w:val="2"/>
            <w:vMerge w:val="continue"/>
            <w:vAlign w:val="center"/>
          </w:tcPr>
          <w:p w14:paraId="316FB05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p>
        </w:tc>
        <w:tc>
          <w:tcPr>
            <w:tcW w:w="1217" w:type="dxa"/>
            <w:vAlign w:val="center"/>
          </w:tcPr>
          <w:p w14:paraId="4500033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一等奖</w:t>
            </w:r>
          </w:p>
        </w:tc>
        <w:tc>
          <w:tcPr>
            <w:tcW w:w="1244" w:type="dxa"/>
            <w:vAlign w:val="center"/>
          </w:tcPr>
          <w:p w14:paraId="480E8B8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二等奖</w:t>
            </w:r>
          </w:p>
        </w:tc>
        <w:tc>
          <w:tcPr>
            <w:tcW w:w="1287" w:type="dxa"/>
            <w:vAlign w:val="center"/>
          </w:tcPr>
          <w:p w14:paraId="62C677F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三等奖</w:t>
            </w:r>
          </w:p>
        </w:tc>
      </w:tr>
      <w:tr w14:paraId="1B18A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3933" w:type="dxa"/>
            <w:vMerge w:val="restart"/>
            <w:vAlign w:val="center"/>
          </w:tcPr>
          <w:p w14:paraId="19239B9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数学类学科竞赛获奖</w:t>
            </w:r>
          </w:p>
          <w:p w14:paraId="3A4A481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(B1类竞赛单项加分最高不超过2分)</w:t>
            </w:r>
          </w:p>
        </w:tc>
        <w:tc>
          <w:tcPr>
            <w:tcW w:w="920" w:type="dxa"/>
            <w:shd w:val="clear" w:color="auto" w:fill="auto"/>
            <w:vAlign w:val="center"/>
          </w:tcPr>
          <w:p w14:paraId="1A69152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国家级</w:t>
            </w:r>
          </w:p>
        </w:tc>
        <w:tc>
          <w:tcPr>
            <w:tcW w:w="1217" w:type="dxa"/>
            <w:shd w:val="clear" w:color="auto" w:fill="auto"/>
            <w:vAlign w:val="center"/>
          </w:tcPr>
          <w:p w14:paraId="648C779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1.2分/项</w:t>
            </w:r>
          </w:p>
        </w:tc>
        <w:tc>
          <w:tcPr>
            <w:tcW w:w="1244" w:type="dxa"/>
            <w:shd w:val="clear" w:color="auto" w:fill="auto"/>
            <w:vAlign w:val="center"/>
          </w:tcPr>
          <w:p w14:paraId="07F1D6A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1分/项</w:t>
            </w:r>
          </w:p>
        </w:tc>
        <w:tc>
          <w:tcPr>
            <w:tcW w:w="1287" w:type="dxa"/>
            <w:shd w:val="clear" w:color="auto" w:fill="auto"/>
            <w:vAlign w:val="center"/>
          </w:tcPr>
          <w:p w14:paraId="0E03D21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p>
        </w:tc>
      </w:tr>
      <w:tr w14:paraId="1F15A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933" w:type="dxa"/>
            <w:vMerge w:val="continue"/>
            <w:vAlign w:val="center"/>
          </w:tcPr>
          <w:p w14:paraId="2422280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920" w:type="dxa"/>
            <w:shd w:val="clear" w:color="auto" w:fill="auto"/>
            <w:vAlign w:val="center"/>
          </w:tcPr>
          <w:p w14:paraId="75CE082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省级</w:t>
            </w:r>
          </w:p>
        </w:tc>
        <w:tc>
          <w:tcPr>
            <w:tcW w:w="1217" w:type="dxa"/>
            <w:shd w:val="clear" w:color="auto" w:fill="auto"/>
            <w:vAlign w:val="center"/>
          </w:tcPr>
          <w:p w14:paraId="57894D2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0.8分/项</w:t>
            </w:r>
          </w:p>
        </w:tc>
        <w:tc>
          <w:tcPr>
            <w:tcW w:w="1244" w:type="dxa"/>
            <w:shd w:val="clear" w:color="auto" w:fill="auto"/>
            <w:vAlign w:val="center"/>
          </w:tcPr>
          <w:p w14:paraId="54C313D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0.6分/项</w:t>
            </w:r>
          </w:p>
        </w:tc>
        <w:tc>
          <w:tcPr>
            <w:tcW w:w="1287" w:type="dxa"/>
            <w:shd w:val="clear" w:color="auto" w:fill="auto"/>
            <w:vAlign w:val="center"/>
          </w:tcPr>
          <w:p w14:paraId="134BF0A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0.5分/项</w:t>
            </w:r>
          </w:p>
        </w:tc>
      </w:tr>
      <w:tr w14:paraId="76500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33" w:type="dxa"/>
            <w:shd w:val="clear" w:color="auto" w:fill="auto"/>
            <w:vAlign w:val="center"/>
          </w:tcPr>
          <w:p w14:paraId="73F9C87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数学类国际学科竞赛获奖(参照B1类竞赛单项加分标准)</w:t>
            </w:r>
          </w:p>
        </w:tc>
        <w:tc>
          <w:tcPr>
            <w:tcW w:w="920" w:type="dxa"/>
            <w:shd w:val="clear" w:color="auto" w:fill="auto"/>
            <w:vAlign w:val="center"/>
          </w:tcPr>
          <w:p w14:paraId="51E75A8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国际级</w:t>
            </w:r>
          </w:p>
        </w:tc>
        <w:tc>
          <w:tcPr>
            <w:tcW w:w="1217" w:type="dxa"/>
            <w:shd w:val="clear" w:color="auto" w:fill="auto"/>
            <w:vAlign w:val="center"/>
          </w:tcPr>
          <w:p w14:paraId="2E60F24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1.2分/项</w:t>
            </w:r>
          </w:p>
        </w:tc>
        <w:tc>
          <w:tcPr>
            <w:tcW w:w="1244" w:type="dxa"/>
            <w:shd w:val="clear" w:color="auto" w:fill="auto"/>
            <w:vAlign w:val="center"/>
          </w:tcPr>
          <w:p w14:paraId="4BD7DCB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1分/项</w:t>
            </w:r>
          </w:p>
        </w:tc>
        <w:tc>
          <w:tcPr>
            <w:tcW w:w="1287" w:type="dxa"/>
            <w:shd w:val="clear" w:color="auto" w:fill="auto"/>
            <w:vAlign w:val="center"/>
          </w:tcPr>
          <w:p w14:paraId="478E907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0.8分/项</w:t>
            </w:r>
          </w:p>
        </w:tc>
      </w:tr>
      <w:tr w14:paraId="5759A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3933" w:type="dxa"/>
            <w:vMerge w:val="restart"/>
            <w:vAlign w:val="center"/>
          </w:tcPr>
          <w:p w14:paraId="46AEB24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数学类学科竞赛获奖</w:t>
            </w:r>
          </w:p>
          <w:p w14:paraId="61DE937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(其他B类竞赛单项加分最高不超过1分)</w:t>
            </w:r>
          </w:p>
        </w:tc>
        <w:tc>
          <w:tcPr>
            <w:tcW w:w="920" w:type="dxa"/>
            <w:shd w:val="clear" w:color="auto" w:fill="auto"/>
            <w:vAlign w:val="center"/>
          </w:tcPr>
          <w:p w14:paraId="7CB9DDD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国家级</w:t>
            </w:r>
          </w:p>
        </w:tc>
        <w:tc>
          <w:tcPr>
            <w:tcW w:w="1217" w:type="dxa"/>
            <w:shd w:val="clear" w:color="auto" w:fill="auto"/>
            <w:vAlign w:val="center"/>
          </w:tcPr>
          <w:p w14:paraId="5E7AB1E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0.6分/项</w:t>
            </w:r>
          </w:p>
        </w:tc>
        <w:tc>
          <w:tcPr>
            <w:tcW w:w="1244" w:type="dxa"/>
            <w:shd w:val="clear" w:color="auto" w:fill="auto"/>
            <w:vAlign w:val="center"/>
          </w:tcPr>
          <w:p w14:paraId="085EC97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0.5分/项</w:t>
            </w:r>
          </w:p>
        </w:tc>
        <w:tc>
          <w:tcPr>
            <w:tcW w:w="1287" w:type="dxa"/>
            <w:shd w:val="clear" w:color="auto" w:fill="auto"/>
            <w:vAlign w:val="center"/>
          </w:tcPr>
          <w:p w14:paraId="6D4225A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0.4分/项</w:t>
            </w:r>
          </w:p>
        </w:tc>
      </w:tr>
      <w:tr w14:paraId="2D01D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3933" w:type="dxa"/>
            <w:vMerge w:val="continue"/>
            <w:vAlign w:val="center"/>
          </w:tcPr>
          <w:p w14:paraId="06C470A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sz w:val="21"/>
                <w:szCs w:val="21"/>
                <w14:textFill>
                  <w14:solidFill>
                    <w14:schemeClr w14:val="tx1"/>
                  </w14:solidFill>
                </w14:textFill>
              </w:rPr>
            </w:pPr>
          </w:p>
        </w:tc>
        <w:tc>
          <w:tcPr>
            <w:tcW w:w="920" w:type="dxa"/>
            <w:shd w:val="clear" w:color="auto" w:fill="auto"/>
            <w:vAlign w:val="center"/>
          </w:tcPr>
          <w:p w14:paraId="691A19C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省级</w:t>
            </w:r>
          </w:p>
        </w:tc>
        <w:tc>
          <w:tcPr>
            <w:tcW w:w="1217" w:type="dxa"/>
            <w:shd w:val="clear" w:color="auto" w:fill="auto"/>
            <w:vAlign w:val="center"/>
          </w:tcPr>
          <w:p w14:paraId="4AB8C89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0.3分/项</w:t>
            </w:r>
          </w:p>
        </w:tc>
        <w:tc>
          <w:tcPr>
            <w:tcW w:w="1244" w:type="dxa"/>
            <w:shd w:val="clear" w:color="auto" w:fill="auto"/>
            <w:vAlign w:val="center"/>
          </w:tcPr>
          <w:p w14:paraId="5052D62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0.2分/项</w:t>
            </w:r>
          </w:p>
        </w:tc>
        <w:tc>
          <w:tcPr>
            <w:tcW w:w="1287" w:type="dxa"/>
            <w:shd w:val="clear" w:color="auto" w:fill="auto"/>
            <w:vAlign w:val="center"/>
          </w:tcPr>
          <w:p w14:paraId="32E0E4E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0.15分/项</w:t>
            </w:r>
          </w:p>
        </w:tc>
      </w:tr>
      <w:tr w14:paraId="43801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3933" w:type="dxa"/>
            <w:vMerge w:val="restart"/>
            <w:shd w:val="clear" w:color="auto" w:fill="auto"/>
            <w:vAlign w:val="center"/>
          </w:tcPr>
          <w:p w14:paraId="686FE8B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其他数学类学科竞赛获奖(单项加分最高不超过0.2分,累计不超过0.5分)</w:t>
            </w:r>
          </w:p>
        </w:tc>
        <w:tc>
          <w:tcPr>
            <w:tcW w:w="920" w:type="dxa"/>
            <w:shd w:val="clear" w:color="auto" w:fill="auto"/>
            <w:vAlign w:val="center"/>
          </w:tcPr>
          <w:p w14:paraId="49D374D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国家级</w:t>
            </w:r>
          </w:p>
        </w:tc>
        <w:tc>
          <w:tcPr>
            <w:tcW w:w="1217" w:type="dxa"/>
            <w:shd w:val="clear" w:color="auto" w:fill="auto"/>
            <w:vAlign w:val="center"/>
          </w:tcPr>
          <w:p w14:paraId="32E1F22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0.12分/项</w:t>
            </w:r>
          </w:p>
        </w:tc>
        <w:tc>
          <w:tcPr>
            <w:tcW w:w="1244" w:type="dxa"/>
            <w:shd w:val="clear" w:color="auto" w:fill="auto"/>
            <w:vAlign w:val="center"/>
          </w:tcPr>
          <w:p w14:paraId="13B35E0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0.09分/项</w:t>
            </w:r>
          </w:p>
        </w:tc>
        <w:tc>
          <w:tcPr>
            <w:tcW w:w="1287" w:type="dxa"/>
            <w:shd w:val="clear" w:color="auto" w:fill="auto"/>
            <w:vAlign w:val="center"/>
          </w:tcPr>
          <w:p w14:paraId="57DF60B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0.06分/项</w:t>
            </w:r>
          </w:p>
        </w:tc>
      </w:tr>
      <w:tr w14:paraId="59318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3933" w:type="dxa"/>
            <w:vMerge w:val="continue"/>
            <w:shd w:val="clear" w:color="auto" w:fill="auto"/>
            <w:vAlign w:val="center"/>
          </w:tcPr>
          <w:p w14:paraId="667DFE5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p>
        </w:tc>
        <w:tc>
          <w:tcPr>
            <w:tcW w:w="920" w:type="dxa"/>
            <w:shd w:val="clear" w:color="auto" w:fill="auto"/>
            <w:vAlign w:val="center"/>
          </w:tcPr>
          <w:p w14:paraId="56E26AB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省级</w:t>
            </w:r>
          </w:p>
        </w:tc>
        <w:tc>
          <w:tcPr>
            <w:tcW w:w="1217" w:type="dxa"/>
            <w:shd w:val="clear" w:color="auto" w:fill="auto"/>
            <w:vAlign w:val="center"/>
          </w:tcPr>
          <w:p w14:paraId="2C93CF4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0.04分/项</w:t>
            </w:r>
          </w:p>
        </w:tc>
        <w:tc>
          <w:tcPr>
            <w:tcW w:w="1244" w:type="dxa"/>
            <w:shd w:val="clear" w:color="auto" w:fill="auto"/>
            <w:vAlign w:val="center"/>
          </w:tcPr>
          <w:p w14:paraId="3DE5D8C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0.03分/项</w:t>
            </w:r>
          </w:p>
        </w:tc>
        <w:tc>
          <w:tcPr>
            <w:tcW w:w="1287" w:type="dxa"/>
            <w:shd w:val="clear" w:color="auto" w:fill="auto"/>
            <w:vAlign w:val="center"/>
          </w:tcPr>
          <w:p w14:paraId="3668F64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0.02分/项</w:t>
            </w:r>
          </w:p>
        </w:tc>
      </w:tr>
    </w:tbl>
    <w:p w14:paraId="38950FCA">
      <w:pPr>
        <w:rPr>
          <w:rFonts w:hint="eastAsia" w:ascii="宋体" w:hAnsi="宋体" w:eastAsia="宋体" w:cs="宋体"/>
          <w:sz w:val="21"/>
          <w:szCs w:val="21"/>
          <w:lang w:val="en-US" w:eastAsia="zh-CN"/>
        </w:rPr>
      </w:pPr>
      <w:r>
        <w:rPr>
          <w:rFonts w:hint="eastAsia" w:ascii="宋体" w:hAnsi="宋体" w:eastAsia="宋体" w:cs="宋体"/>
          <w:sz w:val="21"/>
          <w:szCs w:val="21"/>
          <w:lang w:eastAsia="zh-CN"/>
        </w:rPr>
        <w:t>备注</w:t>
      </w:r>
      <w:r>
        <w:rPr>
          <w:rFonts w:hint="eastAsia" w:ascii="宋体" w:hAnsi="宋体" w:eastAsia="宋体" w:cs="宋体"/>
          <w:sz w:val="21"/>
          <w:szCs w:val="21"/>
          <w:lang w:val="en-US" w:eastAsia="zh-CN"/>
        </w:rPr>
        <w:t>:</w:t>
      </w:r>
    </w:p>
    <w:p w14:paraId="4A4DC8FD">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（1）学科竞赛获奖的类别、级别、等次和排名根据《成都信息工程大学本科生学科竞赛管理办法》（成信校发〔2021〕175 号）认定；</w:t>
      </w:r>
    </w:p>
    <w:p w14:paraId="5DD1E3D0">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（2）美国大学生数学建模竞赛的Finalist、Outstanding Winner认定为一等奖，Meritorious Winner认定为二等奖，Honorable Mention认定为三等奖。</w:t>
      </w:r>
    </w:p>
    <w:p w14:paraId="1E4D0157">
      <w:pPr>
        <w:rPr>
          <w:rFonts w:hint="eastAsia" w:ascii="宋体" w:hAnsi="宋体" w:eastAsia="宋体" w:cs="宋体"/>
          <w:sz w:val="21"/>
          <w:szCs w:val="21"/>
        </w:rPr>
      </w:pPr>
      <w:r>
        <w:rPr>
          <w:rFonts w:hint="eastAsia" w:ascii="宋体" w:hAnsi="宋体" w:eastAsia="宋体" w:cs="宋体"/>
          <w:sz w:val="21"/>
          <w:szCs w:val="21"/>
          <w:lang w:val="en-US" w:eastAsia="zh-CN"/>
        </w:rPr>
        <w:t>（3）团队参赛，团队队长（或组长）按标准分的1.0系数计算，团队其他成员按标准分的0.8系数计算，其中团队队长（或组长）按获奖证书排名第一的同学认定为队长（或组长）。若无队长，团队成员都按标准分的1.0系数计算。</w:t>
      </w:r>
    </w:p>
    <w:p w14:paraId="3B07316D">
      <w:pPr>
        <w:rPr>
          <w:rFonts w:hint="eastAsia" w:ascii="宋体" w:hAnsi="宋体" w:eastAsia="宋体" w:cs="宋体"/>
          <w:sz w:val="21"/>
          <w:szCs w:val="21"/>
          <w:lang w:val="en-US" w:eastAsia="zh-CN"/>
        </w:rPr>
      </w:pPr>
    </w:p>
    <w:p w14:paraId="528679C1">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firstLine="482" w:firstLineChars="200"/>
        <w:jc w:val="both"/>
        <w:textAlignment w:val="auto"/>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2、数学类学科竞赛名单</w:t>
      </w:r>
    </w:p>
    <w:tbl>
      <w:tblPr>
        <w:tblStyle w:val="4"/>
        <w:tblW w:w="8295" w:type="dxa"/>
        <w:tblInd w:w="11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1"/>
        <w:gridCol w:w="4109"/>
        <w:gridCol w:w="1602"/>
        <w:gridCol w:w="1463"/>
      </w:tblGrid>
      <w:tr w14:paraId="4D660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2886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序号</w:t>
            </w:r>
          </w:p>
        </w:tc>
        <w:tc>
          <w:tcPr>
            <w:tcW w:w="4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399A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竞赛全称</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25FB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竞赛级别</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1BF8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竞赛类别</w:t>
            </w:r>
          </w:p>
        </w:tc>
      </w:tr>
      <w:tr w14:paraId="7DC18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F320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1</w:t>
            </w:r>
          </w:p>
        </w:tc>
        <w:tc>
          <w:tcPr>
            <w:tcW w:w="4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C383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全国大学生数学建模竞赛</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DD48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国家级/省级</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2E5D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B1</w:t>
            </w:r>
          </w:p>
        </w:tc>
      </w:tr>
      <w:tr w14:paraId="21A44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 w:hRule="atLeast"/>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62C8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2</w:t>
            </w:r>
          </w:p>
        </w:tc>
        <w:tc>
          <w:tcPr>
            <w:tcW w:w="4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AC44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美国大学生数学建模竞赛</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1A85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国际级</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F8C9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国际竞赛</w:t>
            </w:r>
          </w:p>
        </w:tc>
      </w:tr>
      <w:tr w14:paraId="4E408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 w:hRule="atLeast"/>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7C4E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3</w:t>
            </w:r>
          </w:p>
        </w:tc>
        <w:tc>
          <w:tcPr>
            <w:tcW w:w="4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7F57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全国大学生数学竞赛</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7CA6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国家级/省级</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96A2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B3</w:t>
            </w:r>
          </w:p>
        </w:tc>
      </w:tr>
      <w:tr w14:paraId="177CD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3" w:hRule="atLeast"/>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E2A1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4</w:t>
            </w:r>
          </w:p>
        </w:tc>
        <w:tc>
          <w:tcPr>
            <w:tcW w:w="4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92CA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全国大学生电工数学建模竞赛</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4FC2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国家级</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80A6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其他</w:t>
            </w:r>
          </w:p>
        </w:tc>
      </w:tr>
      <w:tr w14:paraId="2216A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 w:hRule="atLeast"/>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3D5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5</w:t>
            </w:r>
          </w:p>
        </w:tc>
        <w:tc>
          <w:tcPr>
            <w:tcW w:w="4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8E5D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MathorCup高校数学建模挑战赛</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BEFD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国家级/省级</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A7DB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其他</w:t>
            </w:r>
          </w:p>
        </w:tc>
      </w:tr>
      <w:tr w14:paraId="6716D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3" w:hRule="atLeast"/>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D3F2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6</w:t>
            </w:r>
          </w:p>
        </w:tc>
        <w:tc>
          <w:tcPr>
            <w:tcW w:w="4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C943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五一数学建模竞赛</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FC7D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国家级</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DC74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其他</w:t>
            </w:r>
          </w:p>
        </w:tc>
      </w:tr>
      <w:tr w14:paraId="0B095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C880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7</w:t>
            </w:r>
          </w:p>
        </w:tc>
        <w:tc>
          <w:tcPr>
            <w:tcW w:w="4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9161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数维杯国际大学生数学建模挑战赛</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BAC7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国家级</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FAED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其他</w:t>
            </w:r>
          </w:p>
        </w:tc>
      </w:tr>
      <w:tr w14:paraId="5CB7B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7" w:hRule="atLeast"/>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A6B0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8</w:t>
            </w:r>
          </w:p>
        </w:tc>
        <w:tc>
          <w:tcPr>
            <w:tcW w:w="4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ADD6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数维杯全国大学生数学建模挑战赛</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A647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国家级</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8613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其他</w:t>
            </w:r>
          </w:p>
        </w:tc>
      </w:tr>
      <w:tr w14:paraId="68B23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 w:hRule="atLeast"/>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E06D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9</w:t>
            </w:r>
          </w:p>
        </w:tc>
        <w:tc>
          <w:tcPr>
            <w:tcW w:w="4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64EA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亚太地区大学生数学建模竞赛</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AAFA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国家级</w:t>
            </w:r>
          </w:p>
        </w:tc>
        <w:tc>
          <w:tcPr>
            <w:tcW w:w="1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7FD6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其他</w:t>
            </w:r>
          </w:p>
        </w:tc>
      </w:tr>
    </w:tbl>
    <w:p w14:paraId="160D570C">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both"/>
        <w:textAlignment w:val="auto"/>
        <w:rPr>
          <w:rFonts w:hint="eastAsia" w:ascii="宋体" w:hAnsi="宋体" w:eastAsia="宋体" w:cs="宋体"/>
          <w:b/>
          <w:bCs/>
          <w:color w:val="000000"/>
          <w:kern w:val="0"/>
          <w:sz w:val="24"/>
          <w:szCs w:val="24"/>
          <w:lang w:val="en-US" w:eastAsia="zh-CN" w:bidi="ar"/>
        </w:rPr>
      </w:pPr>
    </w:p>
    <w:p w14:paraId="286C6833">
      <w:pPr>
        <w:rPr>
          <w:rFonts w:hint="eastAsia" w:ascii="宋体" w:hAnsi="宋体" w:eastAsia="宋体" w:cs="宋体"/>
          <w:sz w:val="24"/>
          <w:szCs w:val="24"/>
        </w:rPr>
      </w:pPr>
    </w:p>
    <w:p w14:paraId="6EC2CD55">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both"/>
        <w:textAlignment w:val="auto"/>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三、统计学院参加外语类学生竞赛获奖清单</w:t>
      </w:r>
      <w:bookmarkStart w:id="0" w:name="_GoBack"/>
      <w:bookmarkEnd w:id="0"/>
    </w:p>
    <w:p w14:paraId="61F2B2A8">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both"/>
        <w:textAlignment w:val="auto"/>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（一）、外语类学生竞赛加分标准参考</w:t>
      </w:r>
    </w:p>
    <w:p w14:paraId="33497636">
      <w:pPr>
        <w:keepNext w:val="0"/>
        <w:keepLines w:val="0"/>
        <w:widowControl/>
        <w:suppressLineNumbers w:val="0"/>
        <w:jc w:val="left"/>
        <w:textAlignment w:val="center"/>
        <w:rPr>
          <w:rFonts w:hint="eastAsia" w:ascii="宋体" w:hAnsi="宋体" w:eastAsia="宋体" w:cs="宋体"/>
          <w:sz w:val="24"/>
          <w:szCs w:val="24"/>
          <w:lang w:val="en-US" w:eastAsia="zh-CN"/>
        </w:rPr>
      </w:pPr>
    </w:p>
    <w:tbl>
      <w:tblPr>
        <w:tblStyle w:val="5"/>
        <w:tblW w:w="82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7"/>
        <w:gridCol w:w="1063"/>
        <w:gridCol w:w="1469"/>
        <w:gridCol w:w="1469"/>
        <w:gridCol w:w="1470"/>
      </w:tblGrid>
      <w:tr w14:paraId="0D0A4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840" w:type="dxa"/>
            <w:gridSpan w:val="2"/>
            <w:vMerge w:val="restart"/>
            <w:vAlign w:val="center"/>
          </w:tcPr>
          <w:p w14:paraId="790E84D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加分项目类别</w:t>
            </w:r>
          </w:p>
        </w:tc>
        <w:tc>
          <w:tcPr>
            <w:tcW w:w="4408" w:type="dxa"/>
            <w:gridSpan w:val="3"/>
            <w:vAlign w:val="center"/>
          </w:tcPr>
          <w:p w14:paraId="0F80B0C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加分标准</w:t>
            </w:r>
          </w:p>
        </w:tc>
      </w:tr>
      <w:tr w14:paraId="2D12D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0" w:type="dxa"/>
            <w:gridSpan w:val="2"/>
            <w:vMerge w:val="continue"/>
            <w:vAlign w:val="center"/>
          </w:tcPr>
          <w:p w14:paraId="51B1AC9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p>
        </w:tc>
        <w:tc>
          <w:tcPr>
            <w:tcW w:w="1469" w:type="dxa"/>
            <w:vAlign w:val="center"/>
          </w:tcPr>
          <w:p w14:paraId="092A5A6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一等奖</w:t>
            </w:r>
          </w:p>
        </w:tc>
        <w:tc>
          <w:tcPr>
            <w:tcW w:w="1469" w:type="dxa"/>
            <w:vAlign w:val="center"/>
          </w:tcPr>
          <w:p w14:paraId="2F14214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二等奖</w:t>
            </w:r>
          </w:p>
        </w:tc>
        <w:tc>
          <w:tcPr>
            <w:tcW w:w="1470" w:type="dxa"/>
            <w:vAlign w:val="center"/>
          </w:tcPr>
          <w:p w14:paraId="421541D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三等奖</w:t>
            </w:r>
          </w:p>
        </w:tc>
      </w:tr>
      <w:tr w14:paraId="0D6D8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77" w:type="dxa"/>
            <w:vMerge w:val="restart"/>
            <w:vAlign w:val="center"/>
          </w:tcPr>
          <w:p w14:paraId="301E4E9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外语类学科竞赛获奖</w:t>
            </w:r>
          </w:p>
          <w:p w14:paraId="2882F66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(B1类单项加分最高不超过2分)</w:t>
            </w:r>
          </w:p>
        </w:tc>
        <w:tc>
          <w:tcPr>
            <w:tcW w:w="1063" w:type="dxa"/>
            <w:vAlign w:val="center"/>
          </w:tcPr>
          <w:p w14:paraId="20E8BB4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国家级</w:t>
            </w:r>
          </w:p>
        </w:tc>
        <w:tc>
          <w:tcPr>
            <w:tcW w:w="1469" w:type="dxa"/>
            <w:vAlign w:val="center"/>
          </w:tcPr>
          <w:p w14:paraId="7B8C1E4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1.2分/项</w:t>
            </w:r>
          </w:p>
        </w:tc>
        <w:tc>
          <w:tcPr>
            <w:tcW w:w="1469" w:type="dxa"/>
            <w:vAlign w:val="center"/>
          </w:tcPr>
          <w:p w14:paraId="1087D43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1分/项</w:t>
            </w:r>
          </w:p>
        </w:tc>
        <w:tc>
          <w:tcPr>
            <w:tcW w:w="1470" w:type="dxa"/>
            <w:vAlign w:val="center"/>
          </w:tcPr>
          <w:p w14:paraId="29F78B1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0.8分/项</w:t>
            </w:r>
          </w:p>
        </w:tc>
      </w:tr>
      <w:tr w14:paraId="1500E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77" w:type="dxa"/>
            <w:vMerge w:val="continue"/>
            <w:vAlign w:val="center"/>
          </w:tcPr>
          <w:p w14:paraId="6D72EA1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p>
        </w:tc>
        <w:tc>
          <w:tcPr>
            <w:tcW w:w="1063" w:type="dxa"/>
            <w:vAlign w:val="center"/>
          </w:tcPr>
          <w:p w14:paraId="1A45059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省级</w:t>
            </w:r>
          </w:p>
        </w:tc>
        <w:tc>
          <w:tcPr>
            <w:tcW w:w="1469" w:type="dxa"/>
            <w:vAlign w:val="center"/>
          </w:tcPr>
          <w:p w14:paraId="29089BC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0.6分/项</w:t>
            </w:r>
          </w:p>
        </w:tc>
        <w:tc>
          <w:tcPr>
            <w:tcW w:w="1469" w:type="dxa"/>
            <w:vAlign w:val="center"/>
          </w:tcPr>
          <w:p w14:paraId="678E391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0.4分/项</w:t>
            </w:r>
          </w:p>
        </w:tc>
        <w:tc>
          <w:tcPr>
            <w:tcW w:w="1470" w:type="dxa"/>
            <w:vAlign w:val="center"/>
          </w:tcPr>
          <w:p w14:paraId="14AF759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0.2分/项</w:t>
            </w:r>
          </w:p>
        </w:tc>
      </w:tr>
      <w:tr w14:paraId="3B708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77" w:type="dxa"/>
            <w:vMerge w:val="restart"/>
            <w:vAlign w:val="center"/>
          </w:tcPr>
          <w:p w14:paraId="0F8DD03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外语类学科竞赛获奖</w:t>
            </w:r>
          </w:p>
          <w:p w14:paraId="743BA77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(其他B类单项加分最高不超过1分)</w:t>
            </w:r>
          </w:p>
        </w:tc>
        <w:tc>
          <w:tcPr>
            <w:tcW w:w="1063" w:type="dxa"/>
            <w:vAlign w:val="center"/>
          </w:tcPr>
          <w:p w14:paraId="60E3AEF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国家级</w:t>
            </w:r>
          </w:p>
        </w:tc>
        <w:tc>
          <w:tcPr>
            <w:tcW w:w="1469" w:type="dxa"/>
            <w:vAlign w:val="center"/>
          </w:tcPr>
          <w:p w14:paraId="167920C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0.6分/项</w:t>
            </w:r>
          </w:p>
        </w:tc>
        <w:tc>
          <w:tcPr>
            <w:tcW w:w="1469" w:type="dxa"/>
            <w:vAlign w:val="center"/>
          </w:tcPr>
          <w:p w14:paraId="560B4AA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0.5分/项</w:t>
            </w:r>
          </w:p>
        </w:tc>
        <w:tc>
          <w:tcPr>
            <w:tcW w:w="1470" w:type="dxa"/>
            <w:vAlign w:val="center"/>
          </w:tcPr>
          <w:p w14:paraId="4F65054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0.4分/项</w:t>
            </w:r>
          </w:p>
        </w:tc>
      </w:tr>
      <w:tr w14:paraId="298D8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77" w:type="dxa"/>
            <w:vMerge w:val="continue"/>
            <w:vAlign w:val="center"/>
          </w:tcPr>
          <w:p w14:paraId="316B88D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p>
        </w:tc>
        <w:tc>
          <w:tcPr>
            <w:tcW w:w="1063" w:type="dxa"/>
            <w:vAlign w:val="center"/>
          </w:tcPr>
          <w:p w14:paraId="0FC12C4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省级</w:t>
            </w:r>
          </w:p>
        </w:tc>
        <w:tc>
          <w:tcPr>
            <w:tcW w:w="1469" w:type="dxa"/>
            <w:vAlign w:val="center"/>
          </w:tcPr>
          <w:p w14:paraId="454FE55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0.3分/项</w:t>
            </w:r>
          </w:p>
        </w:tc>
        <w:tc>
          <w:tcPr>
            <w:tcW w:w="1469" w:type="dxa"/>
            <w:vAlign w:val="center"/>
          </w:tcPr>
          <w:p w14:paraId="3815D11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0.2分/项</w:t>
            </w:r>
          </w:p>
        </w:tc>
        <w:tc>
          <w:tcPr>
            <w:tcW w:w="1470" w:type="dxa"/>
            <w:vAlign w:val="center"/>
          </w:tcPr>
          <w:p w14:paraId="346BD14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0.1分/项</w:t>
            </w:r>
          </w:p>
        </w:tc>
      </w:tr>
    </w:tbl>
    <w:p w14:paraId="1B107CAA">
      <w:pPr>
        <w:numPr>
          <w:ilvl w:val="0"/>
          <w:numId w:val="0"/>
        </w:numPr>
        <w:rPr>
          <w:rFonts w:hint="eastAsia" w:ascii="宋体" w:hAnsi="宋体" w:eastAsia="宋体" w:cs="宋体"/>
          <w:sz w:val="24"/>
          <w:szCs w:val="24"/>
          <w:lang w:val="en-US" w:eastAsia="zh-CN"/>
        </w:rPr>
      </w:pPr>
    </w:p>
    <w:p w14:paraId="054630D6">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both"/>
        <w:textAlignment w:val="auto"/>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color w:val="000000"/>
          <w:kern w:val="0"/>
          <w:sz w:val="24"/>
          <w:szCs w:val="24"/>
          <w:lang w:val="en-US" w:eastAsia="zh-CN" w:bidi="ar"/>
        </w:rPr>
        <w:t>（二）、外语类学生竞赛参考名单列表</w:t>
      </w:r>
    </w:p>
    <w:tbl>
      <w:tblPr>
        <w:tblStyle w:val="4"/>
        <w:tblW w:w="81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19"/>
        <w:gridCol w:w="4617"/>
        <w:gridCol w:w="2182"/>
      </w:tblGrid>
      <w:tr w14:paraId="51905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1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D0D3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序号</w:t>
            </w:r>
          </w:p>
        </w:tc>
        <w:tc>
          <w:tcPr>
            <w:tcW w:w="4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051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竞赛名称</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F9B6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竞赛类别</w:t>
            </w:r>
          </w:p>
        </w:tc>
      </w:tr>
      <w:tr w14:paraId="4BCAF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A101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1</w:t>
            </w:r>
          </w:p>
        </w:tc>
        <w:tc>
          <w:tcPr>
            <w:tcW w:w="4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87AB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“外研社·国才杯” “理解当代中国”全国大学生外语能力大赛</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1342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B1（国家级）</w:t>
            </w:r>
          </w:p>
        </w:tc>
      </w:tr>
      <w:tr w14:paraId="66029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46B5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2</w:t>
            </w:r>
          </w:p>
        </w:tc>
        <w:tc>
          <w:tcPr>
            <w:tcW w:w="4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3258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“外教社杯”全国高校学生跨文化能力大赛</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43F5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B3（国家级）</w:t>
            </w:r>
          </w:p>
        </w:tc>
      </w:tr>
      <w:tr w14:paraId="7DC6D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829D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3</w:t>
            </w:r>
          </w:p>
        </w:tc>
        <w:tc>
          <w:tcPr>
            <w:tcW w:w="4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B6BF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“高教社杯”大学生“用外语讲好中国故事” 优秀短视频作品征集活动</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B3ED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B3（国家级）</w:t>
            </w:r>
          </w:p>
        </w:tc>
      </w:tr>
      <w:tr w14:paraId="373D8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1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4F7A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4</w:t>
            </w:r>
          </w:p>
        </w:tc>
        <w:tc>
          <w:tcPr>
            <w:tcW w:w="4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E2E0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“21世纪杯”全国英语演讲比赛</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374E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B3（国家级）</w:t>
            </w:r>
          </w:p>
        </w:tc>
      </w:tr>
      <w:tr w14:paraId="400A4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1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0668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5</w:t>
            </w:r>
          </w:p>
        </w:tc>
        <w:tc>
          <w:tcPr>
            <w:tcW w:w="4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1758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四川省大学生“外研社 国才杯”“理解当代中国” 外语能力大赛</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DB3E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B3（省级）</w:t>
            </w:r>
          </w:p>
        </w:tc>
      </w:tr>
      <w:tr w14:paraId="5BB90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1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083B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6</w:t>
            </w:r>
          </w:p>
        </w:tc>
        <w:tc>
          <w:tcPr>
            <w:tcW w:w="4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F41E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四川省高校学生跨文化能力大赛</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80DA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B3（省级）</w:t>
            </w:r>
          </w:p>
        </w:tc>
      </w:tr>
      <w:tr w14:paraId="00B00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1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56BA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7</w:t>
            </w:r>
          </w:p>
        </w:tc>
        <w:tc>
          <w:tcPr>
            <w:tcW w:w="4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E4D3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四川省“高教社杯”大学生“用外语讲好中国故事” 优秀短视频大赛</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6C12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B3（省级）</w:t>
            </w:r>
          </w:p>
        </w:tc>
      </w:tr>
    </w:tbl>
    <w:p w14:paraId="79E7AE3C">
      <w:pP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备注：</w:t>
      </w:r>
    </w:p>
    <w:p w14:paraId="3F6A3295">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（1）学科竞赛获奖的类别、级别、等次和排名根据《成都信息工程大学本科生学科竞赛管理办法》（成信校发〔2021〕175 号）认定；</w:t>
      </w:r>
    </w:p>
    <w:p w14:paraId="6EB9F44F">
      <w:pPr>
        <w:rPr>
          <w:rFonts w:hint="eastAsia" w:ascii="宋体" w:hAnsi="宋体" w:eastAsia="宋体" w:cs="宋体"/>
          <w:sz w:val="21"/>
          <w:szCs w:val="21"/>
        </w:rPr>
      </w:pPr>
      <w:r>
        <w:rPr>
          <w:rFonts w:hint="eastAsia" w:ascii="宋体" w:hAnsi="宋体" w:eastAsia="宋体" w:cs="宋体"/>
          <w:sz w:val="21"/>
          <w:szCs w:val="21"/>
          <w:lang w:val="en-US" w:eastAsia="zh-CN"/>
        </w:rPr>
        <w:t>（2）团队参赛，团队队长（或组长）按标准分的1.0系数计算，团队其他成员按标准分的0.8系数计算，其中团队队长（或组长）按获奖证书排名第一的同学认定为队长（或组长）。若无队长，团队成员都按标准分的1.0系数计算。</w:t>
      </w:r>
    </w:p>
    <w:p w14:paraId="03E61E3D">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p>
    <w:p w14:paraId="2775F08D">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p>
    <w:p w14:paraId="32478E2D">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p>
    <w:p w14:paraId="6DC9AB35">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p>
    <w:p w14:paraId="250488CB">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p>
    <w:p w14:paraId="70C01729">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p>
    <w:p w14:paraId="6B300FDD">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p>
    <w:p w14:paraId="71BC3FE1">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p>
    <w:p w14:paraId="49E02B45">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p>
    <w:p w14:paraId="639D62C7">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p>
    <w:p w14:paraId="1E710628">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p>
    <w:p w14:paraId="3FE3585E">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p>
    <w:p w14:paraId="01B6E00B">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p>
    <w:p w14:paraId="6E016B66">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p>
    <w:p w14:paraId="46408B6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b/>
          <w:bCs/>
          <w:sz w:val="28"/>
          <w:szCs w:val="28"/>
          <w:lang w:val="en-US" w:eastAsia="zh-CN"/>
        </w:rPr>
        <w:t>附件2  成都信息工程大学统计学院</w:t>
      </w:r>
      <w:r>
        <w:rPr>
          <w:rFonts w:hint="eastAsia" w:ascii="宋体" w:hAnsi="宋体" w:eastAsia="宋体" w:cs="宋体"/>
          <w:b/>
          <w:bCs/>
          <w:sz w:val="28"/>
          <w:szCs w:val="28"/>
        </w:rPr>
        <w:t>学生</w:t>
      </w:r>
      <w:r>
        <w:rPr>
          <w:rFonts w:hint="eastAsia" w:ascii="宋体" w:hAnsi="宋体" w:eastAsia="宋体" w:cs="宋体"/>
          <w:b/>
          <w:bCs/>
          <w:sz w:val="28"/>
          <w:szCs w:val="28"/>
          <w:lang w:val="en-US" w:eastAsia="zh-CN"/>
        </w:rPr>
        <w:t xml:space="preserve">科研成果类加分细则     </w:t>
      </w:r>
      <w:r>
        <w:rPr>
          <w:rFonts w:hint="eastAsia" w:ascii="宋体" w:hAnsi="宋体" w:eastAsia="宋体" w:cs="宋体"/>
          <w:b/>
          <w:bCs/>
          <w:color w:val="000000"/>
          <w:kern w:val="0"/>
          <w:sz w:val="28"/>
          <w:szCs w:val="28"/>
          <w:lang w:val="en-US" w:eastAsia="zh-CN" w:bidi="ar"/>
        </w:rPr>
        <w:t>（统计学院推免研究生加分试行）</w:t>
      </w:r>
    </w:p>
    <w:p w14:paraId="6D1110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统计学院学生科研成果类加分（满分4分）</w:t>
      </w:r>
    </w:p>
    <w:p w14:paraId="4D5911AB">
      <w:pPr>
        <w:ind w:firstLine="482" w:firstLineChars="20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1.公开发表论文</w:t>
      </w:r>
    </w:p>
    <w:p w14:paraId="683B1C82">
      <w:pPr>
        <w:pStyle w:val="2"/>
        <w:adjustRightInd w:val="0"/>
        <w:snapToGrid w:val="0"/>
        <w:spacing w:before="156" w:beforeLines="50" w:after="156" w:afterLines="50" w:line="500" w:lineRule="exact"/>
        <w:ind w:left="0"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以第一作者公开发表论文，学术论文级别参考学校科技处《成都信息工程大学科研业绩分类认定参考日录(2025年修订)》。</w:t>
      </w:r>
    </w:p>
    <w:p w14:paraId="790303E0">
      <w:pPr>
        <w:pStyle w:val="2"/>
        <w:adjustRightInd w:val="0"/>
        <w:snapToGrid w:val="0"/>
        <w:spacing w:before="156" w:beforeLines="50" w:after="156" w:afterLines="50" w:line="500" w:lineRule="exact"/>
        <w:ind w:left="0"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表1               论文级别及加分标准</w:t>
      </w:r>
    </w:p>
    <w:tbl>
      <w:tblPr>
        <w:tblStyle w:val="5"/>
        <w:tblW w:w="0" w:type="auto"/>
        <w:tblInd w:w="3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75"/>
        <w:gridCol w:w="3705"/>
      </w:tblGrid>
      <w:tr w14:paraId="618F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75" w:type="dxa"/>
            <w:vAlign w:val="center"/>
          </w:tcPr>
          <w:p w14:paraId="58946978">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论文级别</w:t>
            </w:r>
          </w:p>
        </w:tc>
        <w:tc>
          <w:tcPr>
            <w:tcW w:w="3705" w:type="dxa"/>
            <w:vAlign w:val="center"/>
          </w:tcPr>
          <w:p w14:paraId="55899756">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加分标准</w:t>
            </w:r>
          </w:p>
        </w:tc>
      </w:tr>
      <w:tr w14:paraId="42ADE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3875" w:type="dxa"/>
            <w:vAlign w:val="center"/>
          </w:tcPr>
          <w:p w14:paraId="4596ADC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A2及以上</w:t>
            </w:r>
          </w:p>
        </w:tc>
        <w:tc>
          <w:tcPr>
            <w:tcW w:w="3705" w:type="dxa"/>
            <w:vAlign w:val="center"/>
          </w:tcPr>
          <w:p w14:paraId="602935E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4分</w:t>
            </w:r>
          </w:p>
        </w:tc>
      </w:tr>
      <w:tr w14:paraId="1D78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75" w:type="dxa"/>
            <w:vAlign w:val="center"/>
          </w:tcPr>
          <w:p w14:paraId="39722A8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B1</w:t>
            </w:r>
          </w:p>
        </w:tc>
        <w:tc>
          <w:tcPr>
            <w:tcW w:w="3705" w:type="dxa"/>
            <w:vAlign w:val="center"/>
          </w:tcPr>
          <w:p w14:paraId="1A6B390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2分</w:t>
            </w:r>
          </w:p>
        </w:tc>
      </w:tr>
      <w:tr w14:paraId="6C74A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3875" w:type="dxa"/>
            <w:vAlign w:val="center"/>
          </w:tcPr>
          <w:p w14:paraId="073AFC3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B2</w:t>
            </w:r>
          </w:p>
        </w:tc>
        <w:tc>
          <w:tcPr>
            <w:tcW w:w="3705" w:type="dxa"/>
            <w:vAlign w:val="center"/>
          </w:tcPr>
          <w:p w14:paraId="2613853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1分</w:t>
            </w:r>
          </w:p>
        </w:tc>
      </w:tr>
      <w:tr w14:paraId="511E3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3875" w:type="dxa"/>
            <w:vAlign w:val="center"/>
          </w:tcPr>
          <w:p w14:paraId="20213E9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核心</w:t>
            </w:r>
          </w:p>
        </w:tc>
        <w:tc>
          <w:tcPr>
            <w:tcW w:w="3705" w:type="dxa"/>
            <w:vAlign w:val="center"/>
          </w:tcPr>
          <w:p w14:paraId="0DC113E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0.5分</w:t>
            </w:r>
          </w:p>
        </w:tc>
      </w:tr>
      <w:tr w14:paraId="09241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3875" w:type="dxa"/>
            <w:vAlign w:val="center"/>
          </w:tcPr>
          <w:p w14:paraId="20AFDBD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普刊</w:t>
            </w:r>
          </w:p>
        </w:tc>
        <w:tc>
          <w:tcPr>
            <w:tcW w:w="3705" w:type="dxa"/>
            <w:vAlign w:val="center"/>
          </w:tcPr>
          <w:p w14:paraId="35DB1B9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0.1分（累计不超过1分）</w:t>
            </w:r>
          </w:p>
        </w:tc>
      </w:tr>
    </w:tbl>
    <w:p w14:paraId="61A07BFC">
      <w:pPr>
        <w:rPr>
          <w:rFonts w:hint="eastAsia" w:ascii="宋体" w:hAnsi="宋体" w:eastAsia="宋体" w:cs="宋体"/>
          <w:sz w:val="24"/>
          <w:szCs w:val="24"/>
          <w:lang w:val="en-US" w:eastAsia="zh-CN"/>
        </w:rPr>
      </w:pPr>
    </w:p>
    <w:p w14:paraId="22364A20">
      <w:pPr>
        <w:numPr>
          <w:ilvl w:val="0"/>
          <w:numId w:val="2"/>
        </w:numPr>
        <w:rPr>
          <w:rFonts w:hint="eastAsia" w:ascii="宋体" w:hAnsi="宋体" w:eastAsia="宋体" w:cs="宋体"/>
          <w:color w:val="000000"/>
          <w:sz w:val="24"/>
          <w:szCs w:val="24"/>
          <w:lang w:val="en-US" w:eastAsia="zh-CN"/>
        </w:rPr>
      </w:pPr>
      <w:r>
        <w:rPr>
          <w:rFonts w:hint="eastAsia" w:ascii="宋体" w:hAnsi="宋体" w:eastAsia="宋体" w:cs="宋体"/>
          <w:b/>
          <w:bCs/>
          <w:sz w:val="24"/>
          <w:szCs w:val="24"/>
          <w:lang w:val="en-US" w:eastAsia="zh-CN"/>
        </w:rPr>
        <w:t>授权专利</w:t>
      </w:r>
    </w:p>
    <w:p w14:paraId="56FE2CE9">
      <w:pPr>
        <w:ind w:firstLine="960" w:firstLineChars="400"/>
        <w:rPr>
          <w:rFonts w:hint="eastAsia" w:ascii="宋体" w:hAnsi="宋体" w:eastAsia="宋体" w:cs="宋体"/>
          <w:color w:val="000000"/>
          <w:sz w:val="24"/>
          <w:szCs w:val="24"/>
          <w:lang w:val="en-US" w:eastAsia="zh-CN"/>
        </w:rPr>
      </w:pPr>
      <w:r>
        <w:rPr>
          <w:rFonts w:hint="eastAsia" w:ascii="宋体" w:hAnsi="宋体" w:eastAsia="宋体" w:cs="宋体"/>
          <w:b w:val="0"/>
          <w:bCs w:val="0"/>
          <w:sz w:val="24"/>
          <w:szCs w:val="24"/>
          <w:lang w:val="en-US" w:eastAsia="zh-CN"/>
        </w:rPr>
        <w:t xml:space="preserve">表2        授权专利类型和加分标   </w:t>
      </w:r>
      <w:r>
        <w:rPr>
          <w:rFonts w:hint="eastAsia" w:ascii="宋体" w:hAnsi="宋体" w:eastAsia="宋体" w:cs="宋体"/>
          <w:b/>
          <w:bCs/>
          <w:sz w:val="24"/>
          <w:szCs w:val="24"/>
          <w:lang w:val="en-US" w:eastAsia="zh-CN"/>
        </w:rPr>
        <w:t xml:space="preserve">        </w:t>
      </w:r>
    </w:p>
    <w:tbl>
      <w:tblPr>
        <w:tblStyle w:val="5"/>
        <w:tblW w:w="0" w:type="auto"/>
        <w:tblInd w:w="3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75"/>
        <w:gridCol w:w="3705"/>
      </w:tblGrid>
      <w:tr w14:paraId="67661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3875" w:type="dxa"/>
            <w:vAlign w:val="center"/>
          </w:tcPr>
          <w:p w14:paraId="5B28214C">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类型</w:t>
            </w:r>
          </w:p>
        </w:tc>
        <w:tc>
          <w:tcPr>
            <w:tcW w:w="3705" w:type="dxa"/>
            <w:vAlign w:val="center"/>
          </w:tcPr>
          <w:p w14:paraId="177B90FE">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加分标准</w:t>
            </w:r>
          </w:p>
        </w:tc>
      </w:tr>
      <w:tr w14:paraId="5F4B4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75" w:type="dxa"/>
            <w:vAlign w:val="center"/>
          </w:tcPr>
          <w:p w14:paraId="76034CA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sz w:val="21"/>
                <w:szCs w:val="21"/>
                <w:lang w:val="en-US" w:eastAsia="zh-CN"/>
              </w:rPr>
              <w:t>国际发明专利</w:t>
            </w:r>
          </w:p>
        </w:tc>
        <w:tc>
          <w:tcPr>
            <w:tcW w:w="3705" w:type="dxa"/>
            <w:vAlign w:val="center"/>
          </w:tcPr>
          <w:p w14:paraId="2E02685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2分</w:t>
            </w:r>
          </w:p>
        </w:tc>
      </w:tr>
      <w:tr w14:paraId="3C450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trPr>
        <w:tc>
          <w:tcPr>
            <w:tcW w:w="3875" w:type="dxa"/>
            <w:vAlign w:val="center"/>
          </w:tcPr>
          <w:p w14:paraId="7C23CD3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sz w:val="21"/>
                <w:szCs w:val="21"/>
                <w:lang w:val="en-US" w:eastAsia="zh-CN"/>
              </w:rPr>
              <w:t>国内发明专利</w:t>
            </w:r>
          </w:p>
        </w:tc>
        <w:tc>
          <w:tcPr>
            <w:tcW w:w="3705" w:type="dxa"/>
            <w:vAlign w:val="center"/>
          </w:tcPr>
          <w:p w14:paraId="5763F7F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1分</w:t>
            </w:r>
          </w:p>
        </w:tc>
      </w:tr>
      <w:tr w14:paraId="5C0A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3875" w:type="dxa"/>
            <w:vAlign w:val="center"/>
          </w:tcPr>
          <w:p w14:paraId="6300566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sz w:val="21"/>
                <w:szCs w:val="21"/>
                <w:lang w:val="en-US" w:eastAsia="zh-CN"/>
              </w:rPr>
              <w:t>实用新型</w:t>
            </w:r>
          </w:p>
        </w:tc>
        <w:tc>
          <w:tcPr>
            <w:tcW w:w="3705" w:type="dxa"/>
            <w:vAlign w:val="center"/>
          </w:tcPr>
          <w:p w14:paraId="66A52BE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0.5分</w:t>
            </w:r>
          </w:p>
        </w:tc>
      </w:tr>
      <w:tr w14:paraId="1FE1E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3875" w:type="dxa"/>
            <w:vAlign w:val="center"/>
          </w:tcPr>
          <w:p w14:paraId="7AA5FF2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sz w:val="21"/>
                <w:szCs w:val="21"/>
                <w:lang w:val="en-US" w:eastAsia="zh-CN"/>
              </w:rPr>
              <w:t>软件著作权</w:t>
            </w:r>
          </w:p>
        </w:tc>
        <w:tc>
          <w:tcPr>
            <w:tcW w:w="3705" w:type="dxa"/>
            <w:vAlign w:val="center"/>
          </w:tcPr>
          <w:p w14:paraId="038879B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0.1分（累计不超过1分）</w:t>
            </w:r>
          </w:p>
        </w:tc>
      </w:tr>
    </w:tbl>
    <w:p w14:paraId="0F43DACC">
      <w:pPr>
        <w:numPr>
          <w:ilvl w:val="0"/>
          <w:numId w:val="0"/>
        </w:numPr>
        <w:ind w:firstLine="420" w:firstLineChars="200"/>
        <w:rPr>
          <w:rFonts w:hint="eastAsia" w:ascii="宋体" w:hAnsi="宋体" w:eastAsia="宋体" w:cs="宋体"/>
          <w:sz w:val="21"/>
          <w:szCs w:val="21"/>
          <w:lang w:val="en-US" w:eastAsia="zh-CN"/>
        </w:rPr>
      </w:pPr>
      <w:r>
        <w:rPr>
          <w:rFonts w:hint="eastAsia" w:ascii="宋体" w:hAnsi="宋体" w:eastAsia="宋体" w:cs="宋体"/>
          <w:color w:val="000000"/>
          <w:sz w:val="21"/>
          <w:szCs w:val="21"/>
          <w:lang w:val="en-US" w:eastAsia="zh-CN"/>
        </w:rPr>
        <w:t>注：以第一专利权或著作权人申请，专利或著作权应与专业相关（外观专利不计）。</w:t>
      </w:r>
    </w:p>
    <w:p w14:paraId="16493B9D">
      <w:pPr>
        <w:numPr>
          <w:ilvl w:val="0"/>
          <w:numId w:val="2"/>
        </w:num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科研项目</w:t>
      </w:r>
    </w:p>
    <w:p w14:paraId="5FFED975">
      <w:pPr>
        <w:pStyle w:val="2"/>
        <w:adjustRightInd w:val="0"/>
        <w:snapToGrid w:val="0"/>
        <w:spacing w:before="156" w:beforeLines="50" w:after="156" w:afterLines="50" w:line="500" w:lineRule="exact"/>
        <w:ind w:left="0"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参与国家级、省部级纵向科研项目的申报或结题，需要在申报书或结题证明有署名，科研项目级别参考学校科技处《成都信息工程大学科研业绩分类认定参考日录(2025年修订)》。</w:t>
      </w:r>
    </w:p>
    <w:p w14:paraId="00B140A3">
      <w:pPr>
        <w:pStyle w:val="2"/>
        <w:adjustRightInd w:val="0"/>
        <w:snapToGrid w:val="0"/>
        <w:spacing w:before="156" w:beforeLines="50" w:after="156" w:afterLines="50" w:line="500" w:lineRule="exact"/>
        <w:ind w:left="0"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         表3     科研项目申报类型和加分标准</w:t>
      </w:r>
    </w:p>
    <w:tbl>
      <w:tblPr>
        <w:tblStyle w:val="4"/>
        <w:tblW w:w="7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036"/>
        <w:gridCol w:w="3740"/>
      </w:tblGrid>
      <w:tr w14:paraId="4399F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2" w:hRule="atLeast"/>
          <w:jc w:val="center"/>
        </w:trPr>
        <w:tc>
          <w:tcPr>
            <w:tcW w:w="4036" w:type="dxa"/>
            <w:tcBorders>
              <w:tl2br w:val="nil"/>
              <w:tr2bl w:val="nil"/>
            </w:tcBorders>
            <w:shd w:val="clear" w:color="auto" w:fill="auto"/>
            <w:noWrap/>
            <w:vAlign w:val="center"/>
          </w:tcPr>
          <w:p w14:paraId="7A140B64">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申报类型</w:t>
            </w:r>
          </w:p>
        </w:tc>
        <w:tc>
          <w:tcPr>
            <w:tcW w:w="3740" w:type="dxa"/>
            <w:tcBorders>
              <w:tl2br w:val="nil"/>
              <w:tr2bl w:val="nil"/>
            </w:tcBorders>
            <w:shd w:val="clear" w:color="auto" w:fill="auto"/>
            <w:noWrap/>
            <w:vAlign w:val="center"/>
          </w:tcPr>
          <w:p w14:paraId="6383F6CC">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lang w:val="en-US"/>
              </w:rPr>
            </w:pPr>
            <w:r>
              <w:rPr>
                <w:rFonts w:hint="eastAsia" w:ascii="宋体" w:hAnsi="宋体" w:eastAsia="宋体" w:cs="宋体"/>
                <w:b/>
                <w:bCs/>
                <w:i w:val="0"/>
                <w:iCs w:val="0"/>
                <w:color w:val="000000"/>
                <w:kern w:val="0"/>
                <w:sz w:val="21"/>
                <w:szCs w:val="21"/>
                <w:u w:val="none"/>
                <w:lang w:val="en-US" w:eastAsia="zh-CN" w:bidi="ar"/>
              </w:rPr>
              <w:t>加分标准</w:t>
            </w:r>
          </w:p>
        </w:tc>
      </w:tr>
      <w:tr w14:paraId="5F172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5" w:hRule="atLeast"/>
          <w:jc w:val="center"/>
        </w:trPr>
        <w:tc>
          <w:tcPr>
            <w:tcW w:w="4036" w:type="dxa"/>
            <w:tcBorders>
              <w:tl2br w:val="nil"/>
              <w:tr2bl w:val="nil"/>
            </w:tcBorders>
            <w:shd w:val="clear" w:color="auto" w:fill="auto"/>
            <w:noWrap/>
            <w:vAlign w:val="center"/>
          </w:tcPr>
          <w:p w14:paraId="05E6F68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国家级</w:t>
            </w:r>
          </w:p>
        </w:tc>
        <w:tc>
          <w:tcPr>
            <w:tcW w:w="3740" w:type="dxa"/>
            <w:tcBorders>
              <w:tl2br w:val="nil"/>
              <w:tr2bl w:val="nil"/>
            </w:tcBorders>
            <w:shd w:val="clear" w:color="auto" w:fill="auto"/>
            <w:noWrap/>
            <w:vAlign w:val="center"/>
          </w:tcPr>
          <w:p w14:paraId="257AF620">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1分</w:t>
            </w:r>
          </w:p>
        </w:tc>
      </w:tr>
      <w:tr w14:paraId="39A03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4036" w:type="dxa"/>
            <w:tcBorders>
              <w:tl2br w:val="nil"/>
              <w:tr2bl w:val="nil"/>
            </w:tcBorders>
            <w:shd w:val="clear" w:color="auto" w:fill="auto"/>
            <w:noWrap/>
            <w:vAlign w:val="center"/>
          </w:tcPr>
          <w:p w14:paraId="08CC826C">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省部级</w:t>
            </w:r>
          </w:p>
        </w:tc>
        <w:tc>
          <w:tcPr>
            <w:tcW w:w="3740" w:type="dxa"/>
            <w:tcBorders>
              <w:tl2br w:val="nil"/>
              <w:tr2bl w:val="nil"/>
            </w:tcBorders>
            <w:shd w:val="clear" w:color="auto" w:fill="auto"/>
            <w:noWrap/>
            <w:vAlign w:val="center"/>
          </w:tcPr>
          <w:p w14:paraId="3485EA64">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0.5分</w:t>
            </w:r>
          </w:p>
        </w:tc>
      </w:tr>
    </w:tbl>
    <w:p w14:paraId="36E61915">
      <w:pPr>
        <w:numPr>
          <w:ilvl w:val="0"/>
          <w:numId w:val="0"/>
        </w:numPr>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注：科研加分累计不超过4分。</w:t>
      </w:r>
    </w:p>
    <w:p w14:paraId="238F4632">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p>
    <w:p w14:paraId="4D2A62DA">
      <w:pPr>
        <w:keepNext w:val="0"/>
        <w:keepLines w:val="0"/>
        <w:widowControl/>
        <w:suppressLineNumbers w:val="0"/>
        <w:jc w:val="both"/>
        <w:textAlignment w:val="center"/>
        <w:rPr>
          <w:rFonts w:hint="eastAsia" w:ascii="宋体" w:hAnsi="宋体" w:eastAsia="宋体" w:cs="宋体"/>
          <w:b/>
          <w:bCs/>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附件3 成都信息工程大学统计学院学生创新创业训练计划项目</w:t>
      </w:r>
    </w:p>
    <w:p w14:paraId="5D91589D">
      <w:pPr>
        <w:keepNext w:val="0"/>
        <w:keepLines w:val="0"/>
        <w:widowControl/>
        <w:suppressLineNumbers w:val="0"/>
        <w:jc w:val="center"/>
        <w:textAlignment w:val="center"/>
        <w:rPr>
          <w:rFonts w:hint="eastAsia" w:ascii="宋体" w:hAnsi="宋体" w:eastAsia="宋体" w:cs="宋体"/>
          <w:b/>
          <w:bCs/>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（统计学院推免研究生加分试行）</w:t>
      </w:r>
    </w:p>
    <w:p w14:paraId="5F30691C">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0"/>
          <w:sz w:val="24"/>
          <w:szCs w:val="24"/>
          <w:vertAlign w:val="baseline"/>
          <w:lang w:val="en-US" w:eastAsia="zh-CN"/>
        </w:rPr>
      </w:pPr>
      <w:r>
        <w:rPr>
          <w:rFonts w:hint="eastAsia" w:ascii="宋体" w:hAnsi="宋体" w:eastAsia="宋体" w:cs="宋体"/>
          <w:color w:val="000000"/>
          <w:kern w:val="0"/>
          <w:sz w:val="24"/>
          <w:szCs w:val="24"/>
          <w:vertAlign w:val="baseline"/>
          <w:lang w:val="en-US" w:eastAsia="zh-CN"/>
        </w:rPr>
        <w:t xml:space="preserve">1、只计算省级、国家级大创项目，项目级别由教务处认定。 </w:t>
      </w:r>
    </w:p>
    <w:p w14:paraId="2A454C37">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0"/>
          <w:sz w:val="24"/>
          <w:szCs w:val="24"/>
          <w:vertAlign w:val="baseline"/>
          <w:lang w:val="en-US" w:eastAsia="zh-CN"/>
        </w:rPr>
      </w:pPr>
      <w:r>
        <w:rPr>
          <w:rFonts w:hint="eastAsia" w:ascii="宋体" w:hAnsi="宋体" w:eastAsia="宋体" w:cs="宋体"/>
          <w:color w:val="000000"/>
          <w:kern w:val="0"/>
          <w:sz w:val="24"/>
          <w:szCs w:val="24"/>
          <w:vertAlign w:val="baseline"/>
          <w:lang w:val="en-US" w:eastAsia="zh-CN"/>
        </w:rPr>
        <w:t xml:space="preserve">2、标准分：省级、国家级（一般）、国家级（重点）的“标准分”分别为0.5分/项、1.5分/项、 2分/项。 </w:t>
      </w:r>
    </w:p>
    <w:p w14:paraId="6E6D0E00">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0"/>
          <w:sz w:val="24"/>
          <w:szCs w:val="24"/>
          <w:vertAlign w:val="baseline"/>
          <w:lang w:val="en-US" w:eastAsia="zh-CN"/>
        </w:rPr>
      </w:pPr>
      <w:r>
        <w:rPr>
          <w:rFonts w:hint="eastAsia" w:ascii="宋体" w:hAnsi="宋体" w:eastAsia="宋体" w:cs="宋体"/>
          <w:color w:val="000000"/>
          <w:kern w:val="0"/>
          <w:sz w:val="24"/>
          <w:szCs w:val="24"/>
          <w:vertAlign w:val="baseline"/>
          <w:lang w:val="en-US" w:eastAsia="zh-CN"/>
        </w:rPr>
        <w:t>3、立项、中期检查合格、结题通过分别按照“标准分”的30%、30%、40%计算；终止或延期结题的项目不计分。</w:t>
      </w:r>
    </w:p>
    <w:p w14:paraId="606EEFCE">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0"/>
          <w:sz w:val="24"/>
          <w:szCs w:val="24"/>
          <w:vertAlign w:val="baseline"/>
          <w:lang w:val="en-US" w:eastAsia="zh-CN"/>
        </w:rPr>
      </w:pPr>
      <w:r>
        <w:rPr>
          <w:rFonts w:hint="eastAsia" w:ascii="宋体" w:hAnsi="宋体" w:eastAsia="宋体" w:cs="宋体"/>
          <w:color w:val="000000"/>
          <w:kern w:val="0"/>
          <w:sz w:val="24"/>
          <w:szCs w:val="24"/>
          <w:vertAlign w:val="baseline"/>
          <w:lang w:val="en-US" w:eastAsia="zh-CN"/>
        </w:rPr>
        <w:t>4、项目负责人按标准分的1.0系数计算，团队其余成员按标准分的0.8系数计算。</w:t>
      </w:r>
    </w:p>
    <w:p w14:paraId="7AFC733B">
      <w:pPr>
        <w:keepNext w:val="0"/>
        <w:keepLines w:val="0"/>
        <w:widowControl/>
        <w:suppressLineNumbers w:val="0"/>
        <w:jc w:val="left"/>
        <w:textAlignment w:val="center"/>
        <w:rPr>
          <w:rFonts w:hint="default" w:ascii="仿宋_GB2312" w:hAnsi="仿宋_GB2312" w:eastAsia="仿宋_GB2312" w:cs="仿宋_GB2312"/>
          <w:b/>
          <w:bCs/>
          <w:color w:val="000000"/>
          <w:kern w:val="0"/>
          <w:sz w:val="32"/>
          <w:szCs w:val="32"/>
          <w:lang w:val="en-US" w:eastAsia="zh-CN" w:bidi="ar"/>
        </w:rPr>
      </w:pPr>
    </w:p>
    <w:p w14:paraId="0F8954C9">
      <w:pPr>
        <w:keepNext w:val="0"/>
        <w:keepLines w:val="0"/>
        <w:widowControl/>
        <w:suppressLineNumbers w:val="0"/>
        <w:jc w:val="left"/>
        <w:textAlignment w:val="center"/>
        <w:rPr>
          <w:rFonts w:hint="eastAsia" w:ascii="等线" w:hAnsi="等线" w:eastAsia="等线" w:cs="等线"/>
          <w:i w:val="0"/>
          <w:iCs w:val="0"/>
          <w:color w:val="000000"/>
          <w:kern w:val="0"/>
          <w:sz w:val="24"/>
          <w:szCs w:val="24"/>
          <w:u w:val="none"/>
          <w:lang w:val="en-US" w:eastAsia="zh-CN" w:bidi="ar"/>
        </w:rPr>
      </w:pPr>
    </w:p>
    <w:p w14:paraId="0CEF0455">
      <w:pPr>
        <w:keepNext w:val="0"/>
        <w:keepLines w:val="0"/>
        <w:widowControl/>
        <w:suppressLineNumbers w:val="0"/>
        <w:jc w:val="left"/>
        <w:textAlignment w:val="center"/>
        <w:rPr>
          <w:rFonts w:hint="eastAsia" w:ascii="等线" w:hAnsi="等线" w:eastAsia="等线" w:cs="等线"/>
          <w:i w:val="0"/>
          <w:iCs w:val="0"/>
          <w:color w:val="000000"/>
          <w:kern w:val="0"/>
          <w:sz w:val="24"/>
          <w:szCs w:val="24"/>
          <w:u w:val="none"/>
          <w:lang w:val="en-US" w:eastAsia="zh-CN" w:bidi="ar"/>
        </w:rPr>
      </w:pPr>
    </w:p>
    <w:p w14:paraId="50367E8F">
      <w:pPr>
        <w:keepNext w:val="0"/>
        <w:keepLines w:val="0"/>
        <w:widowControl/>
        <w:suppressLineNumbers w:val="0"/>
        <w:jc w:val="right"/>
        <w:textAlignment w:val="center"/>
        <w:rPr>
          <w:rFonts w:hint="default" w:ascii="等线" w:hAnsi="等线" w:eastAsia="等线" w:cs="等线"/>
          <w:i w:val="0"/>
          <w:iCs w:val="0"/>
          <w:color w:val="000000"/>
          <w:kern w:val="0"/>
          <w:sz w:val="24"/>
          <w:szCs w:val="24"/>
          <w:u w:val="none"/>
          <w:lang w:val="en-US" w:eastAsia="zh-CN" w:bidi="ar"/>
        </w:rPr>
      </w:pPr>
    </w:p>
    <w:p w14:paraId="77A85C9A">
      <w:pPr>
        <w:keepNext w:val="0"/>
        <w:keepLines w:val="0"/>
        <w:widowControl/>
        <w:suppressLineNumbers w:val="0"/>
        <w:jc w:val="right"/>
        <w:textAlignment w:val="center"/>
        <w:rPr>
          <w:rFonts w:hint="default" w:ascii="等线" w:hAnsi="等线" w:eastAsia="等线" w:cs="等线"/>
          <w:i w:val="0"/>
          <w:iCs w:val="0"/>
          <w:color w:val="000000"/>
          <w:kern w:val="0"/>
          <w:sz w:val="24"/>
          <w:szCs w:val="24"/>
          <w:u w:val="none"/>
          <w:lang w:val="en-US" w:eastAsia="zh-CN" w:bidi="ar"/>
        </w:rPr>
      </w:pPr>
    </w:p>
    <w:p w14:paraId="22C9A8AB">
      <w:pPr>
        <w:keepNext w:val="0"/>
        <w:keepLines w:val="0"/>
        <w:widowControl/>
        <w:suppressLineNumbers w:val="0"/>
        <w:jc w:val="right"/>
        <w:textAlignment w:val="center"/>
        <w:rPr>
          <w:rFonts w:hint="default" w:ascii="等线" w:hAnsi="等线" w:eastAsia="等线" w:cs="等线"/>
          <w:i w:val="0"/>
          <w:iCs w:val="0"/>
          <w:color w:val="000000"/>
          <w:kern w:val="0"/>
          <w:sz w:val="24"/>
          <w:szCs w:val="24"/>
          <w:u w:val="none"/>
          <w:lang w:val="en-US" w:eastAsia="zh-CN" w:bidi="ar"/>
        </w:rPr>
      </w:pPr>
    </w:p>
    <w:p w14:paraId="08D6256B">
      <w:pPr>
        <w:keepNext w:val="0"/>
        <w:keepLines w:val="0"/>
        <w:widowControl/>
        <w:suppressLineNumbers w:val="0"/>
        <w:jc w:val="right"/>
        <w:textAlignment w:val="center"/>
        <w:rPr>
          <w:rFonts w:hint="default" w:ascii="等线" w:hAnsi="等线" w:eastAsia="等线" w:cs="等线"/>
          <w:i w:val="0"/>
          <w:iCs w:val="0"/>
          <w:color w:val="000000"/>
          <w:kern w:val="0"/>
          <w:sz w:val="24"/>
          <w:szCs w:val="24"/>
          <w:u w:val="none"/>
          <w:lang w:val="en-US" w:eastAsia="zh-CN" w:bidi="ar"/>
        </w:rPr>
      </w:pPr>
    </w:p>
    <w:p w14:paraId="07798937">
      <w:pPr>
        <w:keepNext w:val="0"/>
        <w:keepLines w:val="0"/>
        <w:widowControl/>
        <w:suppressLineNumbers w:val="0"/>
        <w:jc w:val="right"/>
        <w:textAlignment w:val="center"/>
        <w:rPr>
          <w:rFonts w:hint="default" w:ascii="等线" w:hAnsi="等线" w:eastAsia="等线" w:cs="等线"/>
          <w:i w:val="0"/>
          <w:iCs w:val="0"/>
          <w:color w:val="000000"/>
          <w:kern w:val="0"/>
          <w:sz w:val="24"/>
          <w:szCs w:val="24"/>
          <w:u w:val="none"/>
          <w:lang w:val="en-US" w:eastAsia="zh-CN" w:bidi="ar"/>
        </w:rPr>
      </w:pPr>
    </w:p>
    <w:p w14:paraId="51D6E3C3">
      <w:pPr>
        <w:keepNext w:val="0"/>
        <w:keepLines w:val="0"/>
        <w:widowControl/>
        <w:suppressLineNumbers w:val="0"/>
        <w:jc w:val="right"/>
        <w:textAlignment w:val="center"/>
        <w:rPr>
          <w:rFonts w:hint="default" w:ascii="等线" w:hAnsi="等线" w:eastAsia="等线" w:cs="等线"/>
          <w:i w:val="0"/>
          <w:iCs w:val="0"/>
          <w:color w:val="000000"/>
          <w:kern w:val="0"/>
          <w:sz w:val="24"/>
          <w:szCs w:val="24"/>
          <w:u w:val="none"/>
          <w:lang w:val="en-US" w:eastAsia="zh-CN" w:bidi="ar"/>
        </w:rPr>
      </w:pPr>
    </w:p>
    <w:p w14:paraId="02E7952C">
      <w:pPr>
        <w:keepNext w:val="0"/>
        <w:keepLines w:val="0"/>
        <w:widowControl/>
        <w:suppressLineNumbers w:val="0"/>
        <w:jc w:val="right"/>
        <w:textAlignment w:val="center"/>
        <w:rPr>
          <w:rFonts w:hint="default" w:ascii="等线" w:hAnsi="等线" w:eastAsia="等线" w:cs="等线"/>
          <w:i w:val="0"/>
          <w:iCs w:val="0"/>
          <w:color w:val="000000"/>
          <w:kern w:val="0"/>
          <w:sz w:val="24"/>
          <w:szCs w:val="24"/>
          <w:u w:val="none"/>
          <w:lang w:val="en-US" w:eastAsia="zh-CN" w:bidi="ar"/>
        </w:rPr>
      </w:pPr>
    </w:p>
    <w:p w14:paraId="2D3ADF62">
      <w:pPr>
        <w:keepNext w:val="0"/>
        <w:keepLines w:val="0"/>
        <w:widowControl/>
        <w:suppressLineNumbers w:val="0"/>
        <w:jc w:val="right"/>
        <w:textAlignment w:val="center"/>
        <w:rPr>
          <w:rFonts w:hint="default" w:ascii="等线" w:hAnsi="等线" w:eastAsia="等线" w:cs="等线"/>
          <w:i w:val="0"/>
          <w:iCs w:val="0"/>
          <w:color w:val="000000"/>
          <w:kern w:val="0"/>
          <w:sz w:val="24"/>
          <w:szCs w:val="24"/>
          <w:u w:val="none"/>
          <w:lang w:val="en-US" w:eastAsia="zh-CN" w:bidi="ar"/>
        </w:rPr>
      </w:pPr>
    </w:p>
    <w:p w14:paraId="355F1844">
      <w:pPr>
        <w:keepNext w:val="0"/>
        <w:keepLines w:val="0"/>
        <w:widowControl/>
        <w:suppressLineNumbers w:val="0"/>
        <w:jc w:val="right"/>
        <w:textAlignment w:val="center"/>
        <w:rPr>
          <w:rFonts w:hint="default" w:ascii="等线" w:hAnsi="等线" w:eastAsia="等线" w:cs="等线"/>
          <w:i w:val="0"/>
          <w:iCs w:val="0"/>
          <w:color w:val="000000"/>
          <w:kern w:val="0"/>
          <w:sz w:val="24"/>
          <w:szCs w:val="24"/>
          <w:u w:val="none"/>
          <w:lang w:val="en-US" w:eastAsia="zh-CN" w:bidi="ar"/>
        </w:rPr>
      </w:pPr>
    </w:p>
    <w:p w14:paraId="793415C2">
      <w:pPr>
        <w:keepNext w:val="0"/>
        <w:keepLines w:val="0"/>
        <w:widowControl/>
        <w:suppressLineNumbers w:val="0"/>
        <w:jc w:val="right"/>
        <w:textAlignment w:val="center"/>
        <w:rPr>
          <w:rFonts w:hint="default" w:ascii="等线" w:hAnsi="等线" w:eastAsia="等线" w:cs="等线"/>
          <w:i w:val="0"/>
          <w:iCs w:val="0"/>
          <w:color w:val="000000"/>
          <w:kern w:val="0"/>
          <w:sz w:val="24"/>
          <w:szCs w:val="24"/>
          <w:u w:val="none"/>
          <w:lang w:val="en-US" w:eastAsia="zh-CN" w:bidi="ar"/>
        </w:rPr>
      </w:pPr>
    </w:p>
    <w:p w14:paraId="09FF93FE">
      <w:pPr>
        <w:keepNext w:val="0"/>
        <w:keepLines w:val="0"/>
        <w:widowControl/>
        <w:suppressLineNumbers w:val="0"/>
        <w:jc w:val="right"/>
        <w:textAlignment w:val="center"/>
        <w:rPr>
          <w:rFonts w:hint="default" w:ascii="等线" w:hAnsi="等线" w:eastAsia="等线" w:cs="等线"/>
          <w:i w:val="0"/>
          <w:iCs w:val="0"/>
          <w:color w:val="000000"/>
          <w:kern w:val="0"/>
          <w:sz w:val="24"/>
          <w:szCs w:val="24"/>
          <w:u w:val="none"/>
          <w:lang w:val="en-US" w:eastAsia="zh-CN" w:bidi="ar"/>
        </w:rPr>
      </w:pPr>
    </w:p>
    <w:p w14:paraId="4EFF4087">
      <w:pPr>
        <w:keepNext w:val="0"/>
        <w:keepLines w:val="0"/>
        <w:widowControl/>
        <w:suppressLineNumbers w:val="0"/>
        <w:jc w:val="right"/>
        <w:textAlignment w:val="center"/>
        <w:rPr>
          <w:rFonts w:hint="default" w:ascii="等线" w:hAnsi="等线" w:eastAsia="等线" w:cs="等线"/>
          <w:i w:val="0"/>
          <w:iCs w:val="0"/>
          <w:color w:val="000000"/>
          <w:kern w:val="0"/>
          <w:sz w:val="24"/>
          <w:szCs w:val="24"/>
          <w:u w:val="none"/>
          <w:lang w:val="en-US" w:eastAsia="zh-CN" w:bidi="ar"/>
        </w:rPr>
      </w:pPr>
    </w:p>
    <w:p w14:paraId="55F69D2A">
      <w:pPr>
        <w:keepNext w:val="0"/>
        <w:keepLines w:val="0"/>
        <w:widowControl/>
        <w:suppressLineNumbers w:val="0"/>
        <w:jc w:val="right"/>
        <w:textAlignment w:val="center"/>
        <w:rPr>
          <w:rFonts w:hint="default" w:ascii="等线" w:hAnsi="等线" w:eastAsia="等线" w:cs="等线"/>
          <w:i w:val="0"/>
          <w:iCs w:val="0"/>
          <w:color w:val="000000"/>
          <w:kern w:val="0"/>
          <w:sz w:val="24"/>
          <w:szCs w:val="24"/>
          <w:u w:val="none"/>
          <w:lang w:val="en-US" w:eastAsia="zh-CN" w:bidi="ar"/>
        </w:rPr>
      </w:pPr>
    </w:p>
    <w:p w14:paraId="3BD9E5A1">
      <w:pPr>
        <w:keepNext w:val="0"/>
        <w:keepLines w:val="0"/>
        <w:widowControl/>
        <w:suppressLineNumbers w:val="0"/>
        <w:jc w:val="right"/>
        <w:textAlignment w:val="center"/>
        <w:rPr>
          <w:rFonts w:hint="default" w:ascii="等线" w:hAnsi="等线" w:eastAsia="等线" w:cs="等线"/>
          <w:i w:val="0"/>
          <w:iCs w:val="0"/>
          <w:color w:val="000000"/>
          <w:kern w:val="0"/>
          <w:sz w:val="24"/>
          <w:szCs w:val="24"/>
          <w:u w:val="none"/>
          <w:lang w:val="en-US" w:eastAsia="zh-CN" w:bidi="ar"/>
        </w:rPr>
      </w:pPr>
    </w:p>
    <w:p w14:paraId="5057124B">
      <w:pPr>
        <w:keepNext w:val="0"/>
        <w:keepLines w:val="0"/>
        <w:widowControl/>
        <w:suppressLineNumbers w:val="0"/>
        <w:jc w:val="both"/>
        <w:textAlignment w:val="center"/>
        <w:rPr>
          <w:rFonts w:hint="eastAsia" w:ascii="宋体" w:hAnsi="宋体" w:eastAsia="宋体" w:cs="宋体"/>
          <w:b/>
          <w:bCs/>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附件4    成都信息工程大学统计学院社会实践类加分细则</w:t>
      </w:r>
    </w:p>
    <w:p w14:paraId="19AF5599">
      <w:pPr>
        <w:keepNext w:val="0"/>
        <w:keepLines w:val="0"/>
        <w:widowControl/>
        <w:suppressLineNumbers w:val="0"/>
        <w:jc w:val="center"/>
        <w:textAlignment w:val="center"/>
        <w:rPr>
          <w:rFonts w:hint="default" w:ascii="等线" w:hAnsi="等线" w:eastAsia="等线" w:cs="等线"/>
          <w:i w:val="0"/>
          <w:iCs w:val="0"/>
          <w:color w:val="000000"/>
          <w:kern w:val="0"/>
          <w:sz w:val="28"/>
          <w:szCs w:val="28"/>
          <w:u w:val="none"/>
          <w:lang w:val="en-US" w:eastAsia="zh-CN" w:bidi="ar"/>
        </w:rPr>
      </w:pPr>
      <w:r>
        <w:rPr>
          <w:rFonts w:hint="eastAsia" w:ascii="宋体" w:hAnsi="宋体" w:eastAsia="宋体" w:cs="宋体"/>
          <w:b/>
          <w:bCs/>
          <w:color w:val="000000"/>
          <w:kern w:val="0"/>
          <w:sz w:val="28"/>
          <w:szCs w:val="28"/>
          <w:lang w:val="en-US" w:eastAsia="zh-CN" w:bidi="ar"/>
        </w:rPr>
        <w:t>（统计学院推免研究生加分试行）</w:t>
      </w:r>
    </w:p>
    <w:p w14:paraId="38F79286">
      <w:pPr>
        <w:keepNext w:val="0"/>
        <w:keepLines w:val="0"/>
        <w:widowControl/>
        <w:suppressLineNumbers w:val="0"/>
        <w:ind w:firstLine="480" w:firstLineChars="20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1、该类加分项目包括“荣誉称号”和“文体竞赛获奖”两类；</w:t>
      </w:r>
    </w:p>
    <w:p w14:paraId="5500A7F1">
      <w:pPr>
        <w:keepNext w:val="0"/>
        <w:keepLines w:val="0"/>
        <w:widowControl/>
        <w:suppressLineNumbers w:val="0"/>
        <w:ind w:firstLine="480" w:firstLineChars="20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2、“荣誉称号”涵盖部分校级称号及省级及以上称号；</w:t>
      </w:r>
    </w:p>
    <w:p w14:paraId="348791D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3、加分项目明确有等级的按照等级加分标准加分；若没有明确等级的，则根</w:t>
      </w:r>
    </w:p>
    <w:p w14:paraId="05CA4C66">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据排名进行等级认定后加分，其中：文艺类竞赛第1名认定为一等奖，第2-3名认定为二等奖，第4-6名认定为三等奖，体育类竞赛第1名认定为一等奖，第2-3名认定为二等奖，第4-8名认定为三等奖。</w:t>
      </w:r>
    </w:p>
    <w:p w14:paraId="05482712">
      <w:pPr>
        <w:keepNext w:val="0"/>
        <w:keepLines w:val="0"/>
        <w:widowControl/>
        <w:suppressLineNumbers w:val="0"/>
        <w:ind w:firstLine="480" w:firstLineChars="20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4、本次荣誉称号和文体竞赛的名录见《成都信息工程大学2026届推免生综合素质加分细则（试行稿）》</w:t>
      </w:r>
      <w:r>
        <w:rPr>
          <w:rFonts w:hint="eastAsia" w:asciiTheme="minorEastAsia" w:hAnsiTheme="minorEastAsia" w:cstheme="minorEastAsia"/>
          <w:i w:val="0"/>
          <w:iCs w:val="0"/>
          <w:color w:val="000000"/>
          <w:kern w:val="0"/>
          <w:sz w:val="24"/>
          <w:szCs w:val="24"/>
          <w:u w:val="none"/>
          <w:lang w:val="en-US" w:eastAsia="zh-CN" w:bidi="ar"/>
        </w:rPr>
        <w:t>的</w:t>
      </w:r>
      <w:r>
        <w:rPr>
          <w:rFonts w:hint="eastAsia" w:asciiTheme="minorEastAsia" w:hAnsiTheme="minorEastAsia" w:eastAsiaTheme="minorEastAsia" w:cstheme="minorEastAsia"/>
          <w:i w:val="0"/>
          <w:iCs w:val="0"/>
          <w:color w:val="000000"/>
          <w:kern w:val="0"/>
          <w:sz w:val="24"/>
          <w:szCs w:val="24"/>
          <w:highlight w:val="none"/>
          <w:u w:val="none"/>
          <w:lang w:val="en-US" w:eastAsia="zh-CN" w:bidi="ar"/>
        </w:rPr>
        <w:t>附表</w:t>
      </w:r>
      <w:r>
        <w:rPr>
          <w:rFonts w:hint="eastAsia" w:asciiTheme="minorEastAsia" w:hAnsiTheme="minorEastAsia" w:eastAsiaTheme="minorEastAsia" w:cstheme="minorEastAsia"/>
          <w:i w:val="0"/>
          <w:iCs w:val="0"/>
          <w:color w:val="000000"/>
          <w:kern w:val="0"/>
          <w:sz w:val="24"/>
          <w:szCs w:val="24"/>
          <w:u w:val="none"/>
          <w:lang w:val="en-US" w:eastAsia="zh-CN" w:bidi="ar"/>
        </w:rPr>
        <w:t>。</w:t>
      </w:r>
    </w:p>
    <w:p w14:paraId="617909D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5、国际荣誉称号（国际文体竞赛获奖）参照执行，但不得低于国内荣誉称号（国内文体竞赛获奖）相关要求。</w:t>
      </w:r>
    </w:p>
    <w:p w14:paraId="1FDF5979">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表         社会实践类加分标准</w:t>
      </w:r>
    </w:p>
    <w:tbl>
      <w:tblPr>
        <w:tblStyle w:val="5"/>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8"/>
        <w:gridCol w:w="2045"/>
        <w:gridCol w:w="4285"/>
      </w:tblGrid>
      <w:tr w14:paraId="3EFDF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3" w:type="dxa"/>
            <w:gridSpan w:val="2"/>
            <w:vAlign w:val="center"/>
          </w:tcPr>
          <w:p w14:paraId="0740B64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加分项目类别</w:t>
            </w:r>
          </w:p>
        </w:tc>
        <w:tc>
          <w:tcPr>
            <w:tcW w:w="4285" w:type="dxa"/>
            <w:vAlign w:val="center"/>
          </w:tcPr>
          <w:p w14:paraId="44EEE00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加分标准</w:t>
            </w:r>
          </w:p>
        </w:tc>
      </w:tr>
      <w:tr w14:paraId="6B394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58" w:type="dxa"/>
            <w:vMerge w:val="restart"/>
            <w:vAlign w:val="center"/>
          </w:tcPr>
          <w:p w14:paraId="1D296E9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荣誉称号</w:t>
            </w:r>
          </w:p>
        </w:tc>
        <w:tc>
          <w:tcPr>
            <w:tcW w:w="2045" w:type="dxa"/>
            <w:vAlign w:val="center"/>
          </w:tcPr>
          <w:p w14:paraId="7C39BE0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国家级</w:t>
            </w:r>
          </w:p>
        </w:tc>
        <w:tc>
          <w:tcPr>
            <w:tcW w:w="4285" w:type="dxa"/>
            <w:vAlign w:val="center"/>
          </w:tcPr>
          <w:p w14:paraId="2E9D5BD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2分/项</w:t>
            </w:r>
          </w:p>
        </w:tc>
      </w:tr>
      <w:tr w14:paraId="3D5A3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58" w:type="dxa"/>
            <w:vMerge w:val="continue"/>
            <w:vAlign w:val="center"/>
          </w:tcPr>
          <w:p w14:paraId="0452701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2045" w:type="dxa"/>
            <w:vAlign w:val="center"/>
          </w:tcPr>
          <w:p w14:paraId="676D1D3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省级</w:t>
            </w:r>
          </w:p>
        </w:tc>
        <w:tc>
          <w:tcPr>
            <w:tcW w:w="4285" w:type="dxa"/>
            <w:vAlign w:val="center"/>
          </w:tcPr>
          <w:p w14:paraId="2418AA2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1分/项</w:t>
            </w:r>
          </w:p>
        </w:tc>
      </w:tr>
      <w:tr w14:paraId="5906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58" w:type="dxa"/>
            <w:vMerge w:val="continue"/>
            <w:vAlign w:val="center"/>
          </w:tcPr>
          <w:p w14:paraId="28865D7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2045" w:type="dxa"/>
            <w:vAlign w:val="center"/>
          </w:tcPr>
          <w:p w14:paraId="1EFEB54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校级</w:t>
            </w:r>
          </w:p>
        </w:tc>
        <w:tc>
          <w:tcPr>
            <w:tcW w:w="4285" w:type="dxa"/>
            <w:vAlign w:val="center"/>
          </w:tcPr>
          <w:p w14:paraId="49D599B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0.5分/项</w:t>
            </w:r>
          </w:p>
        </w:tc>
      </w:tr>
      <w:tr w14:paraId="48299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58" w:type="dxa"/>
            <w:vMerge w:val="restart"/>
            <w:vAlign w:val="center"/>
          </w:tcPr>
          <w:p w14:paraId="2857668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文体竞赛获奖</w:t>
            </w:r>
          </w:p>
        </w:tc>
        <w:tc>
          <w:tcPr>
            <w:tcW w:w="2045" w:type="dxa"/>
            <w:vAlign w:val="center"/>
          </w:tcPr>
          <w:p w14:paraId="52B91F6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国家级</w:t>
            </w:r>
          </w:p>
        </w:tc>
        <w:tc>
          <w:tcPr>
            <w:tcW w:w="4285" w:type="dxa"/>
            <w:vAlign w:val="center"/>
          </w:tcPr>
          <w:p w14:paraId="6528EDD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一等奖及以上2分/项，二等奖1分/项，三等奖0.5分/项</w:t>
            </w:r>
          </w:p>
        </w:tc>
      </w:tr>
      <w:tr w14:paraId="4C16F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58" w:type="dxa"/>
            <w:vMerge w:val="continue"/>
            <w:vAlign w:val="center"/>
          </w:tcPr>
          <w:p w14:paraId="22E60B6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2045" w:type="dxa"/>
            <w:vAlign w:val="center"/>
          </w:tcPr>
          <w:p w14:paraId="588FD61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省级</w:t>
            </w:r>
          </w:p>
        </w:tc>
        <w:tc>
          <w:tcPr>
            <w:tcW w:w="4285" w:type="dxa"/>
            <w:vAlign w:val="center"/>
          </w:tcPr>
          <w:p w14:paraId="483693B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一等奖及以上1分/项，二等奖0.5分/项，三等奖0.2分/项</w:t>
            </w:r>
          </w:p>
        </w:tc>
      </w:tr>
    </w:tbl>
    <w:p w14:paraId="6BD3B986">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p>
    <w:p w14:paraId="632934AB">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p>
    <w:p w14:paraId="5D621499">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p>
    <w:p w14:paraId="3997A673">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p>
    <w:p w14:paraId="02BB5496">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p>
    <w:p w14:paraId="5BC71DAA">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p>
    <w:p w14:paraId="60804E66">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p>
    <w:p w14:paraId="095539FB">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p>
    <w:p w14:paraId="4119E4DB">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p>
    <w:p w14:paraId="4D779D69">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p>
    <w:p w14:paraId="2D05DDE0">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p>
    <w:p w14:paraId="7D0A07E0">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p>
    <w:p w14:paraId="7547085B">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p>
    <w:p w14:paraId="63030CC4">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p>
    <w:p w14:paraId="0F3ECE20">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p>
    <w:p w14:paraId="070AB5B6">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p>
    <w:p w14:paraId="5CC0A0DD">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p>
    <w:p w14:paraId="40450285">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p>
    <w:p w14:paraId="425BD79D">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p>
    <w:p w14:paraId="23AB07AA">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p>
    <w:p w14:paraId="6B85872E">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p>
    <w:p w14:paraId="43EF53BD">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p>
    <w:p w14:paraId="32E542B8">
      <w:pPr>
        <w:keepNext w:val="0"/>
        <w:keepLines w:val="0"/>
        <w:widowControl/>
        <w:suppressLineNumbers w:val="0"/>
        <w:jc w:val="both"/>
        <w:textAlignment w:val="center"/>
        <w:rPr>
          <w:rFonts w:hint="eastAsia" w:ascii="宋体" w:hAnsi="宋体" w:eastAsia="宋体" w:cs="宋体"/>
          <w:b/>
          <w:bCs/>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附件5    成都信息工程大学统计学院外语能力类加分细则</w:t>
      </w:r>
    </w:p>
    <w:p w14:paraId="352DA4A0">
      <w:pPr>
        <w:keepNext w:val="0"/>
        <w:keepLines w:val="0"/>
        <w:widowControl/>
        <w:suppressLineNumbers w:val="0"/>
        <w:jc w:val="center"/>
        <w:textAlignment w:val="center"/>
        <w:rPr>
          <w:rFonts w:hint="default" w:ascii="等线" w:hAnsi="等线" w:eastAsia="等线" w:cs="等线"/>
          <w:i w:val="0"/>
          <w:iCs w:val="0"/>
          <w:color w:val="000000"/>
          <w:kern w:val="0"/>
          <w:sz w:val="28"/>
          <w:szCs w:val="28"/>
          <w:u w:val="none"/>
          <w:lang w:val="en-US" w:eastAsia="zh-CN" w:bidi="ar"/>
        </w:rPr>
      </w:pPr>
      <w:r>
        <w:rPr>
          <w:rFonts w:hint="eastAsia" w:ascii="宋体" w:hAnsi="宋体" w:eastAsia="宋体" w:cs="宋体"/>
          <w:b/>
          <w:bCs/>
          <w:color w:val="000000"/>
          <w:kern w:val="0"/>
          <w:sz w:val="28"/>
          <w:szCs w:val="28"/>
          <w:lang w:val="en-US" w:eastAsia="zh-CN" w:bidi="ar"/>
        </w:rPr>
        <w:t>（统计学院推免研究生加分试行）</w:t>
      </w:r>
    </w:p>
    <w:p w14:paraId="11CA0B3B">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p>
    <w:p w14:paraId="2E6E7ECE">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外语能力类加分为满分2分。</w:t>
      </w:r>
    </w:p>
    <w:p w14:paraId="2AA5634A">
      <w:pPr>
        <w:keepNext w:val="0"/>
        <w:keepLines w:val="0"/>
        <w:widowControl/>
        <w:numPr>
          <w:ilvl w:val="0"/>
          <w:numId w:val="3"/>
        </w:numPr>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该类加分项目包括：英语等级证书、TOEFL（托福）考试成绩、IELTS（雅思）考试成绩、德语等小语种等级证书等。</w:t>
      </w:r>
    </w:p>
    <w:p w14:paraId="34AC342E">
      <w:pPr>
        <w:keepNext w:val="0"/>
        <w:keepLines w:val="0"/>
        <w:widowControl/>
        <w:suppressLineNumbers w:val="0"/>
        <w:ind w:firstLine="720" w:firstLineChars="3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2、专业英语八级、德语等小语种等外语能力根据国际标准进行能力评估，参照上一条的加分标准执行，且单项加分最高不超过1.5分。</w:t>
      </w:r>
    </w:p>
    <w:p w14:paraId="4F034F36">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表      外语能力类加分类别和加分标准   </w:t>
      </w:r>
    </w:p>
    <w:tbl>
      <w:tblPr>
        <w:tblStyle w:val="5"/>
        <w:tblW w:w="87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98"/>
        <w:gridCol w:w="4218"/>
        <w:gridCol w:w="2025"/>
      </w:tblGrid>
      <w:tr w14:paraId="6BEF3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6" w:type="dxa"/>
            <w:gridSpan w:val="2"/>
            <w:vAlign w:val="center"/>
          </w:tcPr>
          <w:p w14:paraId="42EB162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加分项目类别</w:t>
            </w:r>
          </w:p>
        </w:tc>
        <w:tc>
          <w:tcPr>
            <w:tcW w:w="2025" w:type="dxa"/>
            <w:vAlign w:val="center"/>
          </w:tcPr>
          <w:p w14:paraId="0E1720B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加分标准</w:t>
            </w:r>
          </w:p>
        </w:tc>
      </w:tr>
      <w:tr w14:paraId="55281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8" w:type="dxa"/>
            <w:vMerge w:val="restart"/>
            <w:vAlign w:val="center"/>
          </w:tcPr>
          <w:p w14:paraId="214046E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英语等级证书（非英语专业）</w:t>
            </w:r>
          </w:p>
        </w:tc>
        <w:tc>
          <w:tcPr>
            <w:tcW w:w="4218" w:type="dxa"/>
            <w:vAlign w:val="center"/>
          </w:tcPr>
          <w:p w14:paraId="70CA107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CET-6级580分及以上</w:t>
            </w:r>
          </w:p>
        </w:tc>
        <w:tc>
          <w:tcPr>
            <w:tcW w:w="2025" w:type="dxa"/>
            <w:vAlign w:val="center"/>
          </w:tcPr>
          <w:p w14:paraId="086998F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1.5分/项</w:t>
            </w:r>
          </w:p>
        </w:tc>
      </w:tr>
      <w:tr w14:paraId="305CC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8" w:type="dxa"/>
            <w:vMerge w:val="continue"/>
            <w:vAlign w:val="center"/>
          </w:tcPr>
          <w:p w14:paraId="498CF07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18" w:type="dxa"/>
            <w:vAlign w:val="center"/>
          </w:tcPr>
          <w:p w14:paraId="49405A6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CET-6级425分-580分（不含）</w:t>
            </w:r>
          </w:p>
        </w:tc>
        <w:tc>
          <w:tcPr>
            <w:tcW w:w="2025" w:type="dxa"/>
            <w:vAlign w:val="center"/>
          </w:tcPr>
          <w:p w14:paraId="67064C5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0.5分/项</w:t>
            </w:r>
          </w:p>
        </w:tc>
      </w:tr>
      <w:tr w14:paraId="2FE2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8" w:type="dxa"/>
            <w:vMerge w:val="restart"/>
            <w:vAlign w:val="center"/>
          </w:tcPr>
          <w:p w14:paraId="6561F57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TOEFL（托福）考试成绩</w:t>
            </w:r>
          </w:p>
        </w:tc>
        <w:tc>
          <w:tcPr>
            <w:tcW w:w="4218" w:type="dxa"/>
            <w:vAlign w:val="center"/>
          </w:tcPr>
          <w:p w14:paraId="4423E28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95分及以上</w:t>
            </w:r>
          </w:p>
        </w:tc>
        <w:tc>
          <w:tcPr>
            <w:tcW w:w="2025" w:type="dxa"/>
            <w:vAlign w:val="center"/>
          </w:tcPr>
          <w:p w14:paraId="60B1DFD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1.5分/项</w:t>
            </w:r>
          </w:p>
        </w:tc>
      </w:tr>
      <w:tr w14:paraId="77556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498" w:type="dxa"/>
            <w:vMerge w:val="continue"/>
            <w:vAlign w:val="center"/>
          </w:tcPr>
          <w:p w14:paraId="0DA3B36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18" w:type="dxa"/>
            <w:vAlign w:val="center"/>
          </w:tcPr>
          <w:p w14:paraId="3398F09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80分-95分（不含）</w:t>
            </w:r>
          </w:p>
        </w:tc>
        <w:tc>
          <w:tcPr>
            <w:tcW w:w="2025" w:type="dxa"/>
            <w:vAlign w:val="center"/>
          </w:tcPr>
          <w:p w14:paraId="3211715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1分/项</w:t>
            </w:r>
          </w:p>
        </w:tc>
      </w:tr>
      <w:tr w14:paraId="137D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8" w:type="dxa"/>
            <w:vMerge w:val="restart"/>
            <w:vAlign w:val="center"/>
          </w:tcPr>
          <w:p w14:paraId="4D547A3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IELTS（雅思）考试成绩</w:t>
            </w:r>
          </w:p>
        </w:tc>
        <w:tc>
          <w:tcPr>
            <w:tcW w:w="4218" w:type="dxa"/>
            <w:vAlign w:val="center"/>
          </w:tcPr>
          <w:p w14:paraId="126A284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7.0分及以上</w:t>
            </w:r>
          </w:p>
        </w:tc>
        <w:tc>
          <w:tcPr>
            <w:tcW w:w="2025" w:type="dxa"/>
            <w:vAlign w:val="center"/>
          </w:tcPr>
          <w:p w14:paraId="4CA65E3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1.5分/项</w:t>
            </w:r>
          </w:p>
        </w:tc>
      </w:tr>
      <w:tr w14:paraId="775A0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8" w:type="dxa"/>
            <w:vMerge w:val="continue"/>
            <w:vAlign w:val="center"/>
          </w:tcPr>
          <w:p w14:paraId="1112712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18" w:type="dxa"/>
            <w:vAlign w:val="center"/>
          </w:tcPr>
          <w:p w14:paraId="4345BBD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6.0分-7.0分（不含）</w:t>
            </w:r>
          </w:p>
        </w:tc>
        <w:tc>
          <w:tcPr>
            <w:tcW w:w="2025" w:type="dxa"/>
            <w:vAlign w:val="center"/>
          </w:tcPr>
          <w:p w14:paraId="2FF8D45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1分/项</w:t>
            </w:r>
          </w:p>
        </w:tc>
      </w:tr>
    </w:tbl>
    <w:p w14:paraId="1570A4F1">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7E143A41">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1F6E8764">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75A861B5">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740488E3">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7647D602">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5FC78AEE">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4DC6E616">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35EE7CEA">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785F0F43">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4AE18BF6">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2D815BC2">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0E8AF44B">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5E4161BD">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2C964AAA">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39258870">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7C02AED6">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02E29F15">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346436C1">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4839DB9B">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57260F10">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589D70AB">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3F4143D8">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63C7FD11">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219FC6F9">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15FE5B3D">
      <w:pPr>
        <w:keepNext w:val="0"/>
        <w:keepLines w:val="0"/>
        <w:widowControl/>
        <w:suppressLineNumbers w:val="0"/>
        <w:jc w:val="both"/>
        <w:textAlignment w:val="center"/>
        <w:rPr>
          <w:rFonts w:hint="eastAsia" w:ascii="宋体" w:hAnsi="宋体" w:eastAsia="宋体" w:cs="宋体"/>
          <w:b/>
          <w:bCs/>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附件6     成都信息工程大学统计学院其他类加分细则</w:t>
      </w:r>
    </w:p>
    <w:p w14:paraId="3F32E5B3">
      <w:pPr>
        <w:keepNext w:val="0"/>
        <w:keepLines w:val="0"/>
        <w:widowControl/>
        <w:suppressLineNumbers w:val="0"/>
        <w:ind w:firstLine="1968" w:firstLineChars="700"/>
        <w:jc w:val="both"/>
        <w:textAlignment w:val="center"/>
        <w:rPr>
          <w:rFonts w:hint="default" w:ascii="等线" w:hAnsi="等线" w:eastAsia="等线" w:cs="等线"/>
          <w:i w:val="0"/>
          <w:iCs w:val="0"/>
          <w:color w:val="000000"/>
          <w:kern w:val="0"/>
          <w:sz w:val="28"/>
          <w:szCs w:val="28"/>
          <w:u w:val="none"/>
          <w:lang w:val="en-US" w:eastAsia="zh-CN" w:bidi="ar"/>
        </w:rPr>
      </w:pPr>
      <w:r>
        <w:rPr>
          <w:rFonts w:hint="eastAsia" w:ascii="宋体" w:hAnsi="宋体" w:eastAsia="宋体" w:cs="宋体"/>
          <w:b/>
          <w:bCs/>
          <w:color w:val="000000"/>
          <w:kern w:val="0"/>
          <w:sz w:val="28"/>
          <w:szCs w:val="28"/>
          <w:lang w:val="en-US" w:eastAsia="zh-CN" w:bidi="ar"/>
        </w:rPr>
        <w:t>（统计学院推免研究生加分试行）</w:t>
      </w:r>
    </w:p>
    <w:p w14:paraId="62CBF2FD">
      <w:pPr>
        <w:keepNext w:val="0"/>
        <w:keepLines w:val="0"/>
        <w:widowControl/>
        <w:suppressLineNumbers w:val="0"/>
        <w:jc w:val="both"/>
        <w:textAlignment w:val="center"/>
        <w:rPr>
          <w:rFonts w:hint="default" w:ascii="等线" w:hAnsi="等线" w:eastAsia="等线" w:cs="等线"/>
          <w:i w:val="0"/>
          <w:iCs w:val="0"/>
          <w:color w:val="000000"/>
          <w:kern w:val="0"/>
          <w:sz w:val="21"/>
          <w:szCs w:val="21"/>
          <w:u w:val="none"/>
          <w:lang w:val="en-US" w:eastAsia="zh-CN" w:bidi="ar"/>
        </w:rPr>
      </w:pPr>
    </w:p>
    <w:p w14:paraId="38BC7AA1">
      <w:pPr>
        <w:keepNext w:val="0"/>
        <w:keepLines w:val="0"/>
        <w:widowControl/>
        <w:suppressLineNumbers w:val="0"/>
        <w:ind w:firstLine="480" w:firstLineChars="20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其他类加分满分2分。</w:t>
      </w:r>
    </w:p>
    <w:p w14:paraId="0F8B0212">
      <w:pPr>
        <w:keepNext w:val="0"/>
        <w:keepLines w:val="0"/>
        <w:widowControl/>
        <w:suppressLineNumbers w:val="0"/>
        <w:ind w:firstLine="480" w:firstLineChars="20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1、该类加分项目包括：参军入伍服兵役、参加国际组织实习。</w:t>
      </w:r>
    </w:p>
    <w:p w14:paraId="2FD5179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2、参军入伍服兵役是指本科阶段应征参加中国人民解放军（含中国人民武装警察部队），且服役期间思想、工作等各方面表现良好，未受任何处分，圆满履行兵役义务的。</w:t>
      </w:r>
    </w:p>
    <w:p w14:paraId="0526969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3、参加国际组织实习是指本科阶段参加我国人力资源和社会保障部公布的主要国际组织名录中的国际组织实习满3个月及以上（同一个国际组织的多段实习经历不予叠加计算）。</w:t>
      </w:r>
    </w:p>
    <w:p w14:paraId="1E2D7CF7">
      <w:pPr>
        <w:keepNext w:val="0"/>
        <w:keepLines w:val="0"/>
        <w:widowControl/>
        <w:suppressLineNumbers w:val="0"/>
        <w:ind w:firstLine="1200" w:firstLineChars="500"/>
        <w:jc w:val="left"/>
        <w:textAlignment w:val="center"/>
        <w:rPr>
          <w:rFonts w:hint="default" w:ascii="等线" w:hAnsi="等线" w:eastAsia="等线" w:cs="等线"/>
          <w:i w:val="0"/>
          <w:iCs w:val="0"/>
          <w:color w:val="000000"/>
          <w:kern w:val="0"/>
          <w:sz w:val="24"/>
          <w:szCs w:val="24"/>
          <w:u w:val="none"/>
          <w:lang w:val="en-US" w:eastAsia="zh-CN" w:bidi="ar"/>
        </w:rPr>
      </w:pPr>
      <w:r>
        <w:rPr>
          <w:rFonts w:hint="eastAsia" w:ascii="等线" w:hAnsi="等线" w:eastAsia="等线" w:cs="等线"/>
          <w:i w:val="0"/>
          <w:iCs w:val="0"/>
          <w:color w:val="000000"/>
          <w:kern w:val="0"/>
          <w:sz w:val="24"/>
          <w:szCs w:val="24"/>
          <w:u w:val="none"/>
          <w:lang w:val="en-US" w:eastAsia="zh-CN" w:bidi="ar"/>
        </w:rPr>
        <w:t>表                 其他类</w:t>
      </w:r>
      <w:r>
        <w:rPr>
          <w:rFonts w:hint="default" w:ascii="等线" w:hAnsi="等线" w:eastAsia="等线" w:cs="等线"/>
          <w:i w:val="0"/>
          <w:iCs w:val="0"/>
          <w:color w:val="000000"/>
          <w:kern w:val="0"/>
          <w:sz w:val="24"/>
          <w:szCs w:val="24"/>
          <w:u w:val="none"/>
          <w:lang w:val="en-US" w:eastAsia="zh-CN" w:bidi="ar"/>
        </w:rPr>
        <w:t>加分标准</w:t>
      </w:r>
    </w:p>
    <w:tbl>
      <w:tblPr>
        <w:tblStyle w:val="5"/>
        <w:tblW w:w="7281" w:type="dxa"/>
        <w:tblInd w:w="10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00"/>
        <w:gridCol w:w="4281"/>
      </w:tblGrid>
      <w:tr w14:paraId="3CB79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0" w:type="dxa"/>
            <w:vAlign w:val="center"/>
          </w:tcPr>
          <w:p w14:paraId="198070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加分项目类别</w:t>
            </w:r>
          </w:p>
        </w:tc>
        <w:tc>
          <w:tcPr>
            <w:tcW w:w="4281" w:type="dxa"/>
            <w:vAlign w:val="center"/>
          </w:tcPr>
          <w:p w14:paraId="485C2D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加分标准</w:t>
            </w:r>
          </w:p>
        </w:tc>
      </w:tr>
      <w:tr w14:paraId="62F58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0" w:type="dxa"/>
            <w:vAlign w:val="center"/>
          </w:tcPr>
          <w:p w14:paraId="5596FC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参军入伍服兵役</w:t>
            </w:r>
          </w:p>
        </w:tc>
        <w:tc>
          <w:tcPr>
            <w:tcW w:w="4281" w:type="dxa"/>
            <w:vAlign w:val="center"/>
          </w:tcPr>
          <w:p w14:paraId="1B8640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1分</w:t>
            </w:r>
          </w:p>
        </w:tc>
      </w:tr>
      <w:tr w14:paraId="58047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0" w:type="dxa"/>
            <w:vAlign w:val="center"/>
          </w:tcPr>
          <w:p w14:paraId="55A134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参加国际组织实习</w:t>
            </w:r>
          </w:p>
        </w:tc>
        <w:tc>
          <w:tcPr>
            <w:tcW w:w="4281" w:type="dxa"/>
            <w:vAlign w:val="center"/>
          </w:tcPr>
          <w:p w14:paraId="3244A2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1分/项</w:t>
            </w:r>
          </w:p>
        </w:tc>
      </w:tr>
    </w:tbl>
    <w:p w14:paraId="78131E99">
      <w:pPr>
        <w:keepNext w:val="0"/>
        <w:keepLines w:val="0"/>
        <w:widowControl/>
        <w:suppressLineNumbers w:val="0"/>
        <w:ind w:firstLine="1050" w:firstLineChars="500"/>
        <w:jc w:val="left"/>
        <w:textAlignment w:val="center"/>
        <w:rPr>
          <w:rFonts w:hint="eastAsia" w:asciiTheme="majorEastAsia" w:hAnsiTheme="majorEastAsia" w:eastAsiaTheme="majorEastAsia" w:cstheme="majorEastAsia"/>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备注：各类申报材料经相关部门认定或提供证书后方可加分。</w:t>
      </w:r>
    </w:p>
    <w:p w14:paraId="30B382DE">
      <w:pPr>
        <w:keepNext w:val="0"/>
        <w:keepLines w:val="0"/>
        <w:widowControl/>
        <w:suppressLineNumbers w:val="0"/>
        <w:jc w:val="right"/>
        <w:textAlignment w:val="center"/>
        <w:rPr>
          <w:rFonts w:hint="default" w:ascii="等线" w:hAnsi="等线" w:eastAsia="等线" w:cs="等线"/>
          <w:i w:val="0"/>
          <w:iCs w:val="0"/>
          <w:color w:val="000000"/>
          <w:kern w:val="0"/>
          <w:sz w:val="21"/>
          <w:szCs w:val="21"/>
          <w:u w:val="none"/>
          <w:lang w:val="en-US" w:eastAsia="zh-CN" w:bidi="ar"/>
        </w:rPr>
      </w:pPr>
    </w:p>
    <w:p w14:paraId="6CC93427">
      <w:pPr>
        <w:tabs>
          <w:tab w:val="left" w:pos="2083"/>
        </w:tabs>
        <w:bidi w:val="0"/>
        <w:jc w:val="left"/>
        <w:rPr>
          <w:sz w:val="21"/>
          <w:szCs w:val="21"/>
          <w:lang w:val="en-US" w:eastAsia="zh-CN"/>
        </w:rPr>
      </w:pPr>
    </w:p>
    <w:p w14:paraId="7AE28347">
      <w:pPr>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4C2565"/>
    <w:multiLevelType w:val="singleLevel"/>
    <w:tmpl w:val="B94C2565"/>
    <w:lvl w:ilvl="0" w:tentative="0">
      <w:start w:val="2"/>
      <w:numFmt w:val="chineseCounting"/>
      <w:suff w:val="nothing"/>
      <w:lvlText w:val="%1、"/>
      <w:lvlJc w:val="left"/>
      <w:rPr>
        <w:rFonts w:hint="eastAsia"/>
      </w:rPr>
    </w:lvl>
  </w:abstractNum>
  <w:abstractNum w:abstractNumId="1">
    <w:nsid w:val="76440B83"/>
    <w:multiLevelType w:val="singleLevel"/>
    <w:tmpl w:val="76440B83"/>
    <w:lvl w:ilvl="0" w:tentative="0">
      <w:start w:val="2"/>
      <w:numFmt w:val="decimal"/>
      <w:lvlText w:val="%1."/>
      <w:lvlJc w:val="left"/>
      <w:pPr>
        <w:tabs>
          <w:tab w:val="left" w:pos="312"/>
        </w:tabs>
      </w:pPr>
    </w:lvl>
  </w:abstractNum>
  <w:abstractNum w:abstractNumId="2">
    <w:nsid w:val="7C543CAE"/>
    <w:multiLevelType w:val="singleLevel"/>
    <w:tmpl w:val="7C543CAE"/>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2040EE"/>
    <w:rsid w:val="195202ED"/>
    <w:rsid w:val="1D6613E3"/>
    <w:rsid w:val="2BAF4E2C"/>
    <w:rsid w:val="2C8C5053"/>
    <w:rsid w:val="380F25A8"/>
    <w:rsid w:val="3E4C189D"/>
    <w:rsid w:val="472E1D30"/>
    <w:rsid w:val="4B1F1222"/>
    <w:rsid w:val="684A5396"/>
    <w:rsid w:val="74A36615"/>
    <w:rsid w:val="7A1473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semiHidden/>
    <w:qFormat/>
    <w:uiPriority w:val="0"/>
    <w:pPr>
      <w:ind w:left="420"/>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803</Words>
  <Characters>881</Characters>
  <Lines>0</Lines>
  <Paragraphs>0</Paragraphs>
  <TotalTime>10</TotalTime>
  <ScaleCrop>false</ScaleCrop>
  <LinksUpToDate>false</LinksUpToDate>
  <CharactersWithSpaces>895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2025-09-03T07:29:00Z</dcterms:created>
  <dc:creator>Lenovo</dc:creator>
  <cp:lastModifiedBy>在路上</cp:lastModifiedBy>
  <dcterms:modified xsi:type="dcterms:W3CDTF">2025-09-03T11:42:35Z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eyJoZGlkIjoiYzMwNGRkZjA4MTU4NDdkNTY3NTZjZmE5Y2E3MTFjM2UiLCJ1c2VySWQiOiI2OTkzMjExNTcifQ==</vt:lpwstr>
  </property>
  <property fmtid="{D5CDD505-2E9C-101B-9397-08002B2CF9AE}" pid="4" name="ICV">
    <vt:lpwstr>09E89634392C436DB8AA613860129BE6_13</vt:lpwstr>
  </property>
</Properties>
</file>