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34"/>
        <w:rPr>
          <w:color w:val="auto"/>
          <w:sz w:val="21"/>
          <w:szCs w:val="21"/>
        </w:rPr>
      </w:pPr>
      <w:r>
        <w:rPr>
          <w:rFonts w:hint="eastAsia"/>
          <w:color w:val="auto"/>
          <w:sz w:val="21"/>
          <w:szCs w:val="21"/>
        </w:rPr>
        <w:t>附件1</w:t>
      </w:r>
    </w:p>
    <w:p>
      <w:pPr>
        <w:ind w:right="134"/>
        <w:jc w:val="center"/>
        <w:rPr>
          <w:rFonts w:ascii="华文行楷" w:eastAsia="华文行楷"/>
          <w:color w:val="auto"/>
          <w:sz w:val="44"/>
        </w:rPr>
      </w:pPr>
      <w:r>
        <w:rPr>
          <w:rFonts w:hint="eastAsia" w:ascii="华文行楷" w:eastAsia="华文行楷"/>
          <w:color w:val="auto"/>
          <w:sz w:val="44"/>
        </w:rPr>
        <w:t>四川大学文学与新闻学院202</w:t>
      </w:r>
      <w:r>
        <w:rPr>
          <w:rFonts w:hint="eastAsia" w:ascii="华文行楷" w:eastAsia="华文行楷"/>
          <w:color w:val="auto"/>
          <w:sz w:val="44"/>
          <w:lang w:val="en-US"/>
        </w:rPr>
        <w:t>2</w:t>
      </w:r>
      <w:r>
        <w:rPr>
          <w:rFonts w:hint="eastAsia" w:ascii="华文行楷" w:eastAsia="华文行楷"/>
          <w:color w:val="auto"/>
          <w:sz w:val="44"/>
        </w:rPr>
        <w:t>年</w:t>
      </w:r>
    </w:p>
    <w:p>
      <w:pPr>
        <w:spacing w:before="213"/>
        <w:ind w:right="115"/>
        <w:jc w:val="center"/>
        <w:rPr>
          <w:rFonts w:ascii="黑体" w:hAnsi="黑体" w:eastAsia="黑体"/>
          <w:color w:val="auto"/>
          <w:sz w:val="28"/>
        </w:rPr>
      </w:pPr>
      <w:r>
        <w:rPr>
          <w:rFonts w:hint="eastAsia" w:ascii="黑体" w:hAnsi="黑体" w:eastAsia="黑体"/>
          <w:b/>
          <w:color w:val="auto"/>
          <w:sz w:val="36"/>
        </w:rPr>
        <w:t>推免生科研创新潜质及专业能力计分办法</w:t>
      </w:r>
    </w:p>
    <w:p>
      <w:pPr>
        <w:spacing w:line="360" w:lineRule="auto"/>
        <w:ind w:firstLine="420"/>
        <w:rPr>
          <w:color w:val="auto"/>
          <w:sz w:val="24"/>
          <w:szCs w:val="24"/>
        </w:rPr>
      </w:pPr>
      <w:r>
        <w:rPr>
          <w:rFonts w:hint="eastAsia"/>
          <w:color w:val="auto"/>
          <w:sz w:val="24"/>
          <w:szCs w:val="24"/>
        </w:rPr>
        <w:t>《科研创新潜质及专业能力计分办法》（以下简称《办法》）侧重考查学生的科研创新潜质、专业能力倾向、专业素养和学术发展潜力，包括科研潜质（</w:t>
      </w:r>
      <w:r>
        <w:rPr>
          <w:rFonts w:hint="eastAsia"/>
          <w:color w:val="auto"/>
          <w:sz w:val="24"/>
          <w:szCs w:val="24"/>
          <w:lang w:val="en-US"/>
        </w:rPr>
        <w:t>10分</w:t>
      </w:r>
      <w:r>
        <w:rPr>
          <w:rFonts w:hint="eastAsia"/>
          <w:color w:val="auto"/>
          <w:sz w:val="24"/>
          <w:szCs w:val="24"/>
        </w:rPr>
        <w:t>）、专业能力考查（</w:t>
      </w:r>
      <w:r>
        <w:rPr>
          <w:rFonts w:hint="eastAsia"/>
          <w:color w:val="auto"/>
          <w:sz w:val="24"/>
          <w:szCs w:val="24"/>
          <w:lang w:val="en-US"/>
        </w:rPr>
        <w:t>15分</w:t>
      </w:r>
      <w:r>
        <w:rPr>
          <w:rFonts w:hint="eastAsia"/>
          <w:color w:val="auto"/>
          <w:sz w:val="24"/>
          <w:szCs w:val="24"/>
        </w:rPr>
        <w:t>）及科研成果加分（</w:t>
      </w:r>
      <w:r>
        <w:rPr>
          <w:rFonts w:hint="eastAsia"/>
          <w:color w:val="auto"/>
          <w:sz w:val="24"/>
          <w:szCs w:val="24"/>
          <w:lang w:val="en-US"/>
        </w:rPr>
        <w:t>10分</w:t>
      </w:r>
      <w:r>
        <w:rPr>
          <w:rFonts w:hint="eastAsia"/>
          <w:color w:val="auto"/>
          <w:sz w:val="24"/>
          <w:szCs w:val="24"/>
        </w:rPr>
        <w:t>）三部分。</w:t>
      </w:r>
    </w:p>
    <w:p>
      <w:pPr>
        <w:numPr>
          <w:ilvl w:val="0"/>
          <w:numId w:val="1"/>
        </w:numPr>
        <w:spacing w:line="360" w:lineRule="auto"/>
        <w:ind w:firstLine="420"/>
        <w:rPr>
          <w:b/>
          <w:bCs/>
          <w:color w:val="auto"/>
          <w:sz w:val="24"/>
          <w:szCs w:val="24"/>
        </w:rPr>
      </w:pPr>
      <w:r>
        <w:rPr>
          <w:rFonts w:hint="eastAsia"/>
          <w:b/>
          <w:bCs/>
          <w:color w:val="auto"/>
          <w:sz w:val="24"/>
          <w:szCs w:val="24"/>
        </w:rPr>
        <w:t>科研创新潜质</w:t>
      </w:r>
    </w:p>
    <w:p>
      <w:pPr>
        <w:snapToGrid w:val="0"/>
        <w:spacing w:line="360" w:lineRule="auto"/>
        <w:ind w:firstLine="480" w:firstLineChars="200"/>
        <w:rPr>
          <w:color w:val="auto"/>
          <w:sz w:val="24"/>
          <w:szCs w:val="24"/>
          <w:lang w:val="en-US"/>
        </w:rPr>
      </w:pPr>
      <w:r>
        <w:rPr>
          <w:rFonts w:hint="eastAsia"/>
          <w:color w:val="auto"/>
          <w:sz w:val="24"/>
          <w:szCs w:val="24"/>
        </w:rPr>
        <w:t>科研创新潜质侧重考察学生三年内参加科研创新训练的经历，每</w:t>
      </w:r>
      <w:r>
        <w:rPr>
          <w:rFonts w:hint="eastAsia"/>
          <w:color w:val="auto"/>
          <w:sz w:val="24"/>
          <w:szCs w:val="24"/>
          <w:lang w:val="en-US"/>
        </w:rPr>
        <w:t>满足以下任意一条科研创新经历的，可获得相应加分，每项不可重复计分，</w:t>
      </w:r>
      <w:r>
        <w:rPr>
          <w:rFonts w:hint="eastAsia"/>
          <w:color w:val="auto"/>
          <w:sz w:val="24"/>
          <w:szCs w:val="24"/>
        </w:rPr>
        <w:t>该部分满分</w:t>
      </w:r>
      <w:r>
        <w:rPr>
          <w:rFonts w:hint="eastAsia"/>
          <w:color w:val="auto"/>
          <w:sz w:val="24"/>
          <w:szCs w:val="24"/>
          <w:lang w:val="en-US"/>
        </w:rPr>
        <w:t>10分。</w:t>
      </w:r>
    </w:p>
    <w:p>
      <w:pPr>
        <w:numPr>
          <w:ilvl w:val="0"/>
          <w:numId w:val="2"/>
        </w:numPr>
        <w:snapToGrid w:val="0"/>
        <w:spacing w:line="360" w:lineRule="auto"/>
        <w:ind w:firstLine="480" w:firstLineChars="200"/>
        <w:rPr>
          <w:color w:val="auto"/>
          <w:sz w:val="24"/>
          <w:szCs w:val="24"/>
          <w:lang w:val="en-US"/>
        </w:rPr>
      </w:pPr>
      <w:r>
        <w:rPr>
          <w:rFonts w:hint="eastAsia"/>
          <w:color w:val="auto"/>
          <w:sz w:val="24"/>
          <w:szCs w:val="24"/>
          <w:lang w:val="en-US"/>
        </w:rPr>
        <w:t>参与大学生创新创业训练计划（级别不限，需提供参与证明），其中项目主持人计2分，第一、第二主研计1.5分，第三主研及以后计1分。</w:t>
      </w:r>
    </w:p>
    <w:p>
      <w:pPr>
        <w:numPr>
          <w:ilvl w:val="0"/>
          <w:numId w:val="2"/>
        </w:numPr>
        <w:snapToGrid w:val="0"/>
        <w:spacing w:line="360" w:lineRule="auto"/>
        <w:ind w:firstLine="480" w:firstLineChars="200"/>
        <w:rPr>
          <w:color w:val="auto"/>
          <w:sz w:val="24"/>
          <w:szCs w:val="24"/>
          <w:lang w:val="en-US"/>
        </w:rPr>
      </w:pPr>
      <w:r>
        <w:rPr>
          <w:rFonts w:hint="eastAsia"/>
          <w:color w:val="auto"/>
          <w:sz w:val="24"/>
          <w:szCs w:val="24"/>
          <w:lang w:val="en-US"/>
        </w:rPr>
        <w:t>参与“互联网+”项目、“挑战杯”项目以及学校认定的全国各类大学生</w:t>
      </w:r>
      <w:r>
        <w:rPr>
          <w:color w:val="auto"/>
          <w:sz w:val="24"/>
          <w:szCs w:val="24"/>
          <w:lang w:val="en-US"/>
        </w:rPr>
        <w:t>科创竞赛</w:t>
      </w:r>
      <w:r>
        <w:rPr>
          <w:rFonts w:hint="eastAsia"/>
          <w:color w:val="auto"/>
          <w:sz w:val="24"/>
          <w:szCs w:val="24"/>
          <w:lang w:val="en-US"/>
        </w:rPr>
        <w:t>（级别不限，需提供参与证明），其中项目主持人或参赛负责人计2分，第一、第二主研计1.5分，第三、第四主研计1分，第五以后主研计0</w:t>
      </w:r>
      <w:r>
        <w:rPr>
          <w:color w:val="auto"/>
          <w:sz w:val="24"/>
          <w:szCs w:val="24"/>
          <w:lang w:val="en-US"/>
        </w:rPr>
        <w:t>.5</w:t>
      </w:r>
      <w:r>
        <w:rPr>
          <w:rFonts w:hint="eastAsia"/>
          <w:color w:val="auto"/>
          <w:sz w:val="24"/>
          <w:szCs w:val="24"/>
          <w:lang w:val="en-US"/>
        </w:rPr>
        <w:t>分。</w:t>
      </w:r>
    </w:p>
    <w:p>
      <w:pPr>
        <w:numPr>
          <w:ilvl w:val="0"/>
          <w:numId w:val="2"/>
        </w:numPr>
        <w:snapToGrid w:val="0"/>
        <w:spacing w:line="360" w:lineRule="auto"/>
        <w:ind w:firstLine="480" w:firstLineChars="200"/>
        <w:rPr>
          <w:color w:val="auto"/>
          <w:sz w:val="24"/>
          <w:szCs w:val="24"/>
          <w:lang w:val="en-US"/>
        </w:rPr>
      </w:pPr>
      <w:r>
        <w:rPr>
          <w:rFonts w:hint="eastAsia"/>
          <w:color w:val="auto"/>
          <w:sz w:val="24"/>
          <w:szCs w:val="24"/>
          <w:lang w:val="en-US"/>
        </w:rPr>
        <w:t>主持或参与各类科研课题（不含“大创”、“互联网+”、“挑战杯”），以项目申报书、立项书、结题证明为准。其中项目主持人计2分，第一、第二主研计1.5分，第三主研及以后计1分。</w:t>
      </w:r>
    </w:p>
    <w:p>
      <w:pPr>
        <w:numPr>
          <w:ilvl w:val="0"/>
          <w:numId w:val="2"/>
        </w:numPr>
        <w:snapToGrid w:val="0"/>
        <w:spacing w:line="360" w:lineRule="auto"/>
        <w:ind w:firstLine="480" w:firstLineChars="200"/>
        <w:rPr>
          <w:color w:val="auto"/>
          <w:sz w:val="24"/>
          <w:szCs w:val="24"/>
          <w:lang w:val="en-US"/>
        </w:rPr>
      </w:pPr>
      <w:r>
        <w:rPr>
          <w:rFonts w:hint="eastAsia"/>
          <w:color w:val="auto"/>
          <w:sz w:val="24"/>
          <w:szCs w:val="24"/>
          <w:lang w:val="en-US"/>
        </w:rPr>
        <w:t>参加学术会议或学术论坛并宣读论文（需提供会议邀请函、会议手册等证明材料，参会照片不能作为证明），计2分。</w:t>
      </w:r>
    </w:p>
    <w:p>
      <w:pPr>
        <w:numPr>
          <w:ilvl w:val="0"/>
          <w:numId w:val="2"/>
        </w:numPr>
        <w:snapToGrid w:val="0"/>
        <w:spacing w:line="360" w:lineRule="auto"/>
        <w:ind w:firstLine="480" w:firstLineChars="200"/>
        <w:rPr>
          <w:color w:val="auto"/>
          <w:sz w:val="24"/>
          <w:szCs w:val="24"/>
          <w:lang w:val="en-US"/>
        </w:rPr>
      </w:pPr>
      <w:r>
        <w:rPr>
          <w:rFonts w:hint="eastAsia"/>
          <w:color w:val="auto"/>
          <w:sz w:val="24"/>
          <w:szCs w:val="24"/>
          <w:lang w:val="en-US"/>
        </w:rPr>
        <w:t>参加境外学术交流活动（不含国际课程周、国际学术会议或国际学术论坛），计1分。</w:t>
      </w:r>
    </w:p>
    <w:p>
      <w:pPr>
        <w:numPr>
          <w:ilvl w:val="0"/>
          <w:numId w:val="2"/>
        </w:numPr>
        <w:snapToGrid w:val="0"/>
        <w:spacing w:line="360" w:lineRule="auto"/>
        <w:ind w:firstLine="480" w:firstLineChars="200"/>
        <w:rPr>
          <w:color w:val="auto"/>
          <w:sz w:val="24"/>
          <w:szCs w:val="24"/>
          <w:lang w:val="en-US"/>
        </w:rPr>
      </w:pPr>
      <w:r>
        <w:rPr>
          <w:rFonts w:hint="eastAsia"/>
          <w:color w:val="auto"/>
          <w:sz w:val="24"/>
          <w:szCs w:val="24"/>
          <w:lang w:val="en-US"/>
        </w:rPr>
        <w:t>在公开刊物上以独作或第一作者发表学术论文</w:t>
      </w:r>
      <w:r>
        <w:rPr>
          <w:rStyle w:val="5"/>
          <w:rFonts w:hint="eastAsia"/>
          <w:color w:val="auto"/>
        </w:rPr>
        <w:t>，</w:t>
      </w:r>
      <w:r>
        <w:rPr>
          <w:rFonts w:hint="eastAsia"/>
          <w:color w:val="auto"/>
          <w:sz w:val="24"/>
          <w:szCs w:val="24"/>
          <w:lang w:val="en-US"/>
        </w:rPr>
        <w:t>计1分。</w:t>
      </w:r>
    </w:p>
    <w:p>
      <w:pPr>
        <w:snapToGrid w:val="0"/>
        <w:spacing w:line="360" w:lineRule="auto"/>
        <w:ind w:firstLine="420" w:firstLineChars="200"/>
        <w:rPr>
          <w:color w:val="auto"/>
          <w:sz w:val="21"/>
          <w:szCs w:val="20"/>
        </w:rPr>
      </w:pPr>
      <w:r>
        <w:rPr>
          <w:rFonts w:hint="eastAsia"/>
          <w:color w:val="auto"/>
          <w:sz w:val="21"/>
          <w:szCs w:val="20"/>
        </w:rPr>
        <w:t>【附录】学校认定的全国各类大学生竞赛（共53项赛事）指ACM-ICPC国际大学生程序设计竞赛、大学生数学建模竞赛、全国大学生电子设计竞赛、中国大学生医学技术技能大赛、全国大学生机械创新设计大赛、全国大学生结构设计竞赛、全国大学生广告艺术大赛、全国大学生智能汽车竞赛、全国大学生交通科技大赛、全国大学生电子商务“创新、创意及创业”挑战赛、全国大学生节能减排社会实践与科技竞赛、全国大学生工程实践与创新能力大赛、全国大学生物流设计大赛、外研社全国大学生英语系列赛（英语演讲、英语辩论、英语写作、英语阅读）、两岸新锐设计竞赛•华灿奖、全国大学生创新创业训练计划年会展示、全国大学生化工设计竞赛、全国大学生机器人大赛（RoboMaster、RoboCon、RoboTac）、全国大学生市场调查与分析大赛、全国大学生先进成图技术与产品信息建模创新大赛、全国三维数字化创新设计大赛、“西门子杯”中国智能制造挑战赛、中国大学生服务外包创新创业大赛、中国大学生计算机设计大赛、中国高校计算机大赛（大数据挑战赛、团体程序设计天梯赛、移动应用创新赛、网络技术挑战赛、人工智能创意赛）、蓝桥杯全国软件和信息技术专业人才大赛、米兰设计周--中国高校设计学科师生优秀作品展、全国大学生地质技能竞赛、全国大学生光电设计竞赛、全国大学生集成电路创新创业大赛、全国大学生金相技能大赛、全国大学生信息安全竞赛、未来设计师•全国高校数字艺术设计大赛、全国周培源大学生力学竞赛、中国大学生机械工程创新创意（过程装备实践与创新赛、铸造工艺设计赛、材料热处理创新创业赛、起重机创意赛、智能制造大赛）、中国机器人大赛暨RoboCup机器人世界杯中国赛、“中国软件杯”大学生软件设计大赛、中美青年创客大赛、RoboCon机器人开发者大赛、“大唐杯”全国大学生移动通信5G技术大赛、华为ICT大赛、全国大学生嵌入式芯片与系统设计竞赛、全国大学生生命科学竞赛（CULSC）—生命科学竞赛、生命创新创业大赛、全国大学生物理实验竞赛、全国高校BIM毕业设计创新大赛、全国高校商业精英挑战赛—品牌策划竞赛、会展专业创新创业实践竞赛、国际贸易竞赛、创新创业竞赛、“学创杯”全国大学生创业综合模拟大赛、中国高校智能机器人创意大赛、中国好创意暨全国数字艺术设计大赛、中国机器人及人工智能大赛、美国大学生数学建模竞赛、国际遗传工程及其设计大赛(iGEM)、Imagine Cup 微软“创新杯”全球学生科技大赛。其他学科竞赛</w:t>
      </w:r>
      <w:r>
        <w:rPr>
          <w:rFonts w:hint="eastAsia"/>
          <w:color w:val="auto"/>
          <w:sz w:val="21"/>
          <w:szCs w:val="21"/>
        </w:rPr>
        <w:t>由学院推免工作小组认定。</w:t>
      </w:r>
    </w:p>
    <w:p>
      <w:pPr>
        <w:snapToGrid w:val="0"/>
        <w:spacing w:line="360" w:lineRule="auto"/>
        <w:ind w:firstLine="482" w:firstLineChars="200"/>
        <w:rPr>
          <w:b/>
          <w:bCs/>
          <w:color w:val="auto"/>
          <w:sz w:val="24"/>
          <w:szCs w:val="24"/>
        </w:rPr>
      </w:pPr>
      <w:r>
        <w:rPr>
          <w:rFonts w:hint="eastAsia"/>
          <w:b/>
          <w:bCs/>
          <w:color w:val="auto"/>
          <w:sz w:val="24"/>
          <w:szCs w:val="24"/>
        </w:rPr>
        <w:t>二、专业能力倾向</w:t>
      </w:r>
    </w:p>
    <w:p>
      <w:pPr>
        <w:tabs>
          <w:tab w:val="left" w:pos="1388"/>
        </w:tabs>
        <w:spacing w:line="360" w:lineRule="auto"/>
        <w:ind w:firstLine="360" w:firstLineChars="150"/>
        <w:rPr>
          <w:color w:val="auto"/>
          <w:sz w:val="24"/>
          <w:szCs w:val="24"/>
        </w:rPr>
      </w:pPr>
      <w:r>
        <w:rPr>
          <w:rFonts w:hint="eastAsia"/>
          <w:color w:val="auto"/>
          <w:sz w:val="24"/>
          <w:szCs w:val="24"/>
        </w:rPr>
        <w:t>专业能力倾向根据各专业的专业基础必修课及专业核心课加权平均成绩按比例折算，且仅</w:t>
      </w:r>
      <w:r>
        <w:rPr>
          <w:color w:val="auto"/>
          <w:sz w:val="24"/>
          <w:szCs w:val="24"/>
        </w:rPr>
        <w:t>采用第一次修读的成绩，补考和重修成绩不用于成绩计算</w:t>
      </w:r>
      <w:r>
        <w:rPr>
          <w:rFonts w:hint="eastAsia"/>
          <w:color w:val="auto"/>
          <w:sz w:val="24"/>
          <w:szCs w:val="24"/>
        </w:rPr>
        <w:t>。</w:t>
      </w:r>
    </w:p>
    <w:p>
      <w:pPr>
        <w:tabs>
          <w:tab w:val="left" w:pos="1388"/>
        </w:tabs>
        <w:spacing w:line="360" w:lineRule="auto"/>
        <w:ind w:firstLine="360" w:firstLineChars="150"/>
        <w:rPr>
          <w:color w:val="auto"/>
          <w:sz w:val="24"/>
          <w:szCs w:val="24"/>
          <w:lang w:val="en-US"/>
        </w:rPr>
      </w:pPr>
      <w:r>
        <w:rPr>
          <w:rFonts w:hint="eastAsia"/>
          <w:color w:val="auto"/>
          <w:sz w:val="24"/>
          <w:szCs w:val="24"/>
        </w:rPr>
        <w:t>计算公式：</w:t>
      </w:r>
      <w:r>
        <w:rPr>
          <w:rFonts w:hint="eastAsia"/>
          <w:color w:val="auto"/>
          <w:sz w:val="24"/>
          <w:szCs w:val="24"/>
          <w:lang w:val="en-US"/>
        </w:rPr>
        <w:t>排名第一的同学为满分15分，按名次依次递减0.15分。</w:t>
      </w:r>
    </w:p>
    <w:p>
      <w:pPr>
        <w:tabs>
          <w:tab w:val="left" w:pos="1388"/>
        </w:tabs>
        <w:spacing w:line="360" w:lineRule="auto"/>
        <w:ind w:firstLine="360" w:firstLineChars="150"/>
        <w:rPr>
          <w:color w:val="auto"/>
          <w:sz w:val="24"/>
          <w:szCs w:val="24"/>
        </w:rPr>
      </w:pPr>
      <w:r>
        <w:rPr>
          <w:rFonts w:hint="eastAsia"/>
          <w:color w:val="auto"/>
          <w:sz w:val="24"/>
          <w:szCs w:val="24"/>
        </w:rPr>
        <w:t>注：外出交换、交流学习成绩计算方法与课程成绩一致。</w:t>
      </w:r>
    </w:p>
    <w:p>
      <w:pPr>
        <w:tabs>
          <w:tab w:val="left" w:pos="1388"/>
        </w:tabs>
        <w:spacing w:line="360" w:lineRule="auto"/>
        <w:ind w:firstLine="360" w:firstLineChars="150"/>
        <w:rPr>
          <w:color w:val="auto"/>
          <w:sz w:val="24"/>
          <w:szCs w:val="24"/>
        </w:rPr>
      </w:pPr>
      <w:r>
        <w:rPr>
          <w:rFonts w:hint="eastAsia"/>
          <w:color w:val="auto"/>
          <w:sz w:val="24"/>
          <w:szCs w:val="24"/>
        </w:rPr>
        <w:t>用于计算专业能力倾向的课程清单如下：</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5"/>
        <w:gridCol w:w="6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365" w:type="dxa"/>
            <w:vAlign w:val="center"/>
          </w:tcPr>
          <w:p>
            <w:pPr>
              <w:tabs>
                <w:tab w:val="left" w:pos="1388"/>
              </w:tabs>
              <w:jc w:val="center"/>
              <w:rPr>
                <w:color w:val="auto"/>
                <w:kern w:val="2"/>
                <w:sz w:val="15"/>
                <w:szCs w:val="15"/>
              </w:rPr>
            </w:pPr>
            <w:r>
              <w:rPr>
                <w:rFonts w:hint="eastAsia"/>
                <w:color w:val="auto"/>
                <w:kern w:val="2"/>
                <w:sz w:val="15"/>
                <w:szCs w:val="15"/>
              </w:rPr>
              <w:t>专业</w:t>
            </w:r>
          </w:p>
        </w:tc>
        <w:tc>
          <w:tcPr>
            <w:tcW w:w="6157" w:type="dxa"/>
            <w:vAlign w:val="center"/>
          </w:tcPr>
          <w:p>
            <w:pPr>
              <w:tabs>
                <w:tab w:val="left" w:pos="1388"/>
              </w:tabs>
              <w:jc w:val="center"/>
              <w:rPr>
                <w:color w:val="auto"/>
                <w:kern w:val="2"/>
                <w:sz w:val="15"/>
                <w:szCs w:val="15"/>
              </w:rPr>
            </w:pPr>
            <w:r>
              <w:rPr>
                <w:rFonts w:hint="eastAsia"/>
                <w:color w:val="auto"/>
                <w:kern w:val="2"/>
                <w:sz w:val="15"/>
                <w:szCs w:val="15"/>
              </w:rPr>
              <w:t>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2365" w:type="dxa"/>
            <w:vAlign w:val="center"/>
          </w:tcPr>
          <w:p>
            <w:pPr>
              <w:tabs>
                <w:tab w:val="left" w:pos="1388"/>
              </w:tabs>
              <w:jc w:val="center"/>
              <w:rPr>
                <w:color w:val="auto"/>
                <w:kern w:val="2"/>
                <w:sz w:val="15"/>
                <w:szCs w:val="15"/>
              </w:rPr>
            </w:pPr>
            <w:r>
              <w:rPr>
                <w:rFonts w:hint="eastAsia"/>
                <w:color w:val="auto"/>
                <w:kern w:val="2"/>
                <w:sz w:val="15"/>
                <w:szCs w:val="15"/>
              </w:rPr>
              <w:t>汉语言文学（基地班）</w:t>
            </w:r>
          </w:p>
        </w:tc>
        <w:tc>
          <w:tcPr>
            <w:tcW w:w="6157" w:type="dxa"/>
            <w:vAlign w:val="center"/>
          </w:tcPr>
          <w:p>
            <w:pPr>
              <w:tabs>
                <w:tab w:val="left" w:pos="1388"/>
              </w:tabs>
              <w:jc w:val="both"/>
              <w:rPr>
                <w:color w:val="auto"/>
                <w:kern w:val="2"/>
                <w:sz w:val="15"/>
                <w:szCs w:val="15"/>
              </w:rPr>
            </w:pPr>
            <w:r>
              <w:rPr>
                <w:rFonts w:hint="eastAsia"/>
                <w:color w:val="auto"/>
                <w:kern w:val="2"/>
                <w:sz w:val="15"/>
                <w:szCs w:val="15"/>
              </w:rPr>
              <w:t>传播学概论、现代汉语-1、现代汉语-2、影视艺术概论、中国现代文学、古代汉语1、古代汉语2、文学理论1、文学理论2、写作理论与实践、文化人类学、比较文学、汉字学、美学、外国文学-1、外国文学-2、语言学概论、古典文献学、中国当代文学、中国古代文学1、中国古代文学2、中国古代文学3、中国古代文学4、文化原典导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2365" w:type="dxa"/>
            <w:vAlign w:val="center"/>
          </w:tcPr>
          <w:p>
            <w:pPr>
              <w:tabs>
                <w:tab w:val="left" w:pos="1388"/>
              </w:tabs>
              <w:jc w:val="center"/>
              <w:rPr>
                <w:color w:val="auto"/>
                <w:kern w:val="2"/>
                <w:sz w:val="15"/>
                <w:szCs w:val="15"/>
              </w:rPr>
            </w:pPr>
            <w:r>
              <w:rPr>
                <w:rFonts w:hint="eastAsia"/>
                <w:color w:val="auto"/>
                <w:kern w:val="2"/>
                <w:sz w:val="15"/>
                <w:szCs w:val="15"/>
              </w:rPr>
              <w:t>汉语言文学（拔尖计划）</w:t>
            </w:r>
          </w:p>
        </w:tc>
        <w:tc>
          <w:tcPr>
            <w:tcW w:w="6157" w:type="dxa"/>
            <w:vAlign w:val="center"/>
          </w:tcPr>
          <w:p>
            <w:pPr>
              <w:tabs>
                <w:tab w:val="left" w:pos="1388"/>
              </w:tabs>
              <w:jc w:val="both"/>
              <w:rPr>
                <w:color w:val="auto"/>
                <w:kern w:val="2"/>
                <w:sz w:val="15"/>
                <w:szCs w:val="15"/>
              </w:rPr>
            </w:pPr>
            <w:r>
              <w:rPr>
                <w:rFonts w:hint="eastAsia"/>
                <w:color w:val="auto"/>
                <w:kern w:val="2"/>
                <w:sz w:val="15"/>
                <w:szCs w:val="15"/>
              </w:rPr>
              <w:t>现代汉语-1、现代汉语-2、古代汉语1、古代汉语2、写作理论与实践、中国古代文学1、中国古代文学2、中国古代文学3、中国古代文学4、文学理论1、文学理论2、汉字学、美学、文化原典导读、语言学概论、古典文献学、外国文学-1、外国文学-2、中国当代文学、比较文学、中国现代文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2365" w:type="dxa"/>
            <w:vAlign w:val="center"/>
          </w:tcPr>
          <w:p>
            <w:pPr>
              <w:tabs>
                <w:tab w:val="left" w:pos="1388"/>
              </w:tabs>
              <w:jc w:val="center"/>
              <w:rPr>
                <w:color w:val="auto"/>
                <w:kern w:val="2"/>
                <w:sz w:val="15"/>
                <w:szCs w:val="15"/>
              </w:rPr>
            </w:pPr>
            <w:r>
              <w:rPr>
                <w:rFonts w:hint="eastAsia"/>
                <w:color w:val="auto"/>
                <w:kern w:val="2"/>
                <w:sz w:val="15"/>
                <w:szCs w:val="15"/>
              </w:rPr>
              <w:t>汉语言文学</w:t>
            </w:r>
          </w:p>
        </w:tc>
        <w:tc>
          <w:tcPr>
            <w:tcW w:w="6157" w:type="dxa"/>
            <w:vAlign w:val="center"/>
          </w:tcPr>
          <w:p>
            <w:pPr>
              <w:tabs>
                <w:tab w:val="left" w:pos="1388"/>
              </w:tabs>
              <w:jc w:val="both"/>
              <w:rPr>
                <w:color w:val="auto"/>
                <w:kern w:val="2"/>
                <w:sz w:val="15"/>
                <w:szCs w:val="15"/>
              </w:rPr>
            </w:pPr>
            <w:r>
              <w:rPr>
                <w:rFonts w:hint="eastAsia"/>
                <w:color w:val="auto"/>
                <w:kern w:val="2"/>
                <w:sz w:val="15"/>
                <w:szCs w:val="15"/>
              </w:rPr>
              <w:t>传播学概论、现代汉语-1、现代汉语-2、影视艺术概论、中国现代文学、古代汉语1、古代汉语2、文学理论1、文学理论2、写作理论与实践、文化人类学、比较文学、汉字学、美学、外国文学-1、外国文学-2、语言学概论、中国当代文学、中国古代文学1、中国古代文学2、中国古代文学3、中国古代文学4、文化原典导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2365" w:type="dxa"/>
            <w:vAlign w:val="center"/>
          </w:tcPr>
          <w:p>
            <w:pPr>
              <w:tabs>
                <w:tab w:val="left" w:pos="1388"/>
              </w:tabs>
              <w:jc w:val="center"/>
              <w:rPr>
                <w:color w:val="auto"/>
                <w:kern w:val="2"/>
                <w:sz w:val="15"/>
                <w:szCs w:val="15"/>
              </w:rPr>
            </w:pPr>
            <w:r>
              <w:rPr>
                <w:rFonts w:hint="eastAsia"/>
                <w:color w:val="auto"/>
                <w:kern w:val="2"/>
                <w:sz w:val="15"/>
                <w:szCs w:val="15"/>
              </w:rPr>
              <w:t>汉语国际教育</w:t>
            </w:r>
          </w:p>
        </w:tc>
        <w:tc>
          <w:tcPr>
            <w:tcW w:w="6157" w:type="dxa"/>
            <w:vAlign w:val="center"/>
          </w:tcPr>
          <w:p>
            <w:pPr>
              <w:tabs>
                <w:tab w:val="left" w:pos="1388"/>
              </w:tabs>
              <w:jc w:val="both"/>
              <w:rPr>
                <w:color w:val="auto"/>
                <w:kern w:val="2"/>
                <w:sz w:val="15"/>
                <w:szCs w:val="15"/>
              </w:rPr>
            </w:pPr>
            <w:r>
              <w:rPr>
                <w:rFonts w:hint="eastAsia"/>
                <w:color w:val="auto"/>
                <w:kern w:val="2"/>
                <w:sz w:val="15"/>
                <w:szCs w:val="15"/>
              </w:rPr>
              <w:t>传播学概论、现代汉语-1、现代汉语-2、影视艺术概论、中国现代文学、古代汉语1、古代汉语2、文学理论1、文学理论2、写作理论与实践、文化人类学、比较文学、对外汉语教学概论、外国文化概论、外国文学-1、外国文学-2、英语精读-1、英语精读-2、英语听说、英语写作、语言学概论、中国文化概论、中国当代文学、中国古代文学1、中国古代文学2、文化原典导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5" w:type="dxa"/>
            <w:vAlign w:val="center"/>
          </w:tcPr>
          <w:p>
            <w:pPr>
              <w:tabs>
                <w:tab w:val="left" w:pos="1388"/>
              </w:tabs>
              <w:jc w:val="center"/>
              <w:rPr>
                <w:color w:val="auto"/>
                <w:kern w:val="2"/>
                <w:sz w:val="15"/>
                <w:szCs w:val="15"/>
              </w:rPr>
            </w:pPr>
            <w:r>
              <w:rPr>
                <w:rFonts w:hint="eastAsia"/>
                <w:color w:val="auto"/>
                <w:kern w:val="2"/>
                <w:sz w:val="15"/>
                <w:szCs w:val="15"/>
              </w:rPr>
              <w:t>新闻学</w:t>
            </w:r>
          </w:p>
        </w:tc>
        <w:tc>
          <w:tcPr>
            <w:tcW w:w="6157" w:type="dxa"/>
            <w:vAlign w:val="center"/>
          </w:tcPr>
          <w:p>
            <w:pPr>
              <w:tabs>
                <w:tab w:val="left" w:pos="1388"/>
              </w:tabs>
              <w:jc w:val="both"/>
              <w:rPr>
                <w:color w:val="auto"/>
                <w:kern w:val="2"/>
                <w:sz w:val="15"/>
                <w:szCs w:val="15"/>
              </w:rPr>
            </w:pPr>
            <w:r>
              <w:rPr>
                <w:rFonts w:hint="eastAsia"/>
                <w:color w:val="auto"/>
                <w:kern w:val="2"/>
                <w:sz w:val="15"/>
                <w:szCs w:val="15"/>
              </w:rPr>
              <w:t>编辑出版学概论、传播学概论、公共关系学、广播电视概论、广告学概论、文化原典导读、现代汉语B、新闻传播技术基础、影视艺术概论、中国现代文学、中国新闻传播史、写作理论与实践、新闻学概论、新媒体概论、马克思主义新闻观理论与实践、广播电视新闻学、媒介批评、外国新闻传播史、新闻传播名著导读、新闻编辑、新闻采访、新闻出版法律法规、新闻评论、新闻摄影、新闻写作、国情教育、深度报道研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5" w:type="dxa"/>
            <w:vAlign w:val="center"/>
          </w:tcPr>
          <w:p>
            <w:pPr>
              <w:tabs>
                <w:tab w:val="left" w:pos="1388"/>
              </w:tabs>
              <w:jc w:val="center"/>
              <w:rPr>
                <w:color w:val="auto"/>
                <w:kern w:val="2"/>
                <w:sz w:val="15"/>
                <w:szCs w:val="15"/>
              </w:rPr>
            </w:pPr>
            <w:r>
              <w:rPr>
                <w:rFonts w:hint="eastAsia"/>
                <w:color w:val="auto"/>
                <w:kern w:val="2"/>
                <w:sz w:val="15"/>
                <w:szCs w:val="15"/>
              </w:rPr>
              <w:t>广播电视学</w:t>
            </w:r>
          </w:p>
        </w:tc>
        <w:tc>
          <w:tcPr>
            <w:tcW w:w="6157" w:type="dxa"/>
            <w:vAlign w:val="center"/>
          </w:tcPr>
          <w:p>
            <w:pPr>
              <w:tabs>
                <w:tab w:val="left" w:pos="1388"/>
              </w:tabs>
              <w:jc w:val="both"/>
              <w:rPr>
                <w:color w:val="auto"/>
                <w:kern w:val="2"/>
                <w:sz w:val="15"/>
                <w:szCs w:val="15"/>
              </w:rPr>
            </w:pPr>
            <w:r>
              <w:rPr>
                <w:rFonts w:hint="eastAsia"/>
                <w:color w:val="auto"/>
                <w:kern w:val="2"/>
                <w:sz w:val="15"/>
                <w:szCs w:val="15"/>
              </w:rPr>
              <w:t>编辑出版学概论、传播学概论、公共关系学、广播电视概论、广告学概论、文化原典导读、现代汉语B、新闻传播技术基础、影视艺术概论、中国现代文学、中国新闻传播史、写作理论与实践、新闻学概论、新媒体概论、马克思主义新闻观理论与实践、播音与主持、传播社会学、电视摄像、电视艺术学概论、广播电视编辑学、广播电视节目学、广播电视新闻学、媒介批评、媒体产业经营、新闻出版法律法规、广播电视史、财经新闻实务、国情教育、演播室节目制作、整合营销传播、广播电视研究前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5" w:type="dxa"/>
            <w:vAlign w:val="center"/>
          </w:tcPr>
          <w:p>
            <w:pPr>
              <w:tabs>
                <w:tab w:val="left" w:pos="1388"/>
              </w:tabs>
              <w:jc w:val="center"/>
              <w:rPr>
                <w:color w:val="auto"/>
                <w:kern w:val="2"/>
                <w:sz w:val="15"/>
                <w:szCs w:val="15"/>
              </w:rPr>
            </w:pPr>
            <w:r>
              <w:rPr>
                <w:rFonts w:hint="eastAsia"/>
                <w:color w:val="auto"/>
                <w:kern w:val="2"/>
                <w:sz w:val="15"/>
                <w:szCs w:val="15"/>
              </w:rPr>
              <w:t>广告学</w:t>
            </w:r>
          </w:p>
        </w:tc>
        <w:tc>
          <w:tcPr>
            <w:tcW w:w="6157" w:type="dxa"/>
            <w:vAlign w:val="center"/>
          </w:tcPr>
          <w:p>
            <w:pPr>
              <w:tabs>
                <w:tab w:val="left" w:pos="1388"/>
              </w:tabs>
              <w:jc w:val="both"/>
              <w:rPr>
                <w:color w:val="auto"/>
                <w:kern w:val="2"/>
                <w:sz w:val="15"/>
                <w:szCs w:val="15"/>
              </w:rPr>
            </w:pPr>
            <w:r>
              <w:rPr>
                <w:rFonts w:hint="eastAsia"/>
                <w:color w:val="auto"/>
                <w:kern w:val="2"/>
                <w:sz w:val="15"/>
                <w:szCs w:val="15"/>
              </w:rPr>
              <w:t>编辑出版学概论、传播学概论、公共关系学、广播电视概论、广告学概论、文化原典导读、现代汉语B、新闻传播技术基础、影视艺术概论、中国现代文学、中国新闻传播史、写作理论与实践、新闻学概论、新媒体概论、马克思主义新闻观理论与实践、广告美术基础-1、广告美术基础-2、广告摄影、广告市场调查、广告营销学、广告与设计史、品牌营销、平面广告设计-1、平面广告设计-2、国情教育、数字广告设计、广告文案、广告策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5" w:type="dxa"/>
            <w:vAlign w:val="center"/>
          </w:tcPr>
          <w:p>
            <w:pPr>
              <w:tabs>
                <w:tab w:val="left" w:pos="1388"/>
              </w:tabs>
              <w:jc w:val="center"/>
              <w:rPr>
                <w:color w:val="auto"/>
                <w:kern w:val="2"/>
                <w:sz w:val="15"/>
                <w:szCs w:val="15"/>
              </w:rPr>
            </w:pPr>
            <w:r>
              <w:rPr>
                <w:rFonts w:hint="eastAsia"/>
                <w:color w:val="auto"/>
                <w:kern w:val="2"/>
                <w:sz w:val="15"/>
                <w:szCs w:val="15"/>
              </w:rPr>
              <w:t>编辑出版学</w:t>
            </w:r>
          </w:p>
        </w:tc>
        <w:tc>
          <w:tcPr>
            <w:tcW w:w="6157" w:type="dxa"/>
            <w:vAlign w:val="center"/>
          </w:tcPr>
          <w:p>
            <w:pPr>
              <w:tabs>
                <w:tab w:val="left" w:pos="1388"/>
              </w:tabs>
              <w:jc w:val="both"/>
              <w:rPr>
                <w:color w:val="auto"/>
                <w:kern w:val="2"/>
                <w:sz w:val="15"/>
                <w:szCs w:val="15"/>
                <w:lang w:val="en-US"/>
              </w:rPr>
            </w:pPr>
            <w:r>
              <w:rPr>
                <w:rFonts w:hint="eastAsia"/>
                <w:color w:val="auto"/>
                <w:kern w:val="2"/>
                <w:sz w:val="15"/>
                <w:szCs w:val="15"/>
              </w:rPr>
              <w:t>编辑出版学概论、传播学概论、公共关系学、广播电视概论、广告学概论、文化原典导读、现代汉语B、新闻传播技术基础、影视艺术概论、中国现代文学、中国新闻传播史、写作理论与实践、新闻学概论、新媒体概论、马克思主义新闻观理论与实践、编辑实务与技能、读者学、社科中文工具书使用法、书评学、新闻出版法律法规、数字出版与技术、中外编辑出版史、现代书刊设计、西方经济学与经管类专题出版、数字媒体编程基础、Web软件开发技术、国情教育、西方哲学与文史哲专题出版、国际出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5" w:type="dxa"/>
            <w:vAlign w:val="center"/>
          </w:tcPr>
          <w:p>
            <w:pPr>
              <w:tabs>
                <w:tab w:val="left" w:pos="1388"/>
              </w:tabs>
              <w:jc w:val="center"/>
              <w:rPr>
                <w:color w:val="auto"/>
                <w:kern w:val="2"/>
                <w:sz w:val="15"/>
                <w:szCs w:val="15"/>
              </w:rPr>
            </w:pPr>
            <w:r>
              <w:rPr>
                <w:rFonts w:hint="eastAsia"/>
                <w:color w:val="auto"/>
                <w:kern w:val="2"/>
                <w:sz w:val="15"/>
                <w:szCs w:val="15"/>
              </w:rPr>
              <w:t>网络与新媒体</w:t>
            </w:r>
          </w:p>
        </w:tc>
        <w:tc>
          <w:tcPr>
            <w:tcW w:w="6157" w:type="dxa"/>
            <w:vAlign w:val="center"/>
          </w:tcPr>
          <w:p>
            <w:pPr>
              <w:tabs>
                <w:tab w:val="left" w:pos="1388"/>
              </w:tabs>
              <w:jc w:val="both"/>
              <w:rPr>
                <w:color w:val="auto"/>
                <w:kern w:val="2"/>
                <w:sz w:val="15"/>
                <w:szCs w:val="15"/>
              </w:rPr>
            </w:pPr>
            <w:r>
              <w:rPr>
                <w:rFonts w:hint="eastAsia"/>
                <w:color w:val="auto"/>
                <w:kern w:val="2"/>
                <w:sz w:val="15"/>
                <w:szCs w:val="15"/>
              </w:rPr>
              <w:t>编辑出版学概论、传播学概论、公共关系学、广播电视概论、广告学概论、文化原典导读、现代汉语B、新闻传播技术基础、影视艺术概论、中国现代文学、中国新闻传播史、写作理论与实践、新闻学概论、新媒体概论、马克思主义新闻观理论与实践、新闻出版法律法规、人类传播媒介史、新媒体与中国传统文化艺术、用户调研与数据分析、网络社会心理学、传播效果理论基础、网络与新媒体信息采编、新媒体产业经济、数字媒体编程基础、Web软件开发技术、网络与新媒体产品策划、新媒体艺术、国情教育、文化产业与新媒体应用、全媒体整合传播、移动媒体编程技术</w:t>
            </w:r>
          </w:p>
        </w:tc>
      </w:tr>
    </w:tbl>
    <w:p>
      <w:pPr>
        <w:snapToGrid w:val="0"/>
        <w:spacing w:line="360" w:lineRule="auto"/>
        <w:rPr>
          <w:color w:val="auto"/>
          <w:sz w:val="24"/>
          <w:szCs w:val="24"/>
        </w:rPr>
      </w:pPr>
    </w:p>
    <w:p>
      <w:pPr>
        <w:snapToGrid w:val="0"/>
        <w:spacing w:line="360" w:lineRule="auto"/>
        <w:ind w:firstLine="482" w:firstLineChars="200"/>
        <w:rPr>
          <w:b/>
          <w:bCs/>
          <w:color w:val="auto"/>
          <w:sz w:val="24"/>
          <w:szCs w:val="24"/>
        </w:rPr>
      </w:pPr>
      <w:r>
        <w:rPr>
          <w:rFonts w:hint="eastAsia"/>
          <w:b/>
          <w:bCs/>
          <w:color w:val="auto"/>
          <w:sz w:val="24"/>
          <w:szCs w:val="24"/>
        </w:rPr>
        <w:t>三、科研成果加分</w:t>
      </w:r>
    </w:p>
    <w:p>
      <w:pPr>
        <w:spacing w:line="360" w:lineRule="auto"/>
        <w:ind w:firstLine="480" w:firstLineChars="200"/>
        <w:rPr>
          <w:color w:val="auto"/>
          <w:sz w:val="24"/>
          <w:szCs w:val="24"/>
        </w:rPr>
      </w:pPr>
      <w:r>
        <w:rPr>
          <w:rFonts w:hint="eastAsia"/>
          <w:color w:val="auto"/>
          <w:sz w:val="24"/>
          <w:szCs w:val="24"/>
        </w:rPr>
        <w:t>科研成果主要指：1</w:t>
      </w:r>
      <w:r>
        <w:rPr>
          <w:rFonts w:hint="eastAsia"/>
          <w:color w:val="auto"/>
          <w:spacing w:val="9"/>
          <w:sz w:val="24"/>
          <w:szCs w:val="24"/>
        </w:rPr>
        <w:t>．</w:t>
      </w:r>
      <w:r>
        <w:rPr>
          <w:color w:val="auto"/>
          <w:sz w:val="24"/>
          <w:szCs w:val="24"/>
        </w:rPr>
        <w:t xml:space="preserve">发表在 </w:t>
      </w:r>
      <w:r>
        <w:rPr>
          <w:rFonts w:hint="eastAsia"/>
          <w:color w:val="auto"/>
          <w:sz w:val="24"/>
          <w:szCs w:val="24"/>
        </w:rPr>
        <w:t>C级及以上期刊</w:t>
      </w:r>
      <w:r>
        <w:rPr>
          <w:color w:val="auto"/>
          <w:sz w:val="24"/>
          <w:szCs w:val="24"/>
        </w:rPr>
        <w:t>上的论文；</w:t>
      </w:r>
      <w:r>
        <w:rPr>
          <w:rFonts w:hint="eastAsia"/>
          <w:color w:val="auto"/>
          <w:sz w:val="24"/>
          <w:szCs w:val="24"/>
        </w:rPr>
        <w:t>2</w:t>
      </w:r>
      <w:r>
        <w:rPr>
          <w:rFonts w:hint="eastAsia"/>
          <w:color w:val="auto"/>
          <w:spacing w:val="9"/>
          <w:sz w:val="24"/>
          <w:szCs w:val="24"/>
        </w:rPr>
        <w:t>．</w:t>
      </w:r>
      <w:r>
        <w:rPr>
          <w:color w:val="auto"/>
          <w:sz w:val="24"/>
          <w:szCs w:val="24"/>
        </w:rPr>
        <w:t>主编或参编的著作；</w:t>
      </w:r>
      <w:r>
        <w:rPr>
          <w:rFonts w:hint="eastAsia"/>
          <w:color w:val="auto"/>
          <w:sz w:val="24"/>
          <w:szCs w:val="24"/>
        </w:rPr>
        <w:t>3</w:t>
      </w:r>
      <w:r>
        <w:rPr>
          <w:rFonts w:hint="eastAsia"/>
          <w:color w:val="auto"/>
          <w:spacing w:val="9"/>
          <w:sz w:val="24"/>
          <w:szCs w:val="24"/>
        </w:rPr>
        <w:t>．</w:t>
      </w:r>
      <w:r>
        <w:rPr>
          <w:color w:val="auto"/>
          <w:sz w:val="24"/>
          <w:szCs w:val="24"/>
        </w:rPr>
        <w:t>主研（前五名）项目获省级及以上奖励；</w:t>
      </w:r>
      <w:r>
        <w:rPr>
          <w:rFonts w:hint="eastAsia"/>
          <w:color w:val="auto"/>
          <w:sz w:val="24"/>
          <w:szCs w:val="24"/>
        </w:rPr>
        <w:t>4</w:t>
      </w:r>
      <w:r>
        <w:rPr>
          <w:rFonts w:hint="eastAsia"/>
          <w:color w:val="auto"/>
          <w:spacing w:val="9"/>
          <w:sz w:val="24"/>
          <w:szCs w:val="24"/>
        </w:rPr>
        <w:t>．</w:t>
      </w:r>
      <w:r>
        <w:rPr>
          <w:color w:val="auto"/>
          <w:sz w:val="24"/>
          <w:szCs w:val="24"/>
        </w:rPr>
        <w:t>负责或主研（前五名）科研项目；</w:t>
      </w:r>
      <w:r>
        <w:rPr>
          <w:rFonts w:hint="eastAsia"/>
          <w:color w:val="auto"/>
          <w:sz w:val="24"/>
          <w:szCs w:val="24"/>
        </w:rPr>
        <w:t>5</w:t>
      </w:r>
      <w:r>
        <w:rPr>
          <w:rFonts w:hint="eastAsia"/>
          <w:color w:val="auto"/>
          <w:spacing w:val="9"/>
          <w:sz w:val="24"/>
          <w:szCs w:val="24"/>
        </w:rPr>
        <w:t>．</w:t>
      </w:r>
      <w:r>
        <w:rPr>
          <w:color w:val="auto"/>
          <w:sz w:val="24"/>
          <w:szCs w:val="24"/>
        </w:rPr>
        <w:t>负责和参与“大学生创新创业训练计划”</w:t>
      </w:r>
      <w:r>
        <w:rPr>
          <w:rFonts w:hint="eastAsia"/>
          <w:color w:val="auto"/>
          <w:sz w:val="24"/>
          <w:szCs w:val="24"/>
        </w:rPr>
        <w:t>、互联网+大学生创新创业大赛、</w:t>
      </w:r>
      <w:r>
        <w:rPr>
          <w:color w:val="auto"/>
          <w:sz w:val="24"/>
          <w:szCs w:val="24"/>
        </w:rPr>
        <w:t>“挑战杯”全国大学生课外学术科技作品竞赛</w:t>
      </w:r>
      <w:r>
        <w:rPr>
          <w:rFonts w:hint="eastAsia"/>
          <w:color w:val="auto"/>
          <w:sz w:val="24"/>
          <w:szCs w:val="24"/>
        </w:rPr>
        <w:t>和</w:t>
      </w:r>
      <w:r>
        <w:rPr>
          <w:color w:val="auto"/>
          <w:sz w:val="24"/>
          <w:szCs w:val="24"/>
        </w:rPr>
        <w:t>“</w:t>
      </w:r>
      <w:r>
        <w:rPr>
          <w:rFonts w:hint="eastAsia"/>
          <w:color w:val="auto"/>
          <w:sz w:val="24"/>
          <w:szCs w:val="24"/>
          <w:lang w:val="en-US"/>
        </w:rPr>
        <w:t>挑战杯</w:t>
      </w:r>
      <w:r>
        <w:rPr>
          <w:color w:val="auto"/>
          <w:sz w:val="24"/>
          <w:szCs w:val="24"/>
        </w:rPr>
        <w:t>”全国大学生创业</w:t>
      </w:r>
      <w:r>
        <w:rPr>
          <w:rFonts w:hint="eastAsia"/>
          <w:color w:val="auto"/>
          <w:sz w:val="24"/>
          <w:szCs w:val="24"/>
          <w:lang w:val="en-US"/>
        </w:rPr>
        <w:t>计划</w:t>
      </w:r>
      <w:r>
        <w:rPr>
          <w:color w:val="auto"/>
          <w:sz w:val="24"/>
          <w:szCs w:val="24"/>
        </w:rPr>
        <w:t>大赛</w:t>
      </w:r>
      <w:r>
        <w:rPr>
          <w:rFonts w:hint="eastAsia"/>
          <w:color w:val="auto"/>
          <w:sz w:val="24"/>
          <w:szCs w:val="24"/>
        </w:rPr>
        <w:t>等。各项目</w:t>
      </w:r>
      <w:r>
        <w:rPr>
          <w:color w:val="auto"/>
          <w:sz w:val="24"/>
          <w:szCs w:val="24"/>
        </w:rPr>
        <w:t>根据刊物级别、作者排名</w:t>
      </w:r>
      <w:r>
        <w:rPr>
          <w:rFonts w:hint="eastAsia"/>
          <w:color w:val="auto"/>
          <w:sz w:val="24"/>
          <w:szCs w:val="24"/>
        </w:rPr>
        <w:t>、获奖级别</w:t>
      </w:r>
      <w:r>
        <w:rPr>
          <w:color w:val="auto"/>
          <w:sz w:val="24"/>
          <w:szCs w:val="24"/>
        </w:rPr>
        <w:t>等标准进行加分。</w:t>
      </w:r>
    </w:p>
    <w:p>
      <w:pPr>
        <w:spacing w:line="360" w:lineRule="auto"/>
        <w:ind w:firstLine="480" w:firstLineChars="200"/>
        <w:rPr>
          <w:color w:val="auto"/>
          <w:sz w:val="24"/>
          <w:szCs w:val="24"/>
          <w:lang w:val="en-US"/>
        </w:rPr>
      </w:pPr>
      <w:r>
        <w:rPr>
          <w:rFonts w:hint="eastAsia"/>
          <w:color w:val="auto"/>
          <w:sz w:val="24"/>
          <w:szCs w:val="24"/>
        </w:rPr>
        <w:t>所有科研成果的取得时间应为报到注册为四川大学学生后，且在</w:t>
      </w:r>
      <w:r>
        <w:rPr>
          <w:rFonts w:hint="eastAsia"/>
          <w:color w:val="auto"/>
          <w:sz w:val="24"/>
          <w:szCs w:val="24"/>
          <w:lang w:val="en-US"/>
        </w:rPr>
        <w:t>2022年8月31日之前。</w:t>
      </w:r>
    </w:p>
    <w:p>
      <w:pPr>
        <w:pStyle w:val="6"/>
        <w:autoSpaceDE/>
        <w:autoSpaceDN/>
        <w:spacing w:line="360" w:lineRule="auto"/>
        <w:ind w:left="0" w:firstLine="448" w:firstLineChars="200"/>
        <w:jc w:val="both"/>
        <w:rPr>
          <w:color w:val="auto"/>
          <w:sz w:val="24"/>
          <w:szCs w:val="24"/>
          <w:lang w:val="en-US"/>
        </w:rPr>
      </w:pPr>
      <w:r>
        <w:rPr>
          <w:rFonts w:hint="eastAsia"/>
          <w:color w:val="auto"/>
          <w:spacing w:val="-8"/>
          <w:sz w:val="24"/>
          <w:szCs w:val="24"/>
        </w:rPr>
        <w:t>所有与直系亲属或学历、职称、职务明显高于本人合作的科研成果、竞赛奖项等仅作为参考，不纳入学生本人推免遴选综合评价成绩计算体系，同等条件下可优先考虑。</w:t>
      </w:r>
    </w:p>
    <w:p>
      <w:pPr>
        <w:spacing w:line="360" w:lineRule="auto"/>
        <w:ind w:firstLine="420"/>
        <w:rPr>
          <w:color w:val="auto"/>
          <w:spacing w:val="3"/>
          <w:sz w:val="24"/>
          <w:szCs w:val="24"/>
        </w:rPr>
      </w:pPr>
      <w:r>
        <w:rPr>
          <w:rFonts w:hint="eastAsia"/>
          <w:color w:val="auto"/>
          <w:sz w:val="24"/>
          <w:szCs w:val="24"/>
        </w:rPr>
        <w:t>以上各项体现科研创新潜质及专业能力的记分项目应与中国语言文学学科、新闻传播学科、艺术学学科有一定关联，毫无关联的不予统计，</w:t>
      </w:r>
      <w:r>
        <w:rPr>
          <w:color w:val="auto"/>
          <w:sz w:val="24"/>
          <w:szCs w:val="24"/>
        </w:rPr>
        <w:t>上限是</w:t>
      </w:r>
      <w:r>
        <w:rPr>
          <w:rFonts w:hint="eastAsia"/>
          <w:color w:val="auto"/>
          <w:sz w:val="24"/>
          <w:szCs w:val="24"/>
          <w:lang w:val="en-US"/>
        </w:rPr>
        <w:t>10</w:t>
      </w:r>
      <w:r>
        <w:rPr>
          <w:color w:val="auto"/>
          <w:sz w:val="24"/>
          <w:szCs w:val="24"/>
        </w:rPr>
        <w:t>分。</w:t>
      </w:r>
      <w:r>
        <w:rPr>
          <w:rFonts w:hint="eastAsia"/>
          <w:color w:val="auto"/>
          <w:sz w:val="24"/>
          <w:szCs w:val="24"/>
          <w:lang w:val="en-US" w:eastAsia="zh-Hans"/>
        </w:rPr>
        <w:t>如涉及论文和专利，第一作者和第一通讯作者单位限定为四川大学。</w:t>
      </w:r>
      <w:r>
        <w:rPr>
          <w:rFonts w:hint="eastAsia"/>
          <w:color w:val="auto"/>
          <w:sz w:val="24"/>
          <w:szCs w:val="24"/>
        </w:rPr>
        <w:t>同一项目</w:t>
      </w:r>
      <w:r>
        <w:rPr>
          <w:rFonts w:hint="eastAsia"/>
          <w:color w:val="auto"/>
          <w:spacing w:val="3"/>
          <w:sz w:val="24"/>
          <w:szCs w:val="24"/>
        </w:rPr>
        <w:t>只计最高级别且只加一次分</w:t>
      </w:r>
      <w:r>
        <w:rPr>
          <w:color w:val="auto"/>
          <w:spacing w:val="3"/>
          <w:sz w:val="24"/>
          <w:szCs w:val="24"/>
        </w:rPr>
        <w:t>。</w:t>
      </w:r>
    </w:p>
    <w:p>
      <w:pPr>
        <w:spacing w:line="360" w:lineRule="auto"/>
        <w:ind w:firstLine="420"/>
        <w:rPr>
          <w:color w:val="auto"/>
          <w:sz w:val="24"/>
          <w:szCs w:val="24"/>
        </w:rPr>
      </w:pPr>
      <w:r>
        <w:rPr>
          <w:rFonts w:hint="eastAsia"/>
          <w:color w:val="auto"/>
          <w:sz w:val="24"/>
          <w:szCs w:val="24"/>
        </w:rPr>
        <w:t>（</w:t>
      </w:r>
      <w:r>
        <w:rPr>
          <w:rFonts w:hint="eastAsia"/>
          <w:color w:val="auto"/>
          <w:sz w:val="24"/>
          <w:szCs w:val="24"/>
          <w:lang w:val="en-US"/>
        </w:rPr>
        <w:t>一</w:t>
      </w:r>
      <w:r>
        <w:rPr>
          <w:rFonts w:hint="eastAsia"/>
          <w:color w:val="auto"/>
          <w:sz w:val="24"/>
          <w:szCs w:val="24"/>
        </w:rPr>
        <w:t>）发表论文加分</w:t>
      </w:r>
    </w:p>
    <w:p>
      <w:pPr>
        <w:spacing w:line="360" w:lineRule="auto"/>
        <w:ind w:firstLine="420"/>
        <w:rPr>
          <w:color w:val="auto"/>
          <w:sz w:val="24"/>
          <w:szCs w:val="24"/>
        </w:rPr>
      </w:pPr>
      <w:r>
        <w:rPr>
          <w:rFonts w:hint="eastAsia"/>
          <w:color w:val="auto"/>
          <w:sz w:val="24"/>
          <w:szCs w:val="24"/>
        </w:rPr>
        <w:t>为避免论文发表中的商业化操作对学术的干扰，特做以下说明：</w:t>
      </w:r>
    </w:p>
    <w:p>
      <w:pPr>
        <w:spacing w:line="360" w:lineRule="auto"/>
        <w:ind w:firstLine="492" w:firstLineChars="200"/>
        <w:rPr>
          <w:color w:val="auto"/>
          <w:sz w:val="24"/>
          <w:szCs w:val="24"/>
        </w:rPr>
      </w:pPr>
      <w:r>
        <w:rPr>
          <w:color w:val="auto"/>
          <w:spacing w:val="3"/>
          <w:sz w:val="24"/>
          <w:szCs w:val="24"/>
        </w:rPr>
        <w:t>所有学术成果必须是在正式出版的学术期刊或学术集刊</w:t>
      </w:r>
      <w:r>
        <w:rPr>
          <w:rFonts w:hint="eastAsia"/>
          <w:color w:val="auto"/>
          <w:spacing w:val="3"/>
          <w:sz w:val="24"/>
          <w:szCs w:val="24"/>
        </w:rPr>
        <w:t>上</w:t>
      </w:r>
      <w:r>
        <w:rPr>
          <w:color w:val="auto"/>
          <w:spacing w:val="3"/>
          <w:sz w:val="24"/>
          <w:szCs w:val="24"/>
        </w:rPr>
        <w:t>发表的科研论文（译文）</w:t>
      </w:r>
      <w:r>
        <w:rPr>
          <w:color w:val="auto"/>
          <w:sz w:val="24"/>
          <w:szCs w:val="24"/>
        </w:rPr>
        <w:t>或正规出版社出版的学术专著。用稿通知一律不算。</w:t>
      </w:r>
    </w:p>
    <w:p>
      <w:pPr>
        <w:spacing w:line="360" w:lineRule="auto"/>
        <w:ind w:firstLine="480" w:firstLineChars="200"/>
        <w:rPr>
          <w:color w:val="auto"/>
          <w:spacing w:val="3"/>
          <w:sz w:val="24"/>
          <w:szCs w:val="24"/>
        </w:rPr>
      </w:pPr>
      <w:r>
        <w:rPr>
          <w:rFonts w:hint="eastAsia"/>
          <w:color w:val="auto"/>
          <w:sz w:val="24"/>
          <w:szCs w:val="24"/>
        </w:rPr>
        <w:t>1</w:t>
      </w:r>
      <w:r>
        <w:rPr>
          <w:rFonts w:hint="eastAsia"/>
          <w:color w:val="auto"/>
          <w:spacing w:val="9"/>
          <w:sz w:val="24"/>
          <w:szCs w:val="24"/>
        </w:rPr>
        <w:t>．</w:t>
      </w:r>
      <w:r>
        <w:rPr>
          <w:rFonts w:hint="eastAsia"/>
          <w:color w:val="auto"/>
          <w:sz w:val="24"/>
          <w:szCs w:val="24"/>
        </w:rPr>
        <w:t>独作发表论文加分：</w:t>
      </w:r>
      <w:r>
        <w:rPr>
          <w:color w:val="auto"/>
          <w:spacing w:val="3"/>
          <w:sz w:val="24"/>
          <w:szCs w:val="24"/>
        </w:rPr>
        <w:t xml:space="preserve"> CSSCI </w:t>
      </w:r>
      <w:r>
        <w:rPr>
          <w:rFonts w:hint="eastAsia"/>
          <w:color w:val="auto"/>
          <w:spacing w:val="3"/>
          <w:sz w:val="24"/>
          <w:szCs w:val="24"/>
        </w:rPr>
        <w:t>、A&amp;HCI、SSCI以及符合《四川大学哲学社会科学期刊与应用成果分级方案（2017）》C级以上</w:t>
      </w:r>
      <w:r>
        <w:rPr>
          <w:color w:val="auto"/>
          <w:spacing w:val="3"/>
          <w:sz w:val="24"/>
          <w:szCs w:val="24"/>
        </w:rPr>
        <w:t>来源期刊发表论文，每篇计</w:t>
      </w:r>
      <w:r>
        <w:rPr>
          <w:rFonts w:hint="eastAsia"/>
          <w:color w:val="auto"/>
          <w:spacing w:val="3"/>
          <w:sz w:val="24"/>
          <w:szCs w:val="24"/>
          <w:lang w:val="en-US"/>
        </w:rPr>
        <w:t>8</w:t>
      </w:r>
      <w:r>
        <w:rPr>
          <w:color w:val="auto"/>
          <w:spacing w:val="3"/>
          <w:sz w:val="24"/>
          <w:szCs w:val="24"/>
        </w:rPr>
        <w:t>分。有多篇</w:t>
      </w:r>
      <w:r>
        <w:rPr>
          <w:rFonts w:hint="eastAsia"/>
          <w:color w:val="auto"/>
          <w:spacing w:val="3"/>
          <w:sz w:val="24"/>
          <w:szCs w:val="24"/>
        </w:rPr>
        <w:t>论文者</w:t>
      </w:r>
      <w:r>
        <w:rPr>
          <w:color w:val="auto"/>
          <w:spacing w:val="3"/>
          <w:sz w:val="24"/>
          <w:szCs w:val="24"/>
        </w:rPr>
        <w:t>，</w:t>
      </w:r>
      <w:r>
        <w:rPr>
          <w:rFonts w:hint="eastAsia"/>
          <w:color w:val="auto"/>
          <w:spacing w:val="3"/>
          <w:sz w:val="24"/>
          <w:szCs w:val="24"/>
        </w:rPr>
        <w:t>只计最高级别且只加一次分</w:t>
      </w:r>
      <w:r>
        <w:rPr>
          <w:color w:val="auto"/>
          <w:spacing w:val="3"/>
          <w:sz w:val="24"/>
          <w:szCs w:val="24"/>
        </w:rPr>
        <w:t>。</w:t>
      </w:r>
    </w:p>
    <w:p>
      <w:pPr>
        <w:spacing w:line="360" w:lineRule="auto"/>
        <w:ind w:firstLine="492" w:firstLineChars="200"/>
        <w:rPr>
          <w:color w:val="auto"/>
          <w:spacing w:val="3"/>
          <w:sz w:val="24"/>
          <w:szCs w:val="24"/>
        </w:rPr>
      </w:pPr>
      <w:r>
        <w:rPr>
          <w:rFonts w:hint="eastAsia"/>
          <w:color w:val="auto"/>
          <w:spacing w:val="3"/>
          <w:sz w:val="24"/>
          <w:szCs w:val="24"/>
        </w:rPr>
        <w:t>2</w:t>
      </w:r>
      <w:r>
        <w:rPr>
          <w:rFonts w:hint="eastAsia"/>
          <w:color w:val="auto"/>
          <w:spacing w:val="9"/>
          <w:sz w:val="24"/>
          <w:szCs w:val="24"/>
        </w:rPr>
        <w:t>．</w:t>
      </w:r>
      <w:r>
        <w:rPr>
          <w:color w:val="auto"/>
          <w:spacing w:val="3"/>
          <w:sz w:val="24"/>
          <w:szCs w:val="24"/>
        </w:rPr>
        <w:t>合作论文加分</w:t>
      </w:r>
      <w:r>
        <w:rPr>
          <w:rFonts w:hint="eastAsia"/>
          <w:color w:val="auto"/>
          <w:spacing w:val="3"/>
          <w:sz w:val="24"/>
          <w:szCs w:val="24"/>
        </w:rPr>
        <w:t>：</w:t>
      </w:r>
      <w:r>
        <w:rPr>
          <w:color w:val="auto"/>
          <w:spacing w:val="3"/>
          <w:sz w:val="24"/>
          <w:szCs w:val="24"/>
        </w:rPr>
        <w:t>按照发表时的排名，</w:t>
      </w:r>
      <w:r>
        <w:rPr>
          <w:rFonts w:hint="eastAsia"/>
          <w:color w:val="auto"/>
          <w:spacing w:val="3"/>
          <w:sz w:val="24"/>
          <w:szCs w:val="24"/>
        </w:rPr>
        <w:t>按比例进行加分，每篇文章总计</w:t>
      </w:r>
      <w:r>
        <w:rPr>
          <w:rFonts w:hint="eastAsia"/>
          <w:color w:val="auto"/>
          <w:spacing w:val="3"/>
          <w:sz w:val="24"/>
          <w:szCs w:val="24"/>
          <w:lang w:val="en-US"/>
        </w:rPr>
        <w:t>8</w:t>
      </w:r>
      <w:r>
        <w:rPr>
          <w:rFonts w:hint="eastAsia"/>
          <w:color w:val="auto"/>
          <w:spacing w:val="3"/>
          <w:sz w:val="24"/>
          <w:szCs w:val="24"/>
        </w:rPr>
        <w:t>分，如论文有五人或以上的署名，第五名及以后作者不计算加分，明细如下：</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00"/>
        <w:gridCol w:w="1374"/>
        <w:gridCol w:w="1285"/>
        <w:gridCol w:w="1224"/>
        <w:gridCol w:w="1224"/>
        <w:gridCol w:w="14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合作人数</w:t>
            </w:r>
          </w:p>
        </w:tc>
        <w:tc>
          <w:tcPr>
            <w:tcW w:w="1374" w:type="dxa"/>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第一作者</w:t>
            </w:r>
          </w:p>
        </w:tc>
        <w:tc>
          <w:tcPr>
            <w:tcW w:w="1285" w:type="dxa"/>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第二作者</w:t>
            </w:r>
          </w:p>
        </w:tc>
        <w:tc>
          <w:tcPr>
            <w:tcW w:w="1224" w:type="dxa"/>
            <w:tcBorders>
              <w:right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第三作者</w:t>
            </w:r>
          </w:p>
        </w:tc>
        <w:tc>
          <w:tcPr>
            <w:tcW w:w="1224" w:type="dxa"/>
            <w:tcBorders>
              <w:left w:val="single" w:color="auto" w:sz="4" w:space="0"/>
              <w:right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第四作者</w:t>
            </w:r>
          </w:p>
        </w:tc>
        <w:tc>
          <w:tcPr>
            <w:tcW w:w="1428" w:type="dxa"/>
            <w:tcBorders>
              <w:left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第五作者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3" w:hRule="atLeast"/>
          <w:jc w:val="center"/>
        </w:trPr>
        <w:tc>
          <w:tcPr>
            <w:tcW w:w="0" w:type="auto"/>
            <w:tcBorders>
              <w:bottom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两人</w:t>
            </w:r>
          </w:p>
        </w:tc>
        <w:tc>
          <w:tcPr>
            <w:tcW w:w="1374" w:type="dxa"/>
            <w:tcBorders>
              <w:bottom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*60%</w:t>
            </w:r>
          </w:p>
        </w:tc>
        <w:tc>
          <w:tcPr>
            <w:tcW w:w="1285" w:type="dxa"/>
            <w:tcBorders>
              <w:bottom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*40%</w:t>
            </w:r>
          </w:p>
        </w:tc>
        <w:tc>
          <w:tcPr>
            <w:tcW w:w="1224" w:type="dxa"/>
            <w:tcBorders>
              <w:bottom w:val="single" w:color="auto" w:sz="4" w:space="0"/>
              <w:right w:val="single" w:color="auto" w:sz="4" w:space="0"/>
            </w:tcBorders>
          </w:tcPr>
          <w:p>
            <w:pPr>
              <w:widowControl/>
              <w:autoSpaceDE/>
              <w:autoSpaceDN/>
              <w:spacing w:line="360" w:lineRule="auto"/>
              <w:jc w:val="center"/>
              <w:rPr>
                <w:rFonts w:cs="Times New Roman"/>
                <w:color w:val="auto"/>
                <w:spacing w:val="3"/>
                <w:kern w:val="2"/>
                <w:sz w:val="24"/>
                <w:szCs w:val="24"/>
              </w:rPr>
            </w:pPr>
          </w:p>
        </w:tc>
        <w:tc>
          <w:tcPr>
            <w:tcW w:w="1224" w:type="dxa"/>
            <w:tcBorders>
              <w:left w:val="single" w:color="auto" w:sz="4" w:space="0"/>
              <w:bottom w:val="single" w:color="auto" w:sz="4" w:space="0"/>
              <w:right w:val="single" w:color="auto" w:sz="4" w:space="0"/>
            </w:tcBorders>
          </w:tcPr>
          <w:p>
            <w:pPr>
              <w:widowControl/>
              <w:autoSpaceDE/>
              <w:autoSpaceDN/>
              <w:spacing w:line="360" w:lineRule="auto"/>
              <w:jc w:val="center"/>
              <w:rPr>
                <w:rFonts w:cs="Times New Roman"/>
                <w:color w:val="auto"/>
                <w:spacing w:val="3"/>
                <w:kern w:val="2"/>
                <w:sz w:val="24"/>
                <w:szCs w:val="24"/>
              </w:rPr>
            </w:pPr>
          </w:p>
        </w:tc>
        <w:tc>
          <w:tcPr>
            <w:tcW w:w="1428" w:type="dxa"/>
            <w:tcBorders>
              <w:left w:val="single" w:color="auto" w:sz="4" w:space="0"/>
              <w:bottom w:val="single" w:color="auto" w:sz="4" w:space="0"/>
            </w:tcBorders>
          </w:tcPr>
          <w:p>
            <w:pPr>
              <w:widowControl/>
              <w:autoSpaceDE/>
              <w:autoSpaceDN/>
              <w:spacing w:line="360" w:lineRule="auto"/>
              <w:jc w:val="center"/>
              <w:rPr>
                <w:rFonts w:cs="Times New Roman"/>
                <w:color w:val="auto"/>
                <w:spacing w:val="3"/>
                <w:kern w:val="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op w:val="single" w:color="auto" w:sz="4" w:space="0"/>
              <w:bottom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三人</w:t>
            </w:r>
          </w:p>
        </w:tc>
        <w:tc>
          <w:tcPr>
            <w:tcW w:w="1374" w:type="dxa"/>
            <w:tcBorders>
              <w:top w:val="single" w:color="auto" w:sz="4" w:space="0"/>
              <w:bottom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*50%</w:t>
            </w:r>
          </w:p>
        </w:tc>
        <w:tc>
          <w:tcPr>
            <w:tcW w:w="1285" w:type="dxa"/>
            <w:tcBorders>
              <w:top w:val="single" w:color="auto" w:sz="4" w:space="0"/>
              <w:bottom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*30%</w:t>
            </w:r>
          </w:p>
        </w:tc>
        <w:tc>
          <w:tcPr>
            <w:tcW w:w="1224" w:type="dxa"/>
            <w:tcBorders>
              <w:top w:val="single" w:color="auto" w:sz="4" w:space="0"/>
              <w:bottom w:val="single" w:color="auto" w:sz="4" w:space="0"/>
              <w:right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*20%</w:t>
            </w:r>
          </w:p>
        </w:tc>
        <w:tc>
          <w:tcPr>
            <w:tcW w:w="1224" w:type="dxa"/>
            <w:tcBorders>
              <w:top w:val="single" w:color="auto" w:sz="4" w:space="0"/>
              <w:left w:val="single" w:color="auto" w:sz="4" w:space="0"/>
              <w:bottom w:val="single" w:color="auto" w:sz="4" w:space="0"/>
              <w:right w:val="single" w:color="auto" w:sz="4" w:space="0"/>
            </w:tcBorders>
          </w:tcPr>
          <w:p>
            <w:pPr>
              <w:widowControl/>
              <w:autoSpaceDE/>
              <w:autoSpaceDN/>
              <w:spacing w:line="360" w:lineRule="auto"/>
              <w:jc w:val="center"/>
              <w:rPr>
                <w:rFonts w:cs="Times New Roman"/>
                <w:color w:val="auto"/>
                <w:spacing w:val="3"/>
                <w:kern w:val="2"/>
                <w:sz w:val="24"/>
                <w:szCs w:val="24"/>
              </w:rPr>
            </w:pPr>
          </w:p>
        </w:tc>
        <w:tc>
          <w:tcPr>
            <w:tcW w:w="1428" w:type="dxa"/>
            <w:tcBorders>
              <w:top w:val="single" w:color="auto" w:sz="4" w:space="0"/>
              <w:left w:val="single" w:color="auto" w:sz="4" w:space="0"/>
              <w:bottom w:val="single" w:color="auto" w:sz="4" w:space="0"/>
            </w:tcBorders>
          </w:tcPr>
          <w:p>
            <w:pPr>
              <w:widowControl/>
              <w:autoSpaceDE/>
              <w:autoSpaceDN/>
              <w:spacing w:line="360" w:lineRule="auto"/>
              <w:jc w:val="center"/>
              <w:rPr>
                <w:rFonts w:cs="Times New Roman"/>
                <w:color w:val="auto"/>
                <w:spacing w:val="3"/>
                <w:kern w:val="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jc w:val="center"/>
        </w:trPr>
        <w:tc>
          <w:tcPr>
            <w:tcW w:w="0" w:type="auto"/>
            <w:tcBorders>
              <w:top w:val="single" w:color="auto" w:sz="4" w:space="0"/>
              <w:bottom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四人</w:t>
            </w:r>
          </w:p>
        </w:tc>
        <w:tc>
          <w:tcPr>
            <w:tcW w:w="1374" w:type="dxa"/>
            <w:tcBorders>
              <w:top w:val="single" w:color="auto" w:sz="4" w:space="0"/>
              <w:bottom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*40%</w:t>
            </w:r>
          </w:p>
        </w:tc>
        <w:tc>
          <w:tcPr>
            <w:tcW w:w="1285" w:type="dxa"/>
            <w:tcBorders>
              <w:top w:val="single" w:color="auto" w:sz="4" w:space="0"/>
              <w:bottom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*30%</w:t>
            </w:r>
          </w:p>
        </w:tc>
        <w:tc>
          <w:tcPr>
            <w:tcW w:w="1224" w:type="dxa"/>
            <w:tcBorders>
              <w:top w:val="single" w:color="auto" w:sz="4" w:space="0"/>
              <w:bottom w:val="single" w:color="auto" w:sz="4" w:space="0"/>
              <w:right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*20%</w:t>
            </w:r>
          </w:p>
        </w:tc>
        <w:tc>
          <w:tcPr>
            <w:tcW w:w="1224" w:type="dxa"/>
            <w:tcBorders>
              <w:top w:val="single" w:color="auto" w:sz="4" w:space="0"/>
              <w:left w:val="single" w:color="auto" w:sz="4" w:space="0"/>
              <w:bottom w:val="single" w:color="auto" w:sz="4" w:space="0"/>
              <w:right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*10%</w:t>
            </w:r>
          </w:p>
        </w:tc>
        <w:tc>
          <w:tcPr>
            <w:tcW w:w="1428" w:type="dxa"/>
            <w:tcBorders>
              <w:top w:val="single" w:color="auto" w:sz="4" w:space="0"/>
              <w:left w:val="single" w:color="auto" w:sz="4" w:space="0"/>
              <w:bottom w:val="single" w:color="auto" w:sz="4" w:space="0"/>
            </w:tcBorders>
          </w:tcPr>
          <w:p>
            <w:pPr>
              <w:widowControl/>
              <w:autoSpaceDE/>
              <w:autoSpaceDN/>
              <w:spacing w:line="360" w:lineRule="auto"/>
              <w:jc w:val="center"/>
              <w:rPr>
                <w:rFonts w:cs="Times New Roman"/>
                <w:color w:val="auto"/>
                <w:spacing w:val="3"/>
                <w:kern w:val="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 w:hRule="atLeast"/>
          <w:jc w:val="center"/>
        </w:trPr>
        <w:tc>
          <w:tcPr>
            <w:tcW w:w="0" w:type="auto"/>
            <w:tcBorders>
              <w:top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五人</w:t>
            </w:r>
          </w:p>
        </w:tc>
        <w:tc>
          <w:tcPr>
            <w:tcW w:w="1374" w:type="dxa"/>
            <w:tcBorders>
              <w:top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*40%</w:t>
            </w:r>
          </w:p>
        </w:tc>
        <w:tc>
          <w:tcPr>
            <w:tcW w:w="1285" w:type="dxa"/>
            <w:tcBorders>
              <w:top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*30%</w:t>
            </w:r>
          </w:p>
        </w:tc>
        <w:tc>
          <w:tcPr>
            <w:tcW w:w="1224" w:type="dxa"/>
            <w:tcBorders>
              <w:top w:val="single" w:color="auto" w:sz="4" w:space="0"/>
              <w:right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*20%</w:t>
            </w:r>
          </w:p>
        </w:tc>
        <w:tc>
          <w:tcPr>
            <w:tcW w:w="1224" w:type="dxa"/>
            <w:tcBorders>
              <w:top w:val="single" w:color="auto" w:sz="4" w:space="0"/>
              <w:left w:val="single" w:color="auto" w:sz="4" w:space="0"/>
              <w:right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lang w:val="en-US"/>
              </w:rPr>
              <w:t>8</w:t>
            </w:r>
            <w:r>
              <w:rPr>
                <w:rFonts w:hint="eastAsia" w:cs="Times New Roman"/>
                <w:color w:val="auto"/>
                <w:spacing w:val="3"/>
                <w:kern w:val="2"/>
                <w:sz w:val="24"/>
                <w:szCs w:val="24"/>
              </w:rPr>
              <w:t>*10%</w:t>
            </w:r>
          </w:p>
        </w:tc>
        <w:tc>
          <w:tcPr>
            <w:tcW w:w="1428" w:type="dxa"/>
            <w:tcBorders>
              <w:top w:val="single" w:color="auto" w:sz="4" w:space="0"/>
              <w:left w:val="single" w:color="auto" w:sz="4" w:space="0"/>
            </w:tcBorders>
          </w:tcPr>
          <w:p>
            <w:pPr>
              <w:widowControl/>
              <w:autoSpaceDE/>
              <w:autoSpaceDN/>
              <w:spacing w:line="360" w:lineRule="auto"/>
              <w:jc w:val="center"/>
              <w:rPr>
                <w:rFonts w:cs="Times New Roman"/>
                <w:color w:val="auto"/>
                <w:spacing w:val="3"/>
                <w:kern w:val="2"/>
                <w:sz w:val="24"/>
                <w:szCs w:val="24"/>
              </w:rPr>
            </w:pPr>
            <w:r>
              <w:rPr>
                <w:rFonts w:hint="eastAsia" w:cs="Times New Roman"/>
                <w:color w:val="auto"/>
                <w:spacing w:val="3"/>
                <w:kern w:val="2"/>
                <w:sz w:val="24"/>
                <w:szCs w:val="24"/>
              </w:rPr>
              <w:t>0</w:t>
            </w:r>
          </w:p>
        </w:tc>
      </w:tr>
    </w:tbl>
    <w:p>
      <w:pPr>
        <w:spacing w:line="360" w:lineRule="auto"/>
        <w:ind w:firstLine="492" w:firstLineChars="200"/>
        <w:rPr>
          <w:color w:val="auto"/>
          <w:spacing w:val="3"/>
          <w:sz w:val="24"/>
          <w:szCs w:val="24"/>
        </w:rPr>
      </w:pPr>
      <w:r>
        <w:rPr>
          <w:rFonts w:hint="eastAsia"/>
          <w:color w:val="auto"/>
          <w:spacing w:val="3"/>
          <w:sz w:val="24"/>
          <w:szCs w:val="24"/>
        </w:rPr>
        <w:t>有多篇论文者，</w:t>
      </w:r>
      <w:r>
        <w:rPr>
          <w:rFonts w:hint="eastAsia"/>
          <w:color w:val="auto"/>
          <w:sz w:val="24"/>
          <w:szCs w:val="24"/>
        </w:rPr>
        <w:t>只计最高级别且只加一次分</w:t>
      </w:r>
      <w:r>
        <w:rPr>
          <w:rFonts w:hint="eastAsia"/>
          <w:color w:val="auto"/>
          <w:spacing w:val="3"/>
          <w:sz w:val="24"/>
          <w:szCs w:val="24"/>
        </w:rPr>
        <w:t>。</w:t>
      </w:r>
    </w:p>
    <w:p>
      <w:pPr>
        <w:tabs>
          <w:tab w:val="left" w:pos="1388"/>
        </w:tabs>
        <w:spacing w:line="360" w:lineRule="auto"/>
        <w:ind w:firstLine="472" w:firstLineChars="200"/>
        <w:rPr>
          <w:color w:val="auto"/>
          <w:spacing w:val="-2"/>
          <w:sz w:val="24"/>
          <w:szCs w:val="24"/>
        </w:rPr>
      </w:pPr>
      <w:r>
        <w:rPr>
          <w:rFonts w:hint="eastAsia"/>
          <w:color w:val="auto"/>
          <w:spacing w:val="-2"/>
          <w:sz w:val="24"/>
          <w:szCs w:val="24"/>
        </w:rPr>
        <w:t>（</w:t>
      </w:r>
      <w:r>
        <w:rPr>
          <w:rFonts w:hint="eastAsia"/>
          <w:color w:val="auto"/>
          <w:spacing w:val="-2"/>
          <w:sz w:val="24"/>
          <w:szCs w:val="24"/>
          <w:lang w:val="en-US"/>
        </w:rPr>
        <w:t>二</w:t>
      </w:r>
      <w:r>
        <w:rPr>
          <w:rFonts w:hint="eastAsia"/>
          <w:color w:val="auto"/>
          <w:spacing w:val="-2"/>
          <w:sz w:val="24"/>
          <w:szCs w:val="24"/>
        </w:rPr>
        <w:t>）</w:t>
      </w:r>
      <w:r>
        <w:rPr>
          <w:color w:val="auto"/>
          <w:spacing w:val="-2"/>
          <w:sz w:val="24"/>
          <w:szCs w:val="24"/>
        </w:rPr>
        <w:t>主编或参编</w:t>
      </w:r>
      <w:r>
        <w:rPr>
          <w:rFonts w:hint="eastAsia"/>
          <w:color w:val="auto"/>
          <w:spacing w:val="-2"/>
          <w:sz w:val="24"/>
          <w:szCs w:val="24"/>
        </w:rPr>
        <w:t>学术</w:t>
      </w:r>
      <w:r>
        <w:rPr>
          <w:color w:val="auto"/>
          <w:spacing w:val="-2"/>
          <w:sz w:val="24"/>
          <w:szCs w:val="24"/>
        </w:rPr>
        <w:t>著作</w:t>
      </w:r>
    </w:p>
    <w:p>
      <w:pPr>
        <w:tabs>
          <w:tab w:val="left" w:pos="1388"/>
        </w:tabs>
        <w:spacing w:line="360" w:lineRule="auto"/>
        <w:ind w:firstLine="472" w:firstLineChars="200"/>
        <w:rPr>
          <w:color w:val="auto"/>
          <w:sz w:val="24"/>
          <w:szCs w:val="24"/>
        </w:rPr>
      </w:pPr>
      <w:r>
        <w:rPr>
          <w:rFonts w:hint="eastAsia"/>
          <w:color w:val="auto"/>
          <w:spacing w:val="-2"/>
          <w:sz w:val="24"/>
          <w:szCs w:val="24"/>
        </w:rPr>
        <w:t>根据学术著作</w:t>
      </w:r>
      <w:r>
        <w:rPr>
          <w:color w:val="auto"/>
          <w:spacing w:val="-2"/>
          <w:sz w:val="24"/>
          <w:szCs w:val="24"/>
        </w:rPr>
        <w:t>第一署名加</w:t>
      </w:r>
      <w:r>
        <w:rPr>
          <w:rFonts w:hint="eastAsia"/>
          <w:color w:val="auto"/>
          <w:sz w:val="24"/>
          <w:szCs w:val="24"/>
          <w:lang w:val="en-US"/>
        </w:rPr>
        <w:t>6</w:t>
      </w:r>
      <w:r>
        <w:rPr>
          <w:color w:val="auto"/>
          <w:spacing w:val="-8"/>
          <w:sz w:val="24"/>
          <w:szCs w:val="24"/>
        </w:rPr>
        <w:t>分，第二署名加</w:t>
      </w:r>
      <w:r>
        <w:rPr>
          <w:rFonts w:hint="eastAsia"/>
          <w:color w:val="auto"/>
          <w:sz w:val="24"/>
          <w:szCs w:val="24"/>
          <w:lang w:val="en-US"/>
        </w:rPr>
        <w:t>4</w:t>
      </w:r>
      <w:r>
        <w:rPr>
          <w:color w:val="auto"/>
          <w:spacing w:val="-6"/>
          <w:sz w:val="24"/>
          <w:szCs w:val="24"/>
        </w:rPr>
        <w:t>分，第三署名</w:t>
      </w:r>
      <w:r>
        <w:rPr>
          <w:color w:val="auto"/>
          <w:sz w:val="24"/>
          <w:szCs w:val="24"/>
        </w:rPr>
        <w:t>加</w:t>
      </w:r>
      <w:r>
        <w:rPr>
          <w:rFonts w:hint="eastAsia"/>
          <w:color w:val="auto"/>
          <w:sz w:val="24"/>
          <w:szCs w:val="24"/>
          <w:lang w:val="en-US"/>
        </w:rPr>
        <w:t>3</w:t>
      </w:r>
      <w:r>
        <w:rPr>
          <w:color w:val="auto"/>
          <w:sz w:val="24"/>
          <w:szCs w:val="24"/>
        </w:rPr>
        <w:t>分，第四加</w:t>
      </w:r>
      <w:r>
        <w:rPr>
          <w:rFonts w:hint="eastAsia"/>
          <w:color w:val="auto"/>
          <w:sz w:val="24"/>
          <w:szCs w:val="24"/>
          <w:lang w:val="en-US"/>
        </w:rPr>
        <w:t>1</w:t>
      </w:r>
      <w:r>
        <w:rPr>
          <w:color w:val="auto"/>
          <w:sz w:val="24"/>
          <w:szCs w:val="24"/>
        </w:rPr>
        <w:t>分，第五及以后加</w:t>
      </w:r>
      <w:r>
        <w:rPr>
          <w:rFonts w:hint="eastAsia"/>
          <w:color w:val="auto"/>
          <w:sz w:val="24"/>
          <w:szCs w:val="24"/>
          <w:lang w:val="en-US"/>
        </w:rPr>
        <w:t>1</w:t>
      </w:r>
      <w:r>
        <w:rPr>
          <w:color w:val="auto"/>
          <w:sz w:val="24"/>
          <w:szCs w:val="24"/>
        </w:rPr>
        <w:t>分。</w:t>
      </w:r>
      <w:r>
        <w:rPr>
          <w:rFonts w:hint="eastAsia"/>
          <w:color w:val="auto"/>
          <w:sz w:val="24"/>
          <w:szCs w:val="24"/>
        </w:rPr>
        <w:t>担任</w:t>
      </w:r>
      <w:r>
        <w:rPr>
          <w:color w:val="auto"/>
          <w:sz w:val="24"/>
          <w:szCs w:val="24"/>
        </w:rPr>
        <w:t>章节执笔加</w:t>
      </w:r>
      <w:r>
        <w:rPr>
          <w:rFonts w:hint="eastAsia"/>
          <w:color w:val="auto"/>
          <w:sz w:val="24"/>
          <w:szCs w:val="24"/>
        </w:rPr>
        <w:t>0.</w:t>
      </w:r>
      <w:r>
        <w:rPr>
          <w:rFonts w:hint="eastAsia"/>
          <w:color w:val="auto"/>
          <w:sz w:val="24"/>
          <w:szCs w:val="24"/>
          <w:lang w:val="en-US"/>
        </w:rPr>
        <w:t>5</w:t>
      </w:r>
      <w:r>
        <w:rPr>
          <w:color w:val="auto"/>
          <w:sz w:val="24"/>
          <w:szCs w:val="24"/>
        </w:rPr>
        <w:t>分。</w:t>
      </w:r>
    </w:p>
    <w:p>
      <w:pPr>
        <w:tabs>
          <w:tab w:val="left" w:pos="1388"/>
        </w:tabs>
        <w:spacing w:before="83" w:line="360" w:lineRule="auto"/>
        <w:ind w:firstLine="480" w:firstLineChars="200"/>
        <w:rPr>
          <w:color w:val="auto"/>
          <w:spacing w:val="-8"/>
          <w:sz w:val="24"/>
          <w:szCs w:val="24"/>
        </w:rPr>
      </w:pPr>
      <w:r>
        <w:rPr>
          <w:rFonts w:hint="eastAsia"/>
          <w:color w:val="auto"/>
          <w:sz w:val="24"/>
          <w:szCs w:val="24"/>
        </w:rPr>
        <w:t>（</w:t>
      </w:r>
      <w:r>
        <w:rPr>
          <w:rFonts w:hint="eastAsia"/>
          <w:color w:val="auto"/>
          <w:sz w:val="24"/>
          <w:szCs w:val="24"/>
          <w:lang w:val="en-US"/>
        </w:rPr>
        <w:t>三</w:t>
      </w:r>
      <w:r>
        <w:rPr>
          <w:rFonts w:hint="eastAsia"/>
          <w:color w:val="auto"/>
          <w:sz w:val="24"/>
          <w:szCs w:val="24"/>
        </w:rPr>
        <w:t>）</w:t>
      </w:r>
      <w:r>
        <w:rPr>
          <w:color w:val="auto"/>
          <w:sz w:val="24"/>
          <w:szCs w:val="24"/>
        </w:rPr>
        <w:t>负责或主研</w:t>
      </w:r>
      <w:r>
        <w:rPr>
          <w:color w:val="auto"/>
          <w:spacing w:val="1"/>
          <w:sz w:val="24"/>
          <w:szCs w:val="24"/>
        </w:rPr>
        <w:t>科研项目</w:t>
      </w:r>
      <w:r>
        <w:rPr>
          <w:rFonts w:hint="eastAsia"/>
          <w:color w:val="auto"/>
          <w:spacing w:val="1"/>
          <w:sz w:val="24"/>
          <w:szCs w:val="24"/>
        </w:rPr>
        <w:t>（不含大创、大挑、创青春和互联网</w:t>
      </w:r>
      <w:r>
        <w:rPr>
          <w:rFonts w:hint="eastAsia"/>
          <w:color w:val="auto"/>
          <w:spacing w:val="1"/>
          <w:sz w:val="24"/>
          <w:szCs w:val="24"/>
          <w:lang w:val="en-US"/>
        </w:rPr>
        <w:t>+</w:t>
      </w:r>
      <w:r>
        <w:rPr>
          <w:rFonts w:hint="eastAsia"/>
          <w:color w:val="auto"/>
          <w:spacing w:val="1"/>
          <w:sz w:val="24"/>
          <w:szCs w:val="24"/>
        </w:rPr>
        <w:t>）根据项目成员排名</w:t>
      </w:r>
      <w:r>
        <w:rPr>
          <w:color w:val="auto"/>
          <w:spacing w:val="1"/>
          <w:sz w:val="24"/>
          <w:szCs w:val="24"/>
        </w:rPr>
        <w:t>，</w:t>
      </w:r>
      <w:r>
        <w:rPr>
          <w:rFonts w:hint="eastAsia"/>
          <w:color w:val="auto"/>
          <w:spacing w:val="1"/>
          <w:sz w:val="24"/>
          <w:szCs w:val="24"/>
        </w:rPr>
        <w:t>负责人</w:t>
      </w:r>
      <w:r>
        <w:rPr>
          <w:color w:val="auto"/>
          <w:spacing w:val="1"/>
          <w:sz w:val="24"/>
          <w:szCs w:val="24"/>
        </w:rPr>
        <w:t>加</w:t>
      </w:r>
      <w:r>
        <w:rPr>
          <w:rFonts w:hint="eastAsia"/>
          <w:color w:val="auto"/>
          <w:sz w:val="24"/>
          <w:szCs w:val="24"/>
          <w:lang w:val="en-US"/>
        </w:rPr>
        <w:t>1</w:t>
      </w:r>
      <w:r>
        <w:rPr>
          <w:color w:val="auto"/>
          <w:sz w:val="24"/>
          <w:szCs w:val="24"/>
        </w:rPr>
        <w:t>分，第二署名加</w:t>
      </w:r>
      <w:r>
        <w:rPr>
          <w:rFonts w:hint="eastAsia"/>
          <w:color w:val="auto"/>
          <w:sz w:val="24"/>
          <w:szCs w:val="24"/>
          <w:lang w:val="en-US"/>
        </w:rPr>
        <w:t>0.8</w:t>
      </w:r>
      <w:r>
        <w:rPr>
          <w:color w:val="auto"/>
          <w:spacing w:val="-8"/>
          <w:sz w:val="24"/>
          <w:szCs w:val="24"/>
        </w:rPr>
        <w:t>分，第三署名加</w:t>
      </w:r>
      <w:r>
        <w:rPr>
          <w:rFonts w:hint="eastAsia"/>
          <w:color w:val="auto"/>
          <w:sz w:val="24"/>
          <w:szCs w:val="24"/>
          <w:lang w:val="en-US"/>
        </w:rPr>
        <w:t>0.6</w:t>
      </w:r>
      <w:r>
        <w:rPr>
          <w:color w:val="auto"/>
          <w:spacing w:val="-20"/>
          <w:sz w:val="24"/>
          <w:szCs w:val="24"/>
        </w:rPr>
        <w:t>分，</w:t>
      </w:r>
      <w:r>
        <w:rPr>
          <w:color w:val="auto"/>
          <w:spacing w:val="-8"/>
          <w:sz w:val="24"/>
          <w:szCs w:val="24"/>
        </w:rPr>
        <w:t>第四加</w:t>
      </w:r>
      <w:r>
        <w:rPr>
          <w:rFonts w:hint="eastAsia"/>
          <w:color w:val="auto"/>
          <w:spacing w:val="-8"/>
          <w:sz w:val="24"/>
          <w:szCs w:val="24"/>
          <w:lang w:val="en-US"/>
        </w:rPr>
        <w:t>0.4</w:t>
      </w:r>
      <w:r>
        <w:rPr>
          <w:color w:val="auto"/>
          <w:spacing w:val="-8"/>
          <w:sz w:val="24"/>
          <w:szCs w:val="24"/>
        </w:rPr>
        <w:t>分，第五及以后不加分。</w:t>
      </w:r>
    </w:p>
    <w:p>
      <w:pPr>
        <w:tabs>
          <w:tab w:val="left" w:pos="1388"/>
        </w:tabs>
        <w:spacing w:before="83" w:line="360" w:lineRule="auto"/>
        <w:ind w:firstLine="448" w:firstLineChars="200"/>
        <w:rPr>
          <w:color w:val="auto"/>
          <w:spacing w:val="4"/>
          <w:sz w:val="24"/>
          <w:szCs w:val="24"/>
        </w:rPr>
      </w:pPr>
      <w:r>
        <w:rPr>
          <w:rFonts w:hint="eastAsia"/>
          <w:color w:val="auto"/>
          <w:spacing w:val="-8"/>
          <w:sz w:val="24"/>
          <w:szCs w:val="24"/>
        </w:rPr>
        <w:t>（</w:t>
      </w:r>
      <w:r>
        <w:rPr>
          <w:rFonts w:hint="eastAsia"/>
          <w:color w:val="auto"/>
          <w:spacing w:val="-8"/>
          <w:sz w:val="24"/>
          <w:szCs w:val="24"/>
          <w:lang w:val="en-US"/>
        </w:rPr>
        <w:t>四</w:t>
      </w:r>
      <w:r>
        <w:rPr>
          <w:rFonts w:hint="eastAsia"/>
          <w:color w:val="auto"/>
          <w:spacing w:val="-8"/>
          <w:sz w:val="24"/>
          <w:szCs w:val="24"/>
        </w:rPr>
        <w:t>）</w:t>
      </w:r>
      <w:r>
        <w:rPr>
          <w:color w:val="auto"/>
          <w:spacing w:val="4"/>
          <w:sz w:val="24"/>
          <w:szCs w:val="24"/>
        </w:rPr>
        <w:t>获得</w:t>
      </w:r>
      <w:r>
        <w:rPr>
          <w:rFonts w:hint="eastAsia"/>
          <w:color w:val="auto"/>
          <w:spacing w:val="4"/>
          <w:sz w:val="24"/>
          <w:szCs w:val="24"/>
        </w:rPr>
        <w:t>中国</w:t>
      </w:r>
      <w:r>
        <w:rPr>
          <w:color w:val="auto"/>
          <w:spacing w:val="4"/>
          <w:sz w:val="24"/>
          <w:szCs w:val="24"/>
        </w:rPr>
        <w:t>语言文学类、新闻传播类</w:t>
      </w:r>
      <w:r>
        <w:rPr>
          <w:color w:val="auto"/>
          <w:spacing w:val="4"/>
          <w:sz w:val="24"/>
          <w:szCs w:val="24"/>
          <w:lang w:val="en-US"/>
        </w:rPr>
        <w:t>学科竞赛</w:t>
      </w:r>
      <w:r>
        <w:rPr>
          <w:color w:val="auto"/>
          <w:spacing w:val="4"/>
          <w:sz w:val="24"/>
          <w:szCs w:val="24"/>
        </w:rPr>
        <w:t>奖励</w:t>
      </w:r>
    </w:p>
    <w:p>
      <w:pPr>
        <w:tabs>
          <w:tab w:val="left" w:pos="1388"/>
        </w:tabs>
        <w:spacing w:before="83" w:line="360" w:lineRule="auto"/>
        <w:ind w:firstLine="496" w:firstLineChars="200"/>
        <w:rPr>
          <w:color w:val="auto"/>
          <w:spacing w:val="-9"/>
          <w:sz w:val="24"/>
          <w:szCs w:val="24"/>
          <w:lang w:val="en-US"/>
        </w:rPr>
      </w:pPr>
      <w:r>
        <w:rPr>
          <w:rFonts w:hint="eastAsia"/>
          <w:color w:val="auto"/>
          <w:spacing w:val="4"/>
          <w:sz w:val="24"/>
          <w:szCs w:val="24"/>
        </w:rPr>
        <w:t>国家级</w:t>
      </w:r>
      <w:r>
        <w:rPr>
          <w:rFonts w:hint="eastAsia"/>
          <w:color w:val="auto"/>
          <w:spacing w:val="-9"/>
          <w:sz w:val="24"/>
          <w:szCs w:val="24"/>
          <w:lang w:val="en-US"/>
        </w:rPr>
        <w:t>学科竞赛奖励，</w:t>
      </w:r>
      <w:r>
        <w:rPr>
          <w:color w:val="auto"/>
          <w:spacing w:val="-9"/>
          <w:sz w:val="24"/>
          <w:szCs w:val="24"/>
          <w:lang w:val="en-US"/>
        </w:rPr>
        <w:t>一等奖及以上加</w:t>
      </w:r>
      <w:r>
        <w:rPr>
          <w:rFonts w:hint="eastAsia"/>
          <w:color w:val="auto"/>
          <w:spacing w:val="-9"/>
          <w:sz w:val="24"/>
          <w:szCs w:val="24"/>
          <w:lang w:val="en-US"/>
        </w:rPr>
        <w:t>3</w:t>
      </w:r>
      <w:r>
        <w:rPr>
          <w:color w:val="auto"/>
          <w:spacing w:val="-9"/>
          <w:sz w:val="24"/>
          <w:szCs w:val="24"/>
          <w:lang w:val="en-US"/>
        </w:rPr>
        <w:t>分，二等奖加</w:t>
      </w:r>
      <w:r>
        <w:rPr>
          <w:rFonts w:hint="eastAsia"/>
          <w:color w:val="auto"/>
          <w:spacing w:val="-9"/>
          <w:sz w:val="24"/>
          <w:szCs w:val="24"/>
          <w:lang w:val="en-US"/>
        </w:rPr>
        <w:t>2</w:t>
      </w:r>
      <w:r>
        <w:rPr>
          <w:color w:val="auto"/>
          <w:spacing w:val="-9"/>
          <w:sz w:val="24"/>
          <w:szCs w:val="24"/>
          <w:lang w:val="en-US"/>
        </w:rPr>
        <w:t>分，三等奖及以下加</w:t>
      </w:r>
      <w:r>
        <w:rPr>
          <w:rFonts w:hint="eastAsia"/>
          <w:color w:val="auto"/>
          <w:spacing w:val="-9"/>
          <w:sz w:val="24"/>
          <w:szCs w:val="24"/>
          <w:lang w:val="en-US"/>
        </w:rPr>
        <w:t>1</w:t>
      </w:r>
      <w:r>
        <w:rPr>
          <w:color w:val="auto"/>
          <w:spacing w:val="-9"/>
          <w:sz w:val="24"/>
          <w:szCs w:val="24"/>
          <w:lang w:val="en-US"/>
        </w:rPr>
        <w:t>分</w:t>
      </w:r>
      <w:r>
        <w:rPr>
          <w:rFonts w:hint="eastAsia"/>
          <w:color w:val="auto"/>
          <w:spacing w:val="-9"/>
          <w:sz w:val="24"/>
          <w:szCs w:val="24"/>
          <w:lang w:val="en-US"/>
        </w:rPr>
        <w:t>；</w:t>
      </w:r>
      <w:r>
        <w:rPr>
          <w:rFonts w:hint="eastAsia"/>
          <w:color w:val="auto"/>
          <w:spacing w:val="4"/>
          <w:sz w:val="24"/>
          <w:szCs w:val="24"/>
        </w:rPr>
        <w:t>省级学科竞赛奖励，</w:t>
      </w:r>
      <w:r>
        <w:rPr>
          <w:color w:val="auto"/>
          <w:spacing w:val="4"/>
          <w:sz w:val="24"/>
          <w:szCs w:val="24"/>
        </w:rPr>
        <w:t>一</w:t>
      </w:r>
      <w:r>
        <w:rPr>
          <w:color w:val="auto"/>
          <w:spacing w:val="-8"/>
          <w:sz w:val="24"/>
          <w:szCs w:val="24"/>
        </w:rPr>
        <w:t>等奖及以上加</w:t>
      </w:r>
      <w:r>
        <w:rPr>
          <w:rFonts w:hint="eastAsia"/>
          <w:color w:val="auto"/>
          <w:spacing w:val="-8"/>
          <w:sz w:val="24"/>
          <w:szCs w:val="24"/>
          <w:lang w:val="en-US"/>
        </w:rPr>
        <w:t>2</w:t>
      </w:r>
      <w:r>
        <w:rPr>
          <w:color w:val="auto"/>
          <w:spacing w:val="-17"/>
          <w:sz w:val="24"/>
          <w:szCs w:val="24"/>
        </w:rPr>
        <w:t>分，二等奖加</w:t>
      </w:r>
      <w:r>
        <w:rPr>
          <w:rFonts w:hint="eastAsia"/>
          <w:color w:val="auto"/>
          <w:spacing w:val="-17"/>
          <w:sz w:val="24"/>
          <w:szCs w:val="24"/>
        </w:rPr>
        <w:t xml:space="preserve"> </w:t>
      </w:r>
      <w:r>
        <w:rPr>
          <w:rFonts w:hint="eastAsia"/>
          <w:color w:val="auto"/>
          <w:spacing w:val="-17"/>
          <w:sz w:val="24"/>
          <w:szCs w:val="24"/>
          <w:lang w:val="en-US"/>
        </w:rPr>
        <w:t>1</w:t>
      </w:r>
      <w:r>
        <w:rPr>
          <w:color w:val="auto"/>
          <w:spacing w:val="-13"/>
          <w:sz w:val="24"/>
          <w:szCs w:val="24"/>
        </w:rPr>
        <w:t xml:space="preserve">分，三等奖及以下加 </w:t>
      </w:r>
      <w:r>
        <w:rPr>
          <w:color w:val="auto"/>
          <w:sz w:val="24"/>
          <w:szCs w:val="24"/>
        </w:rPr>
        <w:t>0</w:t>
      </w:r>
      <w:r>
        <w:rPr>
          <w:color w:val="auto"/>
          <w:sz w:val="24"/>
          <w:szCs w:val="24"/>
          <w:lang w:val="en-US"/>
        </w:rPr>
        <w:t>.</w:t>
      </w:r>
      <w:r>
        <w:rPr>
          <w:rFonts w:hint="eastAsia"/>
          <w:color w:val="auto"/>
          <w:sz w:val="24"/>
          <w:szCs w:val="24"/>
          <w:lang w:val="en-US"/>
        </w:rPr>
        <w:t>5</w:t>
      </w:r>
      <w:r>
        <w:rPr>
          <w:color w:val="auto"/>
          <w:spacing w:val="-9"/>
          <w:sz w:val="24"/>
          <w:szCs w:val="24"/>
        </w:rPr>
        <w:t>分</w:t>
      </w:r>
      <w:r>
        <w:rPr>
          <w:rFonts w:hint="eastAsia"/>
          <w:color w:val="auto"/>
          <w:spacing w:val="-9"/>
          <w:sz w:val="24"/>
          <w:szCs w:val="24"/>
        </w:rPr>
        <w:t>。</w:t>
      </w:r>
    </w:p>
    <w:p>
      <w:pPr>
        <w:tabs>
          <w:tab w:val="left" w:pos="1388"/>
        </w:tabs>
        <w:spacing w:before="83" w:line="360" w:lineRule="auto"/>
        <w:ind w:firstLine="444" w:firstLineChars="200"/>
        <w:rPr>
          <w:color w:val="auto"/>
          <w:spacing w:val="-8"/>
          <w:sz w:val="24"/>
          <w:szCs w:val="24"/>
        </w:rPr>
      </w:pPr>
      <w:r>
        <w:rPr>
          <w:color w:val="auto"/>
          <w:spacing w:val="-9"/>
          <w:sz w:val="24"/>
          <w:szCs w:val="24"/>
        </w:rPr>
        <w:t>多项奖励加分只</w:t>
      </w:r>
      <w:r>
        <w:rPr>
          <w:color w:val="auto"/>
          <w:spacing w:val="-8"/>
          <w:sz w:val="24"/>
          <w:szCs w:val="24"/>
        </w:rPr>
        <w:t>取最高值</w:t>
      </w:r>
      <w:r>
        <w:rPr>
          <w:rFonts w:hint="eastAsia"/>
          <w:color w:val="auto"/>
          <w:spacing w:val="-8"/>
          <w:sz w:val="24"/>
          <w:szCs w:val="24"/>
        </w:rPr>
        <w:t>，</w:t>
      </w:r>
      <w:r>
        <w:rPr>
          <w:color w:val="auto"/>
          <w:spacing w:val="-8"/>
          <w:sz w:val="24"/>
          <w:szCs w:val="24"/>
        </w:rPr>
        <w:t>不累计。</w:t>
      </w:r>
    </w:p>
    <w:p>
      <w:pPr>
        <w:tabs>
          <w:tab w:val="left" w:pos="1388"/>
        </w:tabs>
        <w:spacing w:line="360" w:lineRule="auto"/>
        <w:ind w:firstLine="480" w:firstLineChars="200"/>
        <w:rPr>
          <w:color w:val="auto"/>
          <w:spacing w:val="-18"/>
          <w:sz w:val="24"/>
          <w:szCs w:val="24"/>
        </w:rPr>
      </w:pPr>
      <w:r>
        <w:rPr>
          <w:color w:val="auto"/>
          <w:sz w:val="24"/>
          <w:szCs w:val="24"/>
        </w:rPr>
        <w:t>以团队为单位参加省级及以上竞赛获奖的，成员总数少于（含</w:t>
      </w:r>
      <w:r>
        <w:rPr>
          <w:color w:val="auto"/>
          <w:spacing w:val="4"/>
          <w:sz w:val="24"/>
          <w:szCs w:val="24"/>
        </w:rPr>
        <w:t>）7</w:t>
      </w:r>
      <w:r>
        <w:rPr>
          <w:color w:val="auto"/>
          <w:spacing w:val="10"/>
          <w:sz w:val="24"/>
          <w:szCs w:val="24"/>
        </w:rPr>
        <w:t>人的，</w:t>
      </w:r>
      <w:r>
        <w:rPr>
          <w:color w:val="auto"/>
          <w:spacing w:val="1"/>
          <w:sz w:val="24"/>
          <w:szCs w:val="24"/>
        </w:rPr>
        <w:t>各成员按相应等级得分的</w:t>
      </w:r>
      <w:r>
        <w:rPr>
          <w:color w:val="auto"/>
          <w:sz w:val="24"/>
          <w:szCs w:val="24"/>
        </w:rPr>
        <w:t>1/2</w:t>
      </w:r>
      <w:r>
        <w:rPr>
          <w:color w:val="auto"/>
          <w:spacing w:val="-12"/>
          <w:sz w:val="24"/>
          <w:szCs w:val="24"/>
        </w:rPr>
        <w:t xml:space="preserve">加分；成员总数超过 </w:t>
      </w:r>
      <w:r>
        <w:rPr>
          <w:color w:val="auto"/>
          <w:sz w:val="24"/>
          <w:szCs w:val="24"/>
        </w:rPr>
        <w:t>7</w:t>
      </w:r>
      <w:r>
        <w:rPr>
          <w:color w:val="auto"/>
          <w:spacing w:val="-7"/>
          <w:sz w:val="24"/>
          <w:szCs w:val="24"/>
        </w:rPr>
        <w:t>人的，各成员按相应等级</w:t>
      </w:r>
      <w:r>
        <w:rPr>
          <w:color w:val="auto"/>
          <w:spacing w:val="-22"/>
          <w:sz w:val="24"/>
          <w:szCs w:val="24"/>
        </w:rPr>
        <w:t xml:space="preserve">得分的 </w:t>
      </w:r>
      <w:r>
        <w:rPr>
          <w:color w:val="auto"/>
          <w:sz w:val="24"/>
          <w:szCs w:val="24"/>
        </w:rPr>
        <w:t>1/3</w:t>
      </w:r>
      <w:r>
        <w:rPr>
          <w:color w:val="auto"/>
          <w:spacing w:val="-18"/>
          <w:sz w:val="24"/>
          <w:szCs w:val="24"/>
        </w:rPr>
        <w:t>加分。</w:t>
      </w:r>
    </w:p>
    <w:p>
      <w:pPr>
        <w:tabs>
          <w:tab w:val="left" w:pos="1388"/>
        </w:tabs>
        <w:spacing w:before="83" w:line="360" w:lineRule="auto"/>
        <w:ind w:firstLine="480" w:firstLineChars="200"/>
        <w:rPr>
          <w:color w:val="auto"/>
          <w:sz w:val="24"/>
          <w:szCs w:val="24"/>
        </w:rPr>
      </w:pPr>
      <w:r>
        <w:rPr>
          <w:rFonts w:hint="eastAsia"/>
          <w:color w:val="auto"/>
          <w:sz w:val="24"/>
          <w:szCs w:val="24"/>
          <w:lang w:val="en-US"/>
        </w:rPr>
        <w:t>（五）</w:t>
      </w:r>
      <w:r>
        <w:rPr>
          <w:color w:val="auto"/>
          <w:sz w:val="24"/>
          <w:szCs w:val="24"/>
        </w:rPr>
        <w:t>负责</w:t>
      </w:r>
      <w:r>
        <w:rPr>
          <w:rFonts w:hint="eastAsia"/>
          <w:color w:val="auto"/>
          <w:sz w:val="24"/>
          <w:szCs w:val="24"/>
        </w:rPr>
        <w:t>或</w:t>
      </w:r>
      <w:r>
        <w:rPr>
          <w:color w:val="auto"/>
          <w:sz w:val="24"/>
          <w:szCs w:val="24"/>
        </w:rPr>
        <w:t>参与“大学生创新创业训练计划”</w:t>
      </w:r>
      <w:r>
        <w:rPr>
          <w:rFonts w:hint="eastAsia"/>
          <w:color w:val="auto"/>
          <w:sz w:val="24"/>
          <w:szCs w:val="24"/>
        </w:rPr>
        <w:t>、</w:t>
      </w:r>
      <w:r>
        <w:rPr>
          <w:color w:val="auto"/>
          <w:sz w:val="24"/>
          <w:szCs w:val="24"/>
        </w:rPr>
        <w:t>“挑战杯”全国大学生课外学术科技作品竞</w:t>
      </w:r>
      <w:r>
        <w:rPr>
          <w:rFonts w:hint="eastAsia"/>
          <w:color w:val="auto"/>
          <w:sz w:val="24"/>
          <w:szCs w:val="24"/>
        </w:rPr>
        <w:t>赛或“挑战杯”全国大学生创业</w:t>
      </w:r>
      <w:r>
        <w:rPr>
          <w:rFonts w:hint="eastAsia"/>
          <w:color w:val="auto"/>
          <w:sz w:val="24"/>
          <w:szCs w:val="24"/>
          <w:lang w:val="en-US"/>
        </w:rPr>
        <w:t>计划</w:t>
      </w:r>
      <w:r>
        <w:rPr>
          <w:rFonts w:hint="eastAsia"/>
          <w:color w:val="auto"/>
          <w:sz w:val="24"/>
          <w:szCs w:val="24"/>
        </w:rPr>
        <w:t>大赛、互联网+大学生创新创业大赛等</w:t>
      </w:r>
      <w:r>
        <w:rPr>
          <w:color w:val="auto"/>
          <w:sz w:val="24"/>
          <w:szCs w:val="24"/>
        </w:rPr>
        <w:t>项目</w:t>
      </w:r>
      <w:r>
        <w:rPr>
          <w:rFonts w:hint="eastAsia"/>
          <w:color w:val="auto"/>
          <w:sz w:val="24"/>
          <w:szCs w:val="24"/>
        </w:rPr>
        <w:t>可获计分</w:t>
      </w:r>
      <w:r>
        <w:rPr>
          <w:rFonts w:hint="eastAsia"/>
          <w:color w:val="auto"/>
          <w:sz w:val="24"/>
          <w:szCs w:val="24"/>
          <w:lang w:eastAsia="zh-Hans"/>
        </w:rPr>
        <w:t>（</w:t>
      </w:r>
      <w:r>
        <w:rPr>
          <w:rFonts w:hint="eastAsia"/>
          <w:color w:val="auto"/>
          <w:sz w:val="24"/>
          <w:szCs w:val="24"/>
          <w:lang w:val="en-US" w:eastAsia="zh-Hans"/>
        </w:rPr>
        <w:t>同一类型的竞赛不累计加分</w:t>
      </w:r>
      <w:r>
        <w:rPr>
          <w:rFonts w:hint="eastAsia"/>
          <w:color w:val="auto"/>
          <w:sz w:val="24"/>
          <w:szCs w:val="24"/>
          <w:lang w:eastAsia="zh-Hans"/>
        </w:rPr>
        <w:t>）</w:t>
      </w:r>
      <w:r>
        <w:rPr>
          <w:rFonts w:hint="eastAsia"/>
          <w:color w:val="auto"/>
          <w:sz w:val="24"/>
          <w:szCs w:val="24"/>
        </w:rPr>
        <w:t>。参加计分的主研人员应是参与了实质性科研工作的学生，需有指导教师和项目负责人的书面证明材料。具体加分细则如下：</w:t>
      </w:r>
    </w:p>
    <w:tbl>
      <w:tblPr>
        <w:tblStyle w:val="3"/>
        <w:tblW w:w="8828" w:type="dxa"/>
        <w:tblInd w:w="93" w:type="dxa"/>
        <w:tblLayout w:type="autofit"/>
        <w:tblCellMar>
          <w:top w:w="0" w:type="dxa"/>
          <w:left w:w="108" w:type="dxa"/>
          <w:bottom w:w="0" w:type="dxa"/>
          <w:right w:w="108" w:type="dxa"/>
        </w:tblCellMar>
      </w:tblPr>
      <w:tblGrid>
        <w:gridCol w:w="3560"/>
        <w:gridCol w:w="1299"/>
        <w:gridCol w:w="2551"/>
        <w:gridCol w:w="1418"/>
      </w:tblGrid>
      <w:tr>
        <w:tblPrEx>
          <w:tblCellMar>
            <w:top w:w="0" w:type="dxa"/>
            <w:left w:w="108" w:type="dxa"/>
            <w:bottom w:w="0" w:type="dxa"/>
            <w:right w:w="108" w:type="dxa"/>
          </w:tblCellMar>
        </w:tblPrEx>
        <w:trPr>
          <w:trHeight w:val="285" w:hRule="atLeast"/>
        </w:trPr>
        <w:tc>
          <w:tcPr>
            <w:tcW w:w="3560" w:type="dxa"/>
            <w:tcBorders>
              <w:top w:val="single" w:color="auto" w:sz="8" w:space="0"/>
              <w:left w:val="single" w:color="auto" w:sz="8" w:space="0"/>
              <w:bottom w:val="single" w:color="auto" w:sz="8" w:space="0"/>
              <w:right w:val="single" w:color="auto" w:sz="8" w:space="0"/>
            </w:tcBorders>
            <w:noWrap/>
            <w:vAlign w:val="center"/>
          </w:tcPr>
          <w:p>
            <w:pPr>
              <w:widowControl/>
              <w:jc w:val="center"/>
              <w:rPr>
                <w:color w:val="auto"/>
              </w:rPr>
            </w:pPr>
            <w:r>
              <w:rPr>
                <w:rFonts w:hint="eastAsia"/>
                <w:color w:val="auto"/>
              </w:rPr>
              <w:t>项目名称</w:t>
            </w:r>
          </w:p>
        </w:tc>
        <w:tc>
          <w:tcPr>
            <w:tcW w:w="1299" w:type="dxa"/>
            <w:tcBorders>
              <w:top w:val="single" w:color="auto" w:sz="8" w:space="0"/>
              <w:left w:val="nil"/>
              <w:bottom w:val="single" w:color="auto" w:sz="8" w:space="0"/>
              <w:right w:val="single" w:color="auto" w:sz="8" w:space="0"/>
            </w:tcBorders>
            <w:noWrap/>
            <w:vAlign w:val="center"/>
          </w:tcPr>
          <w:p>
            <w:pPr>
              <w:widowControl/>
              <w:jc w:val="center"/>
              <w:rPr>
                <w:color w:val="auto"/>
              </w:rPr>
            </w:pPr>
            <w:r>
              <w:rPr>
                <w:rFonts w:hint="eastAsia"/>
                <w:color w:val="auto"/>
              </w:rPr>
              <w:t>项目级别</w:t>
            </w:r>
          </w:p>
        </w:tc>
        <w:tc>
          <w:tcPr>
            <w:tcW w:w="2551" w:type="dxa"/>
            <w:tcBorders>
              <w:top w:val="single" w:color="auto" w:sz="8" w:space="0"/>
              <w:left w:val="nil"/>
              <w:bottom w:val="single" w:color="auto" w:sz="8" w:space="0"/>
              <w:right w:val="single" w:color="auto" w:sz="8" w:space="0"/>
            </w:tcBorders>
            <w:noWrap/>
            <w:vAlign w:val="center"/>
          </w:tcPr>
          <w:p>
            <w:pPr>
              <w:widowControl/>
              <w:jc w:val="center"/>
              <w:rPr>
                <w:color w:val="auto"/>
              </w:rPr>
            </w:pPr>
            <w:r>
              <w:rPr>
                <w:rFonts w:hint="eastAsia"/>
                <w:color w:val="auto"/>
              </w:rPr>
              <w:t>成员类别</w:t>
            </w:r>
          </w:p>
        </w:tc>
        <w:tc>
          <w:tcPr>
            <w:tcW w:w="1418" w:type="dxa"/>
            <w:tcBorders>
              <w:top w:val="single" w:color="auto" w:sz="8" w:space="0"/>
              <w:left w:val="nil"/>
              <w:bottom w:val="single" w:color="auto" w:sz="8" w:space="0"/>
              <w:right w:val="single" w:color="auto" w:sz="8" w:space="0"/>
            </w:tcBorders>
            <w:noWrap/>
            <w:vAlign w:val="center"/>
          </w:tcPr>
          <w:p>
            <w:pPr>
              <w:widowControl/>
              <w:jc w:val="center"/>
              <w:rPr>
                <w:color w:val="auto"/>
              </w:rPr>
            </w:pPr>
            <w:r>
              <w:rPr>
                <w:rFonts w:hint="eastAsia"/>
                <w:color w:val="auto"/>
              </w:rPr>
              <w:t>加分</w:t>
            </w:r>
          </w:p>
        </w:tc>
      </w:tr>
      <w:tr>
        <w:tblPrEx>
          <w:tblCellMar>
            <w:top w:w="0" w:type="dxa"/>
            <w:left w:w="108" w:type="dxa"/>
            <w:bottom w:w="0" w:type="dxa"/>
            <w:right w:w="108" w:type="dxa"/>
          </w:tblCellMar>
        </w:tblPrEx>
        <w:trPr>
          <w:trHeight w:val="285" w:hRule="atLeast"/>
        </w:trPr>
        <w:tc>
          <w:tcPr>
            <w:tcW w:w="3560" w:type="dxa"/>
            <w:vMerge w:val="restart"/>
            <w:tcBorders>
              <w:top w:val="nil"/>
              <w:left w:val="single" w:color="auto" w:sz="8" w:space="0"/>
              <w:bottom w:val="single" w:color="000000" w:sz="8" w:space="0"/>
              <w:right w:val="single" w:color="auto" w:sz="8" w:space="0"/>
            </w:tcBorders>
            <w:noWrap/>
            <w:vAlign w:val="center"/>
          </w:tcPr>
          <w:p>
            <w:pPr>
              <w:widowControl/>
              <w:jc w:val="center"/>
              <w:rPr>
                <w:color w:val="auto"/>
              </w:rPr>
            </w:pPr>
            <w:r>
              <w:rPr>
                <w:rFonts w:hint="eastAsia"/>
                <w:color w:val="auto"/>
              </w:rPr>
              <w:t>大学生创新创业训练计划、“挑战杯”全国大学生创业</w:t>
            </w:r>
            <w:r>
              <w:rPr>
                <w:rFonts w:hint="eastAsia"/>
                <w:color w:val="auto"/>
                <w:lang w:val="en-US"/>
              </w:rPr>
              <w:t>计划</w:t>
            </w:r>
            <w:r>
              <w:rPr>
                <w:rFonts w:hint="eastAsia"/>
                <w:color w:val="auto"/>
              </w:rPr>
              <w:t>大赛或“挑战杯”全国大学生课外学术科技作品竞赛</w:t>
            </w:r>
          </w:p>
        </w:tc>
        <w:tc>
          <w:tcPr>
            <w:tcW w:w="1299" w:type="dxa"/>
            <w:vMerge w:val="restart"/>
            <w:tcBorders>
              <w:top w:val="nil"/>
              <w:left w:val="single" w:color="auto" w:sz="8" w:space="0"/>
              <w:bottom w:val="single" w:color="000000" w:sz="8" w:space="0"/>
              <w:right w:val="single" w:color="auto" w:sz="8" w:space="0"/>
            </w:tcBorders>
            <w:noWrap/>
            <w:vAlign w:val="center"/>
          </w:tcPr>
          <w:p>
            <w:pPr>
              <w:widowControl/>
              <w:jc w:val="center"/>
              <w:rPr>
                <w:color w:val="auto"/>
              </w:rPr>
            </w:pPr>
            <w:r>
              <w:rPr>
                <w:rFonts w:hint="eastAsia"/>
                <w:color w:val="auto"/>
              </w:rPr>
              <w:t>国家级</w:t>
            </w: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负责人</w:t>
            </w:r>
          </w:p>
        </w:tc>
        <w:tc>
          <w:tcPr>
            <w:tcW w:w="1418" w:type="dxa"/>
            <w:tcBorders>
              <w:top w:val="nil"/>
              <w:left w:val="nil"/>
              <w:bottom w:val="single" w:color="auto" w:sz="8" w:space="0"/>
              <w:right w:val="single" w:color="auto" w:sz="8" w:space="0"/>
            </w:tcBorders>
            <w:noWrap/>
            <w:vAlign w:val="center"/>
          </w:tcPr>
          <w:p>
            <w:pPr>
              <w:widowControl/>
              <w:jc w:val="center"/>
              <w:rPr>
                <w:color w:val="auto"/>
              </w:rPr>
            </w:pPr>
            <w:r>
              <w:rPr>
                <w:color w:val="auto"/>
                <w:lang w:val="en-US"/>
              </w:rPr>
              <w:t>5</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第一至二主研人员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lang w:val="en-US"/>
              </w:rPr>
            </w:pPr>
            <w:r>
              <w:rPr>
                <w:rFonts w:hint="eastAsia"/>
                <w:color w:val="auto"/>
                <w:lang w:val="en-US"/>
              </w:rPr>
              <w:t>4</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第三至四主研人员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lang w:val="en-US"/>
              </w:rPr>
            </w:pPr>
            <w:r>
              <w:rPr>
                <w:rFonts w:hint="eastAsia"/>
                <w:color w:val="auto"/>
                <w:lang w:val="en-US"/>
              </w:rPr>
              <w:t>3</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第五至九主研人员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1</w:t>
            </w:r>
            <w:r>
              <w:rPr>
                <w:color w:val="auto"/>
              </w:rPr>
              <w:t>.6</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第十以后主研人员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lang w:val="en-US"/>
              </w:rPr>
            </w:pPr>
            <w:r>
              <w:rPr>
                <w:rFonts w:hint="eastAsia"/>
                <w:color w:val="auto"/>
                <w:lang w:val="en-US"/>
              </w:rPr>
              <w:t>0</w:t>
            </w:r>
            <w:r>
              <w:rPr>
                <w:color w:val="auto"/>
                <w:lang w:val="en-US"/>
              </w:rPr>
              <w:t>.8</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restart"/>
            <w:tcBorders>
              <w:top w:val="nil"/>
              <w:left w:val="single" w:color="auto" w:sz="8" w:space="0"/>
              <w:bottom w:val="single" w:color="000000" w:sz="8" w:space="0"/>
              <w:right w:val="single" w:color="auto" w:sz="8" w:space="0"/>
            </w:tcBorders>
            <w:noWrap/>
            <w:vAlign w:val="center"/>
          </w:tcPr>
          <w:p>
            <w:pPr>
              <w:widowControl/>
              <w:jc w:val="center"/>
              <w:rPr>
                <w:color w:val="auto"/>
              </w:rPr>
            </w:pPr>
            <w:r>
              <w:rPr>
                <w:rFonts w:hint="eastAsia"/>
                <w:color w:val="auto"/>
              </w:rPr>
              <w:t>省级</w:t>
            </w: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负责人</w:t>
            </w:r>
          </w:p>
        </w:tc>
        <w:tc>
          <w:tcPr>
            <w:tcW w:w="1418"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lang w:val="en-US"/>
              </w:rPr>
              <w:t>4</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第一至二主研人员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lang w:val="en-US"/>
              </w:rPr>
            </w:pPr>
            <w:r>
              <w:rPr>
                <w:rFonts w:hint="eastAsia"/>
                <w:color w:val="auto"/>
                <w:lang w:val="en-US"/>
              </w:rPr>
              <w:t>3</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第三至四主研人员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lang w:val="en-US"/>
              </w:rPr>
            </w:pPr>
            <w:r>
              <w:rPr>
                <w:rFonts w:hint="eastAsia"/>
                <w:color w:val="auto"/>
                <w:lang w:val="en-US"/>
              </w:rPr>
              <w:t>2</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第五至九主研人员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1</w:t>
            </w:r>
            <w:r>
              <w:rPr>
                <w:color w:val="auto"/>
              </w:rPr>
              <w:t>.2</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第十以后主研人员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lang w:val="en-US"/>
              </w:rPr>
            </w:pPr>
            <w:r>
              <w:rPr>
                <w:rFonts w:hint="eastAsia"/>
                <w:color w:val="auto"/>
                <w:lang w:val="en-US"/>
              </w:rPr>
              <w:t>0</w:t>
            </w:r>
            <w:r>
              <w:rPr>
                <w:color w:val="auto"/>
                <w:lang w:val="en-US"/>
              </w:rPr>
              <w:t>.6</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restart"/>
            <w:tcBorders>
              <w:top w:val="nil"/>
              <w:left w:val="single" w:color="auto" w:sz="8" w:space="0"/>
              <w:bottom w:val="single" w:color="000000" w:sz="8" w:space="0"/>
              <w:right w:val="single" w:color="auto" w:sz="8" w:space="0"/>
            </w:tcBorders>
            <w:noWrap/>
            <w:vAlign w:val="center"/>
          </w:tcPr>
          <w:p>
            <w:pPr>
              <w:widowControl/>
              <w:jc w:val="center"/>
              <w:rPr>
                <w:color w:val="auto"/>
              </w:rPr>
            </w:pPr>
            <w:r>
              <w:rPr>
                <w:rFonts w:hint="eastAsia"/>
                <w:color w:val="auto"/>
              </w:rPr>
              <w:t>校级</w:t>
            </w: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负责人</w:t>
            </w:r>
          </w:p>
        </w:tc>
        <w:tc>
          <w:tcPr>
            <w:tcW w:w="1418"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lang w:val="en-US"/>
              </w:rPr>
              <w:t>2</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第一至二主研人员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lang w:val="en-US"/>
              </w:rPr>
            </w:pPr>
            <w:r>
              <w:rPr>
                <w:rFonts w:hint="eastAsia"/>
                <w:color w:val="auto"/>
                <w:lang w:val="en-US"/>
              </w:rPr>
              <w:t>1.</w:t>
            </w:r>
            <w:r>
              <w:rPr>
                <w:color w:val="auto"/>
                <w:lang w:val="en-US"/>
              </w:rPr>
              <w:t>5</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第三至四主研人员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lang w:val="en-US"/>
              </w:rPr>
            </w:pPr>
            <w:r>
              <w:rPr>
                <w:rFonts w:hint="eastAsia"/>
                <w:color w:val="auto"/>
                <w:lang w:val="en-US"/>
              </w:rPr>
              <w:t>1</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第五至九主研人员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lang w:val="en-US"/>
              </w:rPr>
            </w:pPr>
            <w:r>
              <w:rPr>
                <w:rFonts w:hint="eastAsia"/>
                <w:color w:val="auto"/>
                <w:lang w:val="en-US"/>
              </w:rPr>
              <w:t>0</w:t>
            </w:r>
            <w:r>
              <w:rPr>
                <w:color w:val="auto"/>
                <w:lang w:val="en-US"/>
              </w:rPr>
              <w:t>.6</w:t>
            </w:r>
          </w:p>
        </w:tc>
      </w:tr>
      <w:tr>
        <w:tblPrEx>
          <w:tblCellMar>
            <w:top w:w="0" w:type="dxa"/>
            <w:left w:w="108" w:type="dxa"/>
            <w:bottom w:w="0" w:type="dxa"/>
            <w:right w:w="108" w:type="dxa"/>
          </w:tblCellMar>
        </w:tblPrEx>
        <w:trPr>
          <w:trHeight w:val="285" w:hRule="atLeast"/>
        </w:trPr>
        <w:tc>
          <w:tcPr>
            <w:tcW w:w="3560"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1299" w:type="dxa"/>
            <w:vMerge w:val="continue"/>
            <w:tcBorders>
              <w:top w:val="nil"/>
              <w:left w:val="single" w:color="auto" w:sz="8" w:space="0"/>
              <w:bottom w:val="single" w:color="000000" w:sz="8" w:space="0"/>
              <w:right w:val="single" w:color="auto" w:sz="8" w:space="0"/>
            </w:tcBorders>
            <w:vAlign w:val="center"/>
          </w:tcPr>
          <w:p>
            <w:pPr>
              <w:widowControl/>
              <w:jc w:val="center"/>
              <w:rPr>
                <w:color w:val="auto"/>
              </w:rPr>
            </w:pPr>
          </w:p>
        </w:tc>
        <w:tc>
          <w:tcPr>
            <w:tcW w:w="2551" w:type="dxa"/>
            <w:tcBorders>
              <w:top w:val="nil"/>
              <w:left w:val="nil"/>
              <w:bottom w:val="single" w:color="auto" w:sz="8" w:space="0"/>
              <w:right w:val="single" w:color="auto" w:sz="8" w:space="0"/>
            </w:tcBorders>
            <w:noWrap/>
            <w:vAlign w:val="center"/>
          </w:tcPr>
          <w:p>
            <w:pPr>
              <w:widowControl/>
              <w:jc w:val="center"/>
              <w:rPr>
                <w:color w:val="auto"/>
              </w:rPr>
            </w:pPr>
            <w:r>
              <w:rPr>
                <w:rFonts w:hint="eastAsia"/>
                <w:color w:val="auto"/>
              </w:rPr>
              <w:t>第十以后主研人员</w:t>
            </w:r>
          </w:p>
        </w:tc>
        <w:tc>
          <w:tcPr>
            <w:tcW w:w="1418" w:type="dxa"/>
            <w:tcBorders>
              <w:top w:val="nil"/>
              <w:left w:val="nil"/>
              <w:bottom w:val="single" w:color="auto" w:sz="8" w:space="0"/>
              <w:right w:val="single" w:color="auto" w:sz="8" w:space="0"/>
            </w:tcBorders>
            <w:noWrap/>
            <w:vAlign w:val="center"/>
          </w:tcPr>
          <w:p>
            <w:pPr>
              <w:widowControl/>
              <w:jc w:val="center"/>
              <w:rPr>
                <w:color w:val="auto"/>
                <w:lang w:val="en-US"/>
              </w:rPr>
            </w:pPr>
            <w:r>
              <w:rPr>
                <w:rFonts w:hint="eastAsia"/>
                <w:color w:val="auto"/>
                <w:lang w:val="en-US"/>
              </w:rPr>
              <w:t>0.</w:t>
            </w:r>
            <w:r>
              <w:rPr>
                <w:color w:val="auto"/>
                <w:lang w:val="en-US"/>
              </w:rPr>
              <w:t>3</w:t>
            </w:r>
          </w:p>
        </w:tc>
      </w:tr>
    </w:tbl>
    <w:p>
      <w:pPr>
        <w:tabs>
          <w:tab w:val="left" w:pos="1388"/>
        </w:tabs>
        <w:spacing w:before="83" w:line="360" w:lineRule="auto"/>
        <w:ind w:firstLine="720" w:firstLineChars="300"/>
        <w:rPr>
          <w:color w:val="auto"/>
          <w:sz w:val="24"/>
          <w:szCs w:val="24"/>
        </w:rPr>
      </w:pPr>
      <w:r>
        <w:rPr>
          <w:rFonts w:hint="eastAsia"/>
          <w:color w:val="auto"/>
          <w:sz w:val="24"/>
          <w:szCs w:val="24"/>
        </w:rPr>
        <w:t>备注：院级项目不加分，但同等条件下优先考虑。</w:t>
      </w: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r>
        <w:rPr>
          <w:rFonts w:hint="eastAsia"/>
          <w:b/>
          <w:bCs/>
          <w:color w:val="auto"/>
          <w:sz w:val="24"/>
          <w:szCs w:val="24"/>
        </w:rPr>
        <w:t>互联网+大学生创新创业大赛</w:t>
      </w: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tbl>
      <w:tblPr>
        <w:tblStyle w:val="3"/>
        <w:tblpPr w:leftFromText="180" w:rightFromText="180" w:vertAnchor="page" w:horzAnchor="page" w:tblpX="1464" w:tblpY="2424"/>
        <w:tblW w:w="9636" w:type="dxa"/>
        <w:tblInd w:w="0" w:type="dxa"/>
        <w:tblLayout w:type="autofit"/>
        <w:tblCellMar>
          <w:top w:w="0" w:type="dxa"/>
          <w:left w:w="108" w:type="dxa"/>
          <w:bottom w:w="0" w:type="dxa"/>
          <w:right w:w="108" w:type="dxa"/>
        </w:tblCellMar>
      </w:tblPr>
      <w:tblGrid>
        <w:gridCol w:w="2135"/>
        <w:gridCol w:w="1037"/>
        <w:gridCol w:w="808"/>
        <w:gridCol w:w="808"/>
        <w:gridCol w:w="808"/>
        <w:gridCol w:w="808"/>
        <w:gridCol w:w="808"/>
        <w:gridCol w:w="808"/>
        <w:gridCol w:w="808"/>
        <w:gridCol w:w="808"/>
      </w:tblGrid>
      <w:tr>
        <w:tblPrEx>
          <w:tblCellMar>
            <w:top w:w="0" w:type="dxa"/>
            <w:left w:w="108" w:type="dxa"/>
            <w:bottom w:w="0" w:type="dxa"/>
            <w:right w:w="108" w:type="dxa"/>
          </w:tblCellMar>
        </w:tblPrEx>
        <w:trPr>
          <w:trHeight w:val="290" w:hRule="atLeast"/>
        </w:trPr>
        <w:tc>
          <w:tcPr>
            <w:tcW w:w="2135" w:type="dxa"/>
            <w:tcBorders>
              <w:top w:val="single" w:color="auto" w:sz="4" w:space="0"/>
              <w:left w:val="single" w:color="auto" w:sz="4" w:space="0"/>
              <w:bottom w:val="single" w:color="auto" w:sz="4" w:space="0"/>
              <w:right w:val="single" w:color="auto" w:sz="4" w:space="0"/>
            </w:tcBorders>
            <w:noWrap/>
            <w:vAlign w:val="center"/>
          </w:tcPr>
          <w:p>
            <w:pPr>
              <w:widowControl/>
              <w:rPr>
                <w:color w:val="auto"/>
              </w:rPr>
            </w:pPr>
            <w:r>
              <w:rPr>
                <w:rFonts w:hint="eastAsia"/>
                <w:color w:val="auto"/>
              </w:rPr>
              <w:t>　项目级别</w:t>
            </w:r>
          </w:p>
        </w:tc>
        <w:tc>
          <w:tcPr>
            <w:tcW w:w="2653" w:type="dxa"/>
            <w:gridSpan w:val="3"/>
            <w:tcBorders>
              <w:top w:val="single" w:color="auto" w:sz="4" w:space="0"/>
              <w:left w:val="nil"/>
              <w:bottom w:val="single" w:color="auto" w:sz="4" w:space="0"/>
              <w:right w:val="single" w:color="auto" w:sz="4" w:space="0"/>
            </w:tcBorders>
            <w:noWrap/>
            <w:vAlign w:val="center"/>
          </w:tcPr>
          <w:p>
            <w:pPr>
              <w:widowControl/>
              <w:jc w:val="center"/>
              <w:rPr>
                <w:color w:val="auto"/>
              </w:rPr>
            </w:pPr>
            <w:r>
              <w:rPr>
                <w:rFonts w:hint="eastAsia"/>
                <w:color w:val="auto"/>
              </w:rPr>
              <w:t>国家级</w:t>
            </w:r>
          </w:p>
        </w:tc>
        <w:tc>
          <w:tcPr>
            <w:tcW w:w="2424" w:type="dxa"/>
            <w:gridSpan w:val="3"/>
            <w:tcBorders>
              <w:top w:val="single" w:color="auto" w:sz="4" w:space="0"/>
              <w:left w:val="nil"/>
              <w:bottom w:val="single" w:color="auto" w:sz="4" w:space="0"/>
              <w:right w:val="single" w:color="auto" w:sz="4" w:space="0"/>
            </w:tcBorders>
            <w:noWrap/>
            <w:vAlign w:val="center"/>
          </w:tcPr>
          <w:p>
            <w:pPr>
              <w:widowControl/>
              <w:jc w:val="center"/>
              <w:rPr>
                <w:color w:val="auto"/>
              </w:rPr>
            </w:pPr>
            <w:r>
              <w:rPr>
                <w:rFonts w:hint="eastAsia"/>
                <w:color w:val="auto"/>
              </w:rPr>
              <w:t>省级</w:t>
            </w:r>
          </w:p>
        </w:tc>
        <w:tc>
          <w:tcPr>
            <w:tcW w:w="2424" w:type="dxa"/>
            <w:gridSpan w:val="3"/>
            <w:tcBorders>
              <w:top w:val="single" w:color="auto" w:sz="4" w:space="0"/>
              <w:left w:val="nil"/>
              <w:bottom w:val="single" w:color="auto" w:sz="4" w:space="0"/>
              <w:right w:val="single" w:color="auto" w:sz="4" w:space="0"/>
            </w:tcBorders>
            <w:noWrap/>
            <w:vAlign w:val="center"/>
          </w:tcPr>
          <w:p>
            <w:pPr>
              <w:widowControl/>
              <w:jc w:val="center"/>
              <w:rPr>
                <w:color w:val="auto"/>
              </w:rPr>
            </w:pPr>
            <w:r>
              <w:rPr>
                <w:rFonts w:hint="eastAsia"/>
                <w:color w:val="auto"/>
              </w:rPr>
              <w:t>校级</w:t>
            </w:r>
          </w:p>
        </w:tc>
      </w:tr>
      <w:tr>
        <w:tblPrEx>
          <w:tblCellMar>
            <w:top w:w="0" w:type="dxa"/>
            <w:left w:w="108" w:type="dxa"/>
            <w:bottom w:w="0" w:type="dxa"/>
            <w:right w:w="108" w:type="dxa"/>
          </w:tblCellMar>
        </w:tblPrEx>
        <w:trPr>
          <w:trHeight w:val="290" w:hRule="atLeast"/>
        </w:trPr>
        <w:tc>
          <w:tcPr>
            <w:tcW w:w="2135" w:type="dxa"/>
            <w:tcBorders>
              <w:top w:val="single" w:color="auto" w:sz="4" w:space="0"/>
              <w:left w:val="single" w:color="auto" w:sz="4" w:space="0"/>
              <w:bottom w:val="single" w:color="auto" w:sz="4" w:space="0"/>
              <w:right w:val="single" w:color="auto" w:sz="4" w:space="0"/>
            </w:tcBorders>
            <w:noWrap/>
            <w:vAlign w:val="center"/>
          </w:tcPr>
          <w:p>
            <w:pPr>
              <w:widowControl/>
              <w:rPr>
                <w:color w:val="auto"/>
              </w:rPr>
            </w:pPr>
            <w:r>
              <w:rPr>
                <w:rFonts w:hint="eastAsia"/>
                <w:color w:val="auto"/>
              </w:rPr>
              <w:t>　获奖级别</w:t>
            </w: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rPr>
                <w:color w:val="auto"/>
                <w:lang w:val="en-US"/>
              </w:rPr>
            </w:pPr>
            <w:r>
              <w:rPr>
                <w:rFonts w:hint="eastAsia"/>
                <w:color w:val="auto"/>
                <w:lang w:val="en-US"/>
              </w:rPr>
              <w:t>一等奖</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rPr>
                <w:color w:val="auto"/>
              </w:rPr>
            </w:pPr>
            <w:r>
              <w:rPr>
                <w:rFonts w:hint="eastAsia"/>
                <w:color w:val="auto"/>
              </w:rPr>
              <w:t>二等奖</w:t>
            </w:r>
          </w:p>
          <w:p>
            <w:pPr>
              <w:widowControl/>
              <w:rPr>
                <w:color w:val="auto"/>
              </w:rPr>
            </w:pPr>
            <w:r>
              <w:rPr>
                <w:rFonts w:hint="eastAsia"/>
                <w:color w:val="auto"/>
              </w:rPr>
              <w:t>（银奖）</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rPr>
                <w:color w:val="auto"/>
              </w:rPr>
            </w:pPr>
            <w:r>
              <w:rPr>
                <w:rFonts w:hint="eastAsia"/>
                <w:color w:val="auto"/>
              </w:rPr>
              <w:t>三等奖</w:t>
            </w:r>
          </w:p>
          <w:p>
            <w:pPr>
              <w:widowControl/>
              <w:rPr>
                <w:color w:val="auto"/>
              </w:rPr>
            </w:pPr>
            <w:r>
              <w:rPr>
                <w:rFonts w:hint="eastAsia"/>
                <w:color w:val="auto"/>
              </w:rPr>
              <w:t>（铜奖）</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rPr>
                <w:color w:val="auto"/>
              </w:rPr>
            </w:pPr>
            <w:r>
              <w:rPr>
                <w:rFonts w:hint="eastAsia"/>
                <w:color w:val="auto"/>
              </w:rPr>
              <w:t>一等奖</w:t>
            </w:r>
          </w:p>
          <w:p>
            <w:pPr>
              <w:widowControl/>
              <w:rPr>
                <w:color w:val="auto"/>
              </w:rPr>
            </w:pPr>
            <w:r>
              <w:rPr>
                <w:rFonts w:hint="eastAsia"/>
                <w:color w:val="auto"/>
              </w:rPr>
              <w:t>（金奖）</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rPr>
                <w:color w:val="auto"/>
              </w:rPr>
            </w:pPr>
            <w:r>
              <w:rPr>
                <w:rFonts w:hint="eastAsia"/>
                <w:color w:val="auto"/>
              </w:rPr>
              <w:t>二等奖</w:t>
            </w:r>
          </w:p>
          <w:p>
            <w:pPr>
              <w:widowControl/>
              <w:rPr>
                <w:color w:val="auto"/>
              </w:rPr>
            </w:pPr>
            <w:r>
              <w:rPr>
                <w:rFonts w:hint="eastAsia"/>
                <w:color w:val="auto"/>
              </w:rPr>
              <w:t>（银奖）</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rPr>
                <w:color w:val="auto"/>
              </w:rPr>
            </w:pPr>
            <w:r>
              <w:rPr>
                <w:rFonts w:hint="eastAsia"/>
                <w:color w:val="auto"/>
              </w:rPr>
              <w:t>三等奖（铜奖）</w:t>
            </w:r>
          </w:p>
          <w:p>
            <w:pPr>
              <w:widowControl/>
              <w:rPr>
                <w:color w:val="auto"/>
              </w:rPr>
            </w:pP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rPr>
                <w:color w:val="auto"/>
              </w:rPr>
            </w:pPr>
            <w:r>
              <w:rPr>
                <w:rFonts w:hint="eastAsia"/>
                <w:color w:val="auto"/>
              </w:rPr>
              <w:t>一等奖</w:t>
            </w:r>
          </w:p>
          <w:p>
            <w:pPr>
              <w:widowControl/>
              <w:rPr>
                <w:color w:val="auto"/>
              </w:rPr>
            </w:pPr>
            <w:r>
              <w:rPr>
                <w:rFonts w:hint="eastAsia"/>
                <w:color w:val="auto"/>
              </w:rPr>
              <w:t>（金奖）</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rPr>
                <w:color w:val="auto"/>
              </w:rPr>
            </w:pPr>
            <w:r>
              <w:rPr>
                <w:rFonts w:hint="eastAsia"/>
                <w:color w:val="auto"/>
              </w:rPr>
              <w:t>二等奖</w:t>
            </w:r>
          </w:p>
          <w:p>
            <w:pPr>
              <w:widowControl/>
              <w:rPr>
                <w:color w:val="auto"/>
              </w:rPr>
            </w:pPr>
            <w:r>
              <w:rPr>
                <w:rFonts w:hint="eastAsia"/>
                <w:color w:val="auto"/>
              </w:rPr>
              <w:t>（银奖）</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rPr>
                <w:color w:val="auto"/>
              </w:rPr>
            </w:pPr>
            <w:r>
              <w:rPr>
                <w:rFonts w:hint="eastAsia"/>
                <w:color w:val="auto"/>
              </w:rPr>
              <w:t>三等奖</w:t>
            </w:r>
          </w:p>
          <w:p>
            <w:pPr>
              <w:widowControl/>
              <w:rPr>
                <w:color w:val="auto"/>
              </w:rPr>
            </w:pPr>
            <w:r>
              <w:rPr>
                <w:rFonts w:hint="eastAsia"/>
                <w:color w:val="auto"/>
              </w:rPr>
              <w:t>（铜奖）</w:t>
            </w:r>
          </w:p>
        </w:tc>
      </w:tr>
      <w:tr>
        <w:tblPrEx>
          <w:tblCellMar>
            <w:top w:w="0" w:type="dxa"/>
            <w:left w:w="108" w:type="dxa"/>
            <w:bottom w:w="0" w:type="dxa"/>
            <w:right w:w="108" w:type="dxa"/>
          </w:tblCellMar>
        </w:tblPrEx>
        <w:trPr>
          <w:trHeight w:val="275" w:hRule="atLeast"/>
        </w:trPr>
        <w:tc>
          <w:tcPr>
            <w:tcW w:w="2135"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rPr>
            </w:pPr>
            <w:r>
              <w:rPr>
                <w:rFonts w:hint="eastAsia"/>
                <w:color w:val="auto"/>
              </w:rPr>
              <w:t>第一主研</w:t>
            </w:r>
          </w:p>
          <w:p>
            <w:pPr>
              <w:widowControl/>
              <w:jc w:val="center"/>
              <w:rPr>
                <w:color w:val="auto"/>
                <w:lang w:val="en-US"/>
              </w:rPr>
            </w:pPr>
            <w:r>
              <w:rPr>
                <w:rFonts w:hint="eastAsia"/>
                <w:color w:val="auto"/>
                <w:lang w:val="en-US"/>
              </w:rPr>
              <w:t>-</w:t>
            </w:r>
          </w:p>
          <w:p>
            <w:pPr>
              <w:widowControl/>
              <w:jc w:val="center"/>
              <w:rPr>
                <w:color w:val="auto"/>
              </w:rPr>
            </w:pPr>
            <w:r>
              <w:rPr>
                <w:rFonts w:hint="eastAsia"/>
                <w:color w:val="auto"/>
                <w:lang w:val="en-US"/>
              </w:rPr>
              <w:t>第五主研</w:t>
            </w:r>
          </w:p>
        </w:tc>
        <w:tc>
          <w:tcPr>
            <w:tcW w:w="1037" w:type="dxa"/>
            <w:tcBorders>
              <w:top w:val="single" w:color="auto" w:sz="4" w:space="0"/>
              <w:left w:val="single" w:color="auto" w:sz="4" w:space="0"/>
              <w:bottom w:val="single" w:color="auto" w:sz="4" w:space="0"/>
              <w:right w:val="single" w:color="auto" w:sz="4" w:space="0"/>
            </w:tcBorders>
            <w:vAlign w:val="center"/>
          </w:tcPr>
          <w:p>
            <w:pPr>
              <w:widowControl/>
              <w:jc w:val="center"/>
              <w:rPr>
                <w:color w:val="auto"/>
                <w:lang w:val="en-US"/>
              </w:rPr>
            </w:pPr>
            <w:r>
              <w:rPr>
                <w:rFonts w:hint="eastAsia"/>
                <w:color w:val="auto"/>
                <w:lang w:val="en-US"/>
              </w:rPr>
              <w:t>综合成绩加10分</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8</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color w:val="auto"/>
                <w:lang w:val="en-US"/>
              </w:rPr>
              <w:t>6</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color w:val="auto"/>
                <w:lang w:val="en-US"/>
              </w:rPr>
              <w:t>6</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4</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3</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3</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2</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1</w:t>
            </w:r>
          </w:p>
        </w:tc>
      </w:tr>
      <w:tr>
        <w:tblPrEx>
          <w:tblCellMar>
            <w:top w:w="0" w:type="dxa"/>
            <w:left w:w="108" w:type="dxa"/>
            <w:bottom w:w="0" w:type="dxa"/>
            <w:right w:w="108" w:type="dxa"/>
          </w:tblCellMar>
        </w:tblPrEx>
        <w:trPr>
          <w:trHeight w:val="275" w:hRule="atLeast"/>
        </w:trPr>
        <w:tc>
          <w:tcPr>
            <w:tcW w:w="2135"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rPr>
            </w:pPr>
            <w:r>
              <w:rPr>
                <w:rFonts w:hint="eastAsia"/>
                <w:color w:val="auto"/>
              </w:rPr>
              <w:t>第六主研</w:t>
            </w:r>
          </w:p>
          <w:p>
            <w:pPr>
              <w:widowControl/>
              <w:jc w:val="center"/>
              <w:rPr>
                <w:color w:val="auto"/>
                <w:lang w:val="en-US"/>
              </w:rPr>
            </w:pPr>
            <w:r>
              <w:rPr>
                <w:rFonts w:hint="eastAsia"/>
                <w:color w:val="auto"/>
                <w:lang w:val="en-US"/>
              </w:rPr>
              <w:t>-</w:t>
            </w:r>
          </w:p>
          <w:p>
            <w:pPr>
              <w:widowControl/>
              <w:jc w:val="center"/>
              <w:rPr>
                <w:color w:val="auto"/>
                <w:lang w:val="en-US"/>
              </w:rPr>
            </w:pPr>
            <w:r>
              <w:rPr>
                <w:rFonts w:hint="eastAsia"/>
                <w:color w:val="auto"/>
                <w:lang w:val="en-US"/>
              </w:rPr>
              <w:t>第十主研</w:t>
            </w:r>
          </w:p>
        </w:tc>
        <w:tc>
          <w:tcPr>
            <w:tcW w:w="1037" w:type="dxa"/>
            <w:tcBorders>
              <w:top w:val="single" w:color="auto" w:sz="4" w:space="0"/>
              <w:left w:val="single" w:color="auto" w:sz="4" w:space="0"/>
              <w:bottom w:val="single" w:color="auto" w:sz="4" w:space="0"/>
              <w:right w:val="single" w:color="auto" w:sz="4" w:space="0"/>
            </w:tcBorders>
            <w:vAlign w:val="center"/>
          </w:tcPr>
          <w:p>
            <w:pPr>
              <w:widowControl/>
              <w:jc w:val="center"/>
              <w:rPr>
                <w:color w:val="auto"/>
                <w:lang w:val="en-US"/>
              </w:rPr>
            </w:pPr>
            <w:r>
              <w:rPr>
                <w:rFonts w:hint="eastAsia"/>
                <w:color w:val="auto"/>
                <w:lang w:val="en-US"/>
              </w:rPr>
              <w:t>4</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3</w:t>
            </w:r>
            <w:r>
              <w:rPr>
                <w:color w:val="auto"/>
                <w:lang w:val="en-US"/>
              </w:rPr>
              <w:t>.2</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2</w:t>
            </w:r>
            <w:r>
              <w:rPr>
                <w:color w:val="auto"/>
                <w:lang w:val="en-US"/>
              </w:rPr>
              <w:t>.4</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2</w:t>
            </w:r>
            <w:r>
              <w:rPr>
                <w:color w:val="auto"/>
                <w:lang w:val="en-US"/>
              </w:rPr>
              <w:t>.4</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1.</w:t>
            </w:r>
            <w:r>
              <w:rPr>
                <w:color w:val="auto"/>
                <w:lang w:val="en-US"/>
              </w:rPr>
              <w:t>6</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color w:val="auto"/>
                <w:lang w:val="en-US"/>
              </w:rPr>
              <w:t>1</w:t>
            </w:r>
            <w:r>
              <w:rPr>
                <w:rFonts w:hint="eastAsia"/>
                <w:color w:val="auto"/>
                <w:lang w:val="en-US"/>
              </w:rPr>
              <w:t>.</w:t>
            </w:r>
            <w:r>
              <w:rPr>
                <w:color w:val="auto"/>
                <w:lang w:val="en-US"/>
              </w:rPr>
              <w:t>2</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color w:val="auto"/>
                <w:lang w:val="en-US"/>
              </w:rPr>
              <w:t>1</w:t>
            </w:r>
            <w:r>
              <w:rPr>
                <w:rFonts w:hint="eastAsia"/>
                <w:color w:val="auto"/>
                <w:lang w:val="en-US"/>
              </w:rPr>
              <w:t>.</w:t>
            </w:r>
            <w:r>
              <w:rPr>
                <w:color w:val="auto"/>
                <w:lang w:val="en-US"/>
              </w:rPr>
              <w:t>2</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0.</w:t>
            </w:r>
            <w:r>
              <w:rPr>
                <w:color w:val="auto"/>
                <w:lang w:val="en-US"/>
              </w:rPr>
              <w:t>8</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0.4</w:t>
            </w:r>
          </w:p>
        </w:tc>
      </w:tr>
      <w:tr>
        <w:tblPrEx>
          <w:tblCellMar>
            <w:top w:w="0" w:type="dxa"/>
            <w:left w:w="108" w:type="dxa"/>
            <w:bottom w:w="0" w:type="dxa"/>
            <w:right w:w="108" w:type="dxa"/>
          </w:tblCellMar>
        </w:tblPrEx>
        <w:trPr>
          <w:trHeight w:val="275" w:hRule="atLeast"/>
        </w:trPr>
        <w:tc>
          <w:tcPr>
            <w:tcW w:w="2135"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rPr>
            </w:pPr>
            <w:r>
              <w:rPr>
                <w:rFonts w:hint="eastAsia"/>
                <w:color w:val="auto"/>
              </w:rPr>
              <w:t>第十一主研及之后</w:t>
            </w:r>
          </w:p>
        </w:tc>
        <w:tc>
          <w:tcPr>
            <w:tcW w:w="1037" w:type="dxa"/>
            <w:tcBorders>
              <w:top w:val="single" w:color="auto" w:sz="4" w:space="0"/>
              <w:left w:val="single" w:color="auto" w:sz="4" w:space="0"/>
              <w:bottom w:val="single" w:color="auto" w:sz="4" w:space="0"/>
              <w:right w:val="single" w:color="auto" w:sz="4" w:space="0"/>
            </w:tcBorders>
            <w:vAlign w:val="center"/>
          </w:tcPr>
          <w:p>
            <w:pPr>
              <w:widowControl/>
              <w:jc w:val="center"/>
              <w:rPr>
                <w:color w:val="auto"/>
                <w:lang w:val="en-US"/>
              </w:rPr>
            </w:pPr>
            <w:r>
              <w:rPr>
                <w:rFonts w:hint="eastAsia"/>
                <w:color w:val="auto"/>
                <w:lang w:val="en-US"/>
              </w:rPr>
              <w:t>2</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1</w:t>
            </w:r>
            <w:r>
              <w:rPr>
                <w:color w:val="auto"/>
                <w:lang w:val="en-US"/>
              </w:rPr>
              <w:t>.6</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1</w:t>
            </w:r>
            <w:r>
              <w:rPr>
                <w:color w:val="auto"/>
                <w:lang w:val="en-US"/>
              </w:rPr>
              <w:t>.2</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1</w:t>
            </w:r>
            <w:r>
              <w:rPr>
                <w:color w:val="auto"/>
                <w:lang w:val="en-US"/>
              </w:rPr>
              <w:t>.2</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0</w:t>
            </w:r>
            <w:r>
              <w:rPr>
                <w:color w:val="auto"/>
                <w:lang w:val="en-US"/>
              </w:rPr>
              <w:t>.8</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0</w:t>
            </w:r>
            <w:r>
              <w:rPr>
                <w:color w:val="auto"/>
                <w:lang w:val="en-US"/>
              </w:rPr>
              <w:t>.6</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0</w:t>
            </w:r>
            <w:r>
              <w:rPr>
                <w:color w:val="auto"/>
                <w:lang w:val="en-US"/>
              </w:rPr>
              <w:t>.6</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0</w:t>
            </w:r>
            <w:r>
              <w:rPr>
                <w:color w:val="auto"/>
                <w:lang w:val="en-US"/>
              </w:rPr>
              <w:t>.4</w:t>
            </w:r>
          </w:p>
        </w:tc>
        <w:tc>
          <w:tcPr>
            <w:tcW w:w="808" w:type="dxa"/>
            <w:tcBorders>
              <w:top w:val="single" w:color="auto" w:sz="4" w:space="0"/>
              <w:left w:val="single" w:color="auto" w:sz="4" w:space="0"/>
              <w:bottom w:val="single" w:color="auto" w:sz="4" w:space="0"/>
              <w:right w:val="single" w:color="auto" w:sz="4" w:space="0"/>
            </w:tcBorders>
            <w:noWrap/>
            <w:vAlign w:val="center"/>
          </w:tcPr>
          <w:p>
            <w:pPr>
              <w:widowControl/>
              <w:jc w:val="center"/>
              <w:rPr>
                <w:color w:val="auto"/>
                <w:lang w:val="en-US"/>
              </w:rPr>
            </w:pPr>
            <w:r>
              <w:rPr>
                <w:rFonts w:hint="eastAsia"/>
                <w:color w:val="auto"/>
                <w:lang w:val="en-US"/>
              </w:rPr>
              <w:t>0</w:t>
            </w:r>
            <w:r>
              <w:rPr>
                <w:color w:val="auto"/>
                <w:lang w:val="en-US"/>
              </w:rPr>
              <w:t>.2</w:t>
            </w:r>
          </w:p>
        </w:tc>
      </w:tr>
    </w:tbl>
    <w:p>
      <w:pPr>
        <w:spacing w:line="360" w:lineRule="auto"/>
        <w:rPr>
          <w:color w:val="auto"/>
          <w:sz w:val="24"/>
          <w:szCs w:val="24"/>
        </w:rPr>
      </w:pPr>
    </w:p>
    <w:p>
      <w:pPr>
        <w:spacing w:line="360" w:lineRule="auto"/>
        <w:ind w:firstLine="480" w:firstLineChars="200"/>
        <w:rPr>
          <w:color w:val="auto"/>
          <w:sz w:val="24"/>
          <w:szCs w:val="24"/>
        </w:rPr>
      </w:pPr>
    </w:p>
    <w:p>
      <w:pPr>
        <w:spacing w:line="360" w:lineRule="auto"/>
        <w:ind w:firstLine="480" w:firstLineChars="200"/>
        <w:rPr>
          <w:color w:val="auto"/>
          <w:sz w:val="24"/>
          <w:szCs w:val="24"/>
        </w:rPr>
      </w:pPr>
    </w:p>
    <w:p>
      <w:pPr>
        <w:spacing w:line="360" w:lineRule="auto"/>
        <w:ind w:firstLine="480" w:firstLineChars="200"/>
        <w:rPr>
          <w:color w:val="auto"/>
          <w:sz w:val="24"/>
          <w:szCs w:val="24"/>
        </w:rPr>
      </w:pPr>
      <w:r>
        <w:rPr>
          <w:rFonts w:hint="eastAsia"/>
          <w:color w:val="auto"/>
          <w:sz w:val="24"/>
          <w:szCs w:val="24"/>
        </w:rPr>
        <w:t>如某些项目确能证明申请人科研或专业能力突出，但未在本《办法》中列出的，可向评审专家组提出申请，并提交相关说明或证明材料，由评审专家组集体讨论决定是否同意认定及怎样认定。</w:t>
      </w:r>
    </w:p>
    <w:p>
      <w:pPr>
        <w:spacing w:line="360" w:lineRule="auto"/>
        <w:ind w:firstLine="480" w:firstLineChars="200"/>
        <w:rPr>
          <w:color w:val="auto"/>
          <w:sz w:val="24"/>
          <w:szCs w:val="24"/>
        </w:rPr>
      </w:pPr>
      <w:r>
        <w:rPr>
          <w:rFonts w:hint="eastAsia"/>
          <w:color w:val="auto"/>
          <w:sz w:val="24"/>
          <w:szCs w:val="24"/>
        </w:rPr>
        <w:t>本《办法》自发布之日起执行。未尽事宜由四川大学文学与新闻学院评审专家组负责解释。</w:t>
      </w:r>
    </w:p>
    <w:p>
      <w:pPr>
        <w:spacing w:line="360" w:lineRule="auto"/>
        <w:ind w:firstLine="480" w:firstLineChars="200"/>
        <w:rPr>
          <w:color w:val="auto"/>
          <w:sz w:val="24"/>
          <w:szCs w:val="24"/>
        </w:rPr>
      </w:pPr>
    </w:p>
    <w:p>
      <w:pPr>
        <w:spacing w:line="360" w:lineRule="auto"/>
        <w:ind w:firstLine="480" w:firstLineChars="200"/>
        <w:jc w:val="right"/>
        <w:rPr>
          <w:color w:val="auto"/>
          <w:sz w:val="24"/>
          <w:szCs w:val="24"/>
        </w:rPr>
      </w:pPr>
      <w:r>
        <w:rPr>
          <w:rFonts w:hint="eastAsia"/>
          <w:color w:val="auto"/>
          <w:sz w:val="24"/>
          <w:szCs w:val="24"/>
        </w:rPr>
        <w:t>四川大学文学与新闻学院</w:t>
      </w:r>
    </w:p>
    <w:p>
      <w:pPr>
        <w:spacing w:line="360" w:lineRule="auto"/>
        <w:ind w:firstLine="480" w:firstLineChars="200"/>
        <w:jc w:val="right"/>
        <w:rPr>
          <w:color w:val="auto"/>
          <w:sz w:val="24"/>
          <w:szCs w:val="24"/>
        </w:rPr>
      </w:pPr>
      <w:r>
        <w:rPr>
          <w:rFonts w:hint="eastAsia"/>
          <w:color w:val="auto"/>
          <w:sz w:val="24"/>
          <w:szCs w:val="24"/>
        </w:rPr>
        <w:t>202</w:t>
      </w:r>
      <w:r>
        <w:rPr>
          <w:rFonts w:hint="eastAsia"/>
          <w:color w:val="auto"/>
          <w:sz w:val="24"/>
          <w:szCs w:val="24"/>
          <w:lang w:val="en-US"/>
        </w:rPr>
        <w:t>2</w:t>
      </w:r>
      <w:r>
        <w:rPr>
          <w:rFonts w:hint="eastAsia"/>
          <w:color w:val="auto"/>
          <w:sz w:val="24"/>
          <w:szCs w:val="24"/>
        </w:rPr>
        <w:t>年</w:t>
      </w:r>
      <w:r>
        <w:rPr>
          <w:color w:val="auto"/>
          <w:sz w:val="24"/>
          <w:szCs w:val="24"/>
          <w:lang w:val="en-US"/>
        </w:rPr>
        <w:t>9</w:t>
      </w:r>
      <w:r>
        <w:rPr>
          <w:rFonts w:hint="eastAsia"/>
          <w:color w:val="auto"/>
          <w:sz w:val="24"/>
          <w:szCs w:val="24"/>
        </w:rPr>
        <w:t>月</w:t>
      </w:r>
    </w:p>
    <w:p>
      <w:pPr>
        <w:widowControl/>
        <w:rPr>
          <w:color w:val="auto"/>
          <w:sz w:val="24"/>
          <w:szCs w:val="24"/>
        </w:rPr>
      </w:pPr>
    </w:p>
    <w:p>
      <w:pPr>
        <w:widowControl/>
        <w:rPr>
          <w:color w:val="auto"/>
          <w:sz w:val="24"/>
          <w:szCs w:val="24"/>
        </w:rPr>
      </w:pPr>
    </w:p>
    <w:p>
      <w:pPr>
        <w:widowControl/>
        <w:rPr>
          <w:color w:val="auto"/>
          <w:sz w:val="24"/>
          <w:szCs w:val="24"/>
        </w:rPr>
      </w:pPr>
    </w:p>
    <w:p>
      <w:pPr>
        <w:widowControl/>
        <w:rPr>
          <w:color w:val="auto"/>
          <w:sz w:val="24"/>
          <w:szCs w:val="24"/>
        </w:rPr>
      </w:pPr>
    </w:p>
    <w:p>
      <w:pPr>
        <w:widowControl/>
        <w:rPr>
          <w:color w:val="auto"/>
          <w:sz w:val="24"/>
          <w:szCs w:val="24"/>
        </w:rPr>
      </w:pPr>
    </w:p>
    <w:p>
      <w:pPr>
        <w:widowControl/>
        <w:rPr>
          <w:color w:val="auto"/>
          <w:sz w:val="24"/>
          <w:szCs w:val="24"/>
        </w:rPr>
      </w:pPr>
    </w:p>
    <w:p>
      <w:pPr>
        <w:widowControl/>
        <w:rPr>
          <w:color w:val="auto"/>
          <w:sz w:val="24"/>
          <w:szCs w:val="24"/>
        </w:rPr>
      </w:pPr>
    </w:p>
    <w:p>
      <w:pPr>
        <w:widowControl/>
        <w:rPr>
          <w:color w:val="auto"/>
          <w:sz w:val="24"/>
          <w:szCs w:val="24"/>
        </w:rPr>
      </w:pPr>
    </w:p>
    <w:p>
      <w:pPr>
        <w:spacing w:line="360" w:lineRule="auto"/>
        <w:ind w:firstLine="480" w:firstLineChars="200"/>
        <w:jc w:val="right"/>
        <w:rPr>
          <w:color w:val="auto"/>
          <w:sz w:val="24"/>
          <w:szCs w:val="24"/>
        </w:rPr>
      </w:pPr>
      <w:bookmarkStart w:id="0" w:name="_GoBack"/>
      <w:bookmarkEnd w:id="0"/>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行楷">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5A9746"/>
    <w:multiLevelType w:val="singleLevel"/>
    <w:tmpl w:val="585A9746"/>
    <w:lvl w:ilvl="0" w:tentative="0">
      <w:start w:val="1"/>
      <w:numFmt w:val="decimal"/>
      <w:suff w:val="nothing"/>
      <w:lvlText w:val="%1．"/>
      <w:lvlJc w:val="left"/>
      <w:pPr>
        <w:ind w:left="0" w:firstLine="400"/>
      </w:pPr>
      <w:rPr>
        <w:rFonts w:hint="default"/>
      </w:rPr>
    </w:lvl>
  </w:abstractNum>
  <w:abstractNum w:abstractNumId="1">
    <w:nsid w:val="7DE6F0E0"/>
    <w:multiLevelType w:val="singleLevel"/>
    <w:tmpl w:val="7DE6F0E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yNWUyOGE3N2UyNzE4NmVjZjJmMTAwMGM4Y2RjYTAifQ=="/>
  </w:docVars>
  <w:rsids>
    <w:rsidRoot w:val="653C4CA0"/>
    <w:rsid w:val="653C4C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ind w:left="112" w:firstLine="566"/>
    </w:pPr>
    <w:rPr>
      <w:sz w:val="28"/>
      <w:szCs w:val="28"/>
    </w:rPr>
  </w:style>
  <w:style w:type="character" w:styleId="5">
    <w:name w:val="annotation reference"/>
    <w:unhideWhenUsed/>
    <w:qFormat/>
    <w:uiPriority w:val="99"/>
    <w:rPr>
      <w:sz w:val="21"/>
      <w:szCs w:val="21"/>
    </w:rPr>
  </w:style>
  <w:style w:type="paragraph" w:styleId="6">
    <w:name w:val="List Paragraph"/>
    <w:basedOn w:val="1"/>
    <w:qFormat/>
    <w:uiPriority w:val="1"/>
    <w:pPr>
      <w:ind w:left="112" w:firstLine="566"/>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2022-09-14T15:01:00Z</dcterms:created>
  <dc:creator>枫停</dc:creator>
  <cp:lastModifiedBy>枫停</cp:lastModifiedBy>
  <dcterms:modified xsi:type="dcterms:W3CDTF">2022-09-14T15:02:05Z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65CBD3D506DB46318B8D647D8BEFB4A3</vt:lpwstr>
  </property>
</Properties>
</file>