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长春工业大学</w:t>
      </w:r>
      <w:bookmarkStart w:id="0" w:name="OLE_LINK1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“数据科学与智能计算”拔尖学生培养基地（统计学专业）</w:t>
      </w:r>
      <w:bookmarkEnd w:id="0"/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相关政策及遴选笔试命题说明</w:t>
      </w:r>
    </w:p>
    <w:p>
      <w:pPr>
        <w:spacing w:after="0" w:line="240" w:lineRule="auto"/>
        <w:ind w:firstLine="640" w:firstLineChars="200"/>
        <w:rPr>
          <w:rFonts w:hint="eastAsia" w:ascii="黑体" w:hAnsi="黑体" w:eastAsia="黑体" w:cs="黑体"/>
          <w:color w:val="auto"/>
          <w:kern w:val="0"/>
          <w:sz w:val="32"/>
          <w:szCs w:val="32"/>
        </w:rPr>
      </w:pPr>
      <w:bookmarkStart w:id="1" w:name="OLE_LINK2"/>
      <w:r>
        <w:rPr>
          <w:rFonts w:hint="eastAsia" w:ascii="黑体" w:hAnsi="黑体" w:eastAsia="黑体" w:cs="黑体"/>
          <w:color w:val="auto"/>
          <w:kern w:val="0"/>
          <w:sz w:val="32"/>
          <w:szCs w:val="32"/>
        </w:rPr>
        <w:t>一、专业简介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“数据科学与智能计算”</w:t>
      </w:r>
      <w:bookmarkEnd w:id="1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基础学科拔尖学生培养基地班依托统计学专业，统计学专业拥有统计学一级学科硕士点、应用统计专业硕士点，统计学一级学科博士点，博士后流动站。基地班教师团队先后获批吉林省高校黄大年式教师团队、吉林省优秀基层教学组织，拥有教育部长江学者讲座讲授，教育部教指委委员，长白山学者讲座教授，省教指委委员，中国现场统计研究会等国家级学会理事，省拔尖创新人才和省优秀青年，已形成年龄与职称结构合理的师资队伍。本专业立足东北老工业基地，根植地方经济，注重统计学、数据科学、大数据技术、信息与计算科学的基础，以“一制三化”（导师制、小班化、个性化、国际化）为核心，实行本硕博贯穿式一体化培养模式。培养方案结合理论与实践，主要研究方向包括数理统计学、金融统计、风险管理与精算学、生物与卫生统计学、大数据分析等，致力于培养具有创新能力、突破性进展的拔尖人才。毕业生主要面向教育、银行、证券、互联网金融、保险、医药、工业等领域，从事研究、教学和技术工作的研究型人才。</w:t>
      </w:r>
    </w:p>
    <w:p>
      <w:pPr>
        <w:spacing w:after="0" w:line="240" w:lineRule="auto"/>
        <w:ind w:firstLine="640" w:firstLineChars="200"/>
        <w:jc w:val="both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二、相关政策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1.优先指导与资金支持：入选学生可优先选择毕业论文指导教师；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鼓励学生参加各级各类学科竞赛，并报销与学科竞赛相关的报名费、注册费和差旅费等。同时，学院报销学生在参加各类科创活动中所产生的论文审稿费、论文版面费、专利申请费、学习进修的交通费、书费等。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2.专业导师配备与科研团队支持：入选学生将直接配备博士生导师，无需经过遴选，能够迅速进入学院科研团队及博士生导师所在课题组，同时享受博士生导师的个性化学业的专业指导。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3.小班化授课与留学推荐支持：</w:t>
      </w:r>
      <w:bookmarkStart w:id="6" w:name="_GoBack"/>
      <w:bookmarkEnd w:id="6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专业课程实行小班化授课，鼓励老师创新教学模式，过程化考核方式，引导学生开展自主性、研究性学习；向学校申请更多的保研名额，若考取本校研究生，同等条件下优先考虑；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对于考取校外研究生的学生，学院将提供择优推荐信；选择出国留学的学生，学院将协助联系海外学校及导师，提供留学支持。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4.双导师与学术成长支持：国一流高水平师资、博士生导师一对一指导、本-硕-博一体化培养、双导师个性化培养等优势，学院选拔2名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优秀青年教师担任班导师，为拔尖班学生提供课程及学术方向等咨询与建议、学术活动的组织及通知、学生学术动态的管理与信息收集、协助奖学金的评定、拔尖学生遴选淘汰分流考核等组织工作，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为学生提供优质的学术资源和专业指导。</w:t>
      </w:r>
    </w:p>
    <w:p>
      <w:pPr>
        <w:spacing w:after="0" w:line="240" w:lineRule="auto"/>
        <w:ind w:firstLine="640" w:firstLineChars="200"/>
        <w:jc w:val="both"/>
        <w:rPr>
          <w:rFonts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三、命题说明</w:t>
      </w:r>
    </w:p>
    <w:p>
      <w:pPr>
        <w:tabs>
          <w:tab w:val="left" w:pos="2660"/>
        </w:tabs>
        <w:ind w:firstLine="640" w:firstLineChars="200"/>
        <w:rPr>
          <w:rFonts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拔尖班选拔命题旨在选拔出具有深厚数学基础、创新思维和实践能力的学生。具体要求说明如下：</w:t>
      </w:r>
    </w:p>
    <w:p>
      <w:pPr>
        <w:tabs>
          <w:tab w:val="left" w:pos="2660"/>
        </w:tabs>
        <w:ind w:firstLine="640" w:firstLineChars="200"/>
        <w:rPr>
          <w:rFonts w:hint="eastAsia" w:ascii="楷体" w:hAnsi="楷体" w:eastAsia="楷体" w:cs="楷体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</w:rPr>
        <w:t>（一）知识体系和命题特点</w:t>
      </w:r>
    </w:p>
    <w:p>
      <w:pPr>
        <w:tabs>
          <w:tab w:val="left" w:pos="2660"/>
        </w:tabs>
        <w:ind w:firstLine="640" w:firstLineChars="2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基础知识：选拔命题将重点考察学生对数学基础知识、定理和概念的掌握程度等。</w:t>
      </w:r>
    </w:p>
    <w:p>
      <w:pPr>
        <w:tabs>
          <w:tab w:val="left" w:pos="2660"/>
        </w:tabs>
        <w:ind w:firstLine="640" w:firstLineChars="2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综合性：选拔命题将强调知识点的综合应用，通过多知识点组合的方式，考察学生的综合能力和对知识的综合运用能力。</w:t>
      </w:r>
    </w:p>
    <w:p>
      <w:pPr>
        <w:tabs>
          <w:tab w:val="left" w:pos="2660"/>
        </w:tabs>
        <w:ind w:firstLine="640" w:firstLineChars="2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灵活性：命题将注重考察学生的解题灵活性，通过设计不同形式的题目，如选择题、填空题、简答题、证明题、计算题等，考察学生的扎实基础和解题技巧。</w:t>
      </w:r>
    </w:p>
    <w:p>
      <w:pPr>
        <w:tabs>
          <w:tab w:val="left" w:pos="2660"/>
        </w:tabs>
        <w:ind w:firstLine="640" w:firstLineChars="200"/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</w:rPr>
        <w:t>创新性：选拔命题将鼓励创新，通过新颖、独特的题目，激发学生的创新思维和创造力，选拔出具有创新潜力的学生。</w:t>
      </w:r>
    </w:p>
    <w:p>
      <w:pPr>
        <w:tabs>
          <w:tab w:val="left" w:pos="2660"/>
        </w:tabs>
        <w:ind w:firstLine="640" w:firstLineChars="200"/>
        <w:rPr>
          <w:rFonts w:hint="eastAsia" w:ascii="楷体" w:hAnsi="楷体" w:eastAsia="楷体" w:cs="楷体"/>
          <w:bCs/>
          <w:color w:val="auto"/>
          <w:sz w:val="32"/>
          <w:szCs w:val="32"/>
        </w:rPr>
      </w:pPr>
      <w:r>
        <w:rPr>
          <w:rFonts w:hint="eastAsia" w:ascii="楷体" w:hAnsi="楷体" w:eastAsia="楷体" w:cs="楷体"/>
          <w:bCs/>
          <w:color w:val="auto"/>
          <w:sz w:val="32"/>
          <w:szCs w:val="32"/>
        </w:rPr>
        <w:t>（二）命题知识点分布</w:t>
      </w:r>
    </w:p>
    <w:p>
      <w:pPr>
        <w:spacing w:after="0" w:line="240" w:lineRule="auto"/>
        <w:ind w:firstLine="640" w:firstLineChars="200"/>
        <w:jc w:val="both"/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  <w:t>（1）高等数学知识点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教材：</w:t>
      </w:r>
      <w:bookmarkStart w:id="2" w:name="OLE_LINK3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《高等数学》上册，同济大学数学系编，第八版，高等教育出版社，2023。</w:t>
      </w:r>
      <w:bookmarkEnd w:id="2"/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1"/>
        <w:gridCol w:w="6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知识单元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shd w:val="clear" w:color="auto" w:fill="FFFFFF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:shd w:val="clear" w:color="auto" w:fill="FFFFFF"/>
                <w14:ligatures w14:val="none"/>
              </w:rPr>
              <w:t>函数与极限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映射与函数、数列的极限、函数的极限、无穷小与无穷大、极限运算法则、极限存在准则、两个重要极限、无穷小的比较、函数的连续性与间断点、连续函数的运算与初等函数的连续性、闭区间上连续函数的性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导数与微分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导数的概念、函数的求导法则 、高阶导数、隐函数及参数方程所确定的函数的导数、函数的微分。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微分中值定理与导数的应用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微分中值定理、洛比达法则、泰勒公式、单调性与曲线的凹凸性、函数的极值与最大值最小值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不定积分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不定积分的概念与性质 、第一类换元法 、第二类换元法、分部积分法  有理函数的积分。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定积分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定积分的概念与性质、微积分基本公式、定积分的换元法和分部积分法、反常积分。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定积分的应用</w:t>
            </w:r>
          </w:p>
        </w:tc>
        <w:tc>
          <w:tcPr>
            <w:tcW w:w="699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ind w:firstLine="560" w:firstLineChars="20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定积分的元素法、平面图形的面积、体积、平面曲线的弧长。</w:t>
            </w:r>
          </w:p>
        </w:tc>
      </w:tr>
    </w:tbl>
    <w:p>
      <w:pPr>
        <w:spacing w:after="0" w:line="240" w:lineRule="auto"/>
        <w:ind w:firstLine="640" w:firstLineChars="200"/>
        <w:jc w:val="both"/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  <w:t>（2）数学分析知识点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教材：</w:t>
      </w:r>
      <w:bookmarkStart w:id="3" w:name="OLE_LINK4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《数学分析》（上册），第五版，华东师范大学数学科学学院编著，高等教育出版社，2019</w:t>
      </w:r>
      <w:bookmarkEnd w:id="3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。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6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9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bookmarkStart w:id="4" w:name="OLE_LINK6" w:colFirst="0" w:colLast="1"/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知识单元</w:t>
            </w:r>
          </w:p>
        </w:tc>
        <w:tc>
          <w:tcPr>
            <w:tcW w:w="634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知识内容</w:t>
            </w:r>
          </w:p>
        </w:tc>
      </w:tr>
      <w:bookmarkEnd w:id="4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实数集和函数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实数概念、绝对值与不等式、区间与邻域、有界集、确界与确界原理、函数概念，函数的四则运算、复合函数、反函数、基本初等函数与初等函数，具有某些特性的函数（有界函数、单调函数、奇函数与偶函数、周期函数）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数列极限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数列、数列极限的ε—N定义，收敛数列的性质（唯一性、有界性、保号性、不等式性、迫敛性、四则运算），单调有界数列极限存在定理，柯西准则等。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函数极限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函数极限的各种定义，函数极限的性质（唯一性、局部有界性、局部保号性、不等式性、迫敛性、四则运算），归结原则（Heine 定理），柯西准则，两个重要极限，无穷小量及其阶的比较，无穷大量等。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函数的连续性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函数在一点的连续性、单侧连续性、间断点及其分类，在区间上连续的函数，连续函数的局部性质（有界性、保号性）。连续函数的四则运算，复合函数的连续性，闭区间上连续函数的性质（有界性、取得最大值最小值性、介值性、一致连续性），反函数的连续性，初等函数连续性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导数和微分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引入问题（切线问题与瞬时速度问题），导数定义，单侧导数、导函数、导数的几何意义、费马（Fermat）定理，和、差、积、商的导数，反函数的导数，复合函数的导数，初等函数的导数，参变量函数的导数，高阶导数，微分概念与微分的几何意义，微分的运算法则，一阶微分形式不变性，微分在近似计算中的应用，高阶微分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微分中值定理及其应用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ind w:firstLine="56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Rolle中值定理，Lagrange中值定理，Cauchy中值定理，不定式极限，洛比达（L'Hospital）法则，Taylor公式（带Peano余项，带Lagrange余项），Taylor公式在近似计算中应用；极值、最大值与最小值；曲线的凸凹性、拐点，函数图像的讨论，方程近似解等。</w:t>
            </w:r>
          </w:p>
        </w:tc>
      </w:tr>
    </w:tbl>
    <w:p>
      <w:pPr>
        <w:spacing w:after="0" w:line="240" w:lineRule="auto"/>
        <w:ind w:firstLine="640" w:firstLineChars="200"/>
        <w:jc w:val="both"/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</w:pPr>
      <w:r>
        <w:rPr>
          <w:rFonts w:hint="eastAsia" w:ascii="楷体" w:hAnsi="楷体" w:eastAsia="楷体" w:cs="楷体"/>
          <w:color w:val="auto"/>
          <w:kern w:val="0"/>
          <w:sz w:val="32"/>
          <w:szCs w:val="32"/>
          <w14:ligatures w14:val="none"/>
        </w:rPr>
        <w:t>（3）高等代数知识点</w:t>
      </w:r>
    </w:p>
    <w:p>
      <w:pPr>
        <w:spacing w:after="0" w:line="240" w:lineRule="auto"/>
        <w:ind w:firstLine="640" w:firstLineChars="200"/>
        <w:jc w:val="both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教材：</w:t>
      </w:r>
      <w:bookmarkStart w:id="5" w:name="OLE_LINK5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《高等代数》，北京大学系前代数小组编，王萼芳、石生明修订，第五版，高等教育出版社，2019</w:t>
      </w:r>
      <w:bookmarkEnd w:id="5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14:ligatures w14:val="none"/>
        </w:rPr>
        <w:t>。</w:t>
      </w:r>
    </w:p>
    <w:tbl>
      <w:tblPr>
        <w:tblStyle w:val="1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3"/>
        <w:gridCol w:w="65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200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知识单元</w:t>
            </w:r>
          </w:p>
        </w:tc>
        <w:tc>
          <w:tcPr>
            <w:tcW w:w="651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BEBEBE" w:themeFill="background1" w:themeFillShade="BF"/>
            <w:vAlign w:val="center"/>
          </w:tcPr>
          <w:p>
            <w:pPr>
              <w:snapToGrid w:val="0"/>
              <w:spacing w:line="440" w:lineRule="exact"/>
              <w:jc w:val="center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</w:rPr>
              <w:t>知识内容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多项式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  <w:t>数域、一元多项式、整除的概念、最大公因式、因式分解、重因式、多项式函数、复系数与实系数多项式的因式分解、有理系数多项式。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行列式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  <w:t>排列、n阶行列式 、n阶行列式的性质、行列式的计算、行列式按行展开、克莱姆法则。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线性方程组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  <w:t>消元法、n维向量空间、线性相关性、矩阵的秩、有解判别定理、 线性方程组解的结构。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75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napToGrid w:val="0"/>
              <w:spacing w:after="0" w:line="4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8"/>
                <w:szCs w:val="28"/>
                <w14:ligatures w14:val="none"/>
              </w:rPr>
              <w:t>矩阵</w:t>
            </w:r>
          </w:p>
        </w:tc>
        <w:tc>
          <w:tcPr>
            <w:tcW w:w="3824" w:type="pc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EFEFE"/>
            <w:vAlign w:val="center"/>
          </w:tcPr>
          <w:p>
            <w:pPr>
              <w:spacing w:after="0" w:line="440" w:lineRule="exact"/>
              <w:jc w:val="left"/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kern w:val="0"/>
                <w:sz w:val="28"/>
                <w:szCs w:val="28"/>
                <w14:ligatures w14:val="none"/>
              </w:rPr>
              <w:t>矩阵的概念 、矩阵的运算、矩阵乘积的行列式与秩、矩阵的逆、矩阵的分块、初等矩阵、分块矩阵。</w:t>
            </w:r>
          </w:p>
        </w:tc>
      </w:tr>
    </w:tbl>
    <w:p>
      <w:pPr>
        <w:rPr>
          <w:rFonts w:hint="eastAsia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zZmJhYmIwZDdmM2FjNTYzNDI0YjBmZDY0NzYyMTMifQ=="/>
    <w:docVar w:name="KSO_WPS_MARK_KEY" w:val="a82c9c65-7bd0-4e68-ae1c-aea29e9e7f17"/>
  </w:docVars>
  <w:rsids>
    <w:rsidRoot w:val="000C25CB"/>
    <w:rsid w:val="00012E08"/>
    <w:rsid w:val="000174EE"/>
    <w:rsid w:val="000C25CB"/>
    <w:rsid w:val="0024660B"/>
    <w:rsid w:val="002E737E"/>
    <w:rsid w:val="00365017"/>
    <w:rsid w:val="0038461B"/>
    <w:rsid w:val="00490C48"/>
    <w:rsid w:val="00536316"/>
    <w:rsid w:val="005D547C"/>
    <w:rsid w:val="00635C27"/>
    <w:rsid w:val="0064091A"/>
    <w:rsid w:val="006831A2"/>
    <w:rsid w:val="006A4167"/>
    <w:rsid w:val="006B4DB7"/>
    <w:rsid w:val="006E048D"/>
    <w:rsid w:val="006F7563"/>
    <w:rsid w:val="00725F41"/>
    <w:rsid w:val="008A3006"/>
    <w:rsid w:val="008C2E51"/>
    <w:rsid w:val="008C4FF1"/>
    <w:rsid w:val="00974B4B"/>
    <w:rsid w:val="00984E15"/>
    <w:rsid w:val="00A705A2"/>
    <w:rsid w:val="00A711FF"/>
    <w:rsid w:val="00A93922"/>
    <w:rsid w:val="00B02E35"/>
    <w:rsid w:val="00B20ECC"/>
    <w:rsid w:val="00C34CB0"/>
    <w:rsid w:val="00C91F24"/>
    <w:rsid w:val="00CD7072"/>
    <w:rsid w:val="00DF402E"/>
    <w:rsid w:val="00DF5AB3"/>
    <w:rsid w:val="00E61A2B"/>
    <w:rsid w:val="00E66C3D"/>
    <w:rsid w:val="00E959C4"/>
    <w:rsid w:val="00F10D07"/>
    <w:rsid w:val="00F40A31"/>
    <w:rsid w:val="00F666E5"/>
    <w:rsid w:val="00F924A3"/>
    <w:rsid w:val="20990EE8"/>
    <w:rsid w:val="2553102B"/>
    <w:rsid w:val="462C1ACD"/>
    <w:rsid w:val="5D964270"/>
    <w:rsid w:val="775B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table" w:customStyle="1" w:styleId="38">
    <w:name w:val="网格型1"/>
    <w:basedOn w:val="15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2632</Words>
  <Characters>2700</Characters>
  <Lines>19</Lines>
  <Paragraphs>5</Paragraphs>
  <TotalTime>36</TotalTime>
  <ScaleCrop>false</ScaleCrop>
  <LinksUpToDate>false</LinksUpToDate>
  <CharactersWithSpaces>2709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2025-01-22T05:11:00Z</dcterms:created>
  <dc:creator>Coco Wang</dc:creator>
  <cp:lastModifiedBy>陈英楠</cp:lastModifiedBy>
  <dcterms:modified xsi:type="dcterms:W3CDTF">2025-02-13T04:20:25Z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AF13BBC056C544989DA1E8210EE7F7DB_13</vt:lpwstr>
  </property>
</Properties>
</file>