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val="0"/>
          <w:color w:val="auto"/>
          <w:kern w:val="0"/>
          <w:sz w:val="44"/>
          <w:szCs w:val="44"/>
          <w:lang w:val="en-US" w:eastAsia="zh-CN" w:bidi="ar-SA"/>
        </w:rPr>
      </w:pPr>
      <w:bookmarkStart w:id="0" w:name="OLE_LINK2"/>
      <w:r>
        <w:rPr>
          <w:rFonts w:hint="eastAsia" w:ascii="方正小标宋简体" w:hAnsi="方正小标宋简体" w:eastAsia="方正小标宋简体" w:cs="方正小标宋简体"/>
          <w:b w:val="0"/>
          <w:bCs w:val="0"/>
          <w:color w:val="auto"/>
          <w:kern w:val="0"/>
          <w:sz w:val="44"/>
          <w:szCs w:val="44"/>
          <w:lang w:val="en-US" w:eastAsia="zh-CN" w:bidi="ar-SA"/>
        </w:rPr>
        <w:t>长春工业大学</w:t>
      </w:r>
      <w:bookmarkStart w:id="1" w:name="OLE_LINK1"/>
      <w:r>
        <w:rPr>
          <w:rFonts w:hint="eastAsia" w:ascii="方正小标宋简体" w:hAnsi="方正小标宋简体" w:eastAsia="方正小标宋简体" w:cs="方正小标宋简体"/>
          <w:b w:val="0"/>
          <w:bCs w:val="0"/>
          <w:color w:val="auto"/>
          <w:kern w:val="0"/>
          <w:sz w:val="44"/>
          <w:szCs w:val="44"/>
          <w:lang w:val="en-US" w:eastAsia="zh-CN" w:bidi="ar-SA"/>
        </w:rPr>
        <w:t>化学拔尖学生培养基地（化学专业）</w:t>
      </w:r>
      <w:bookmarkEnd w:id="1"/>
      <w:r>
        <w:rPr>
          <w:rFonts w:hint="eastAsia" w:ascii="方正小标宋简体" w:hAnsi="方正小标宋简体" w:eastAsia="方正小标宋简体" w:cs="方正小标宋简体"/>
          <w:b w:val="0"/>
          <w:bCs w:val="0"/>
          <w:color w:val="auto"/>
          <w:kern w:val="0"/>
          <w:sz w:val="44"/>
          <w:szCs w:val="44"/>
          <w:lang w:val="en-US" w:eastAsia="zh-CN" w:bidi="ar-SA"/>
        </w:rPr>
        <w:t>相关政策及遴选笔试命题说明</w:t>
      </w:r>
    </w:p>
    <w:bookmarkEnd w:id="0"/>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auto"/>
          <w:kern w:val="0"/>
          <w:sz w:val="32"/>
          <w:szCs w:val="32"/>
          <w:lang w:val="en-US" w:eastAsia="zh-CN" w:bidi="ar-SA"/>
        </w:rPr>
      </w:pPr>
      <w:bookmarkStart w:id="2" w:name="OLE_LINK3"/>
      <w:r>
        <w:rPr>
          <w:rFonts w:hint="eastAsia" w:ascii="黑体" w:hAnsi="黑体" w:eastAsia="黑体" w:cs="黑体"/>
          <w:color w:val="auto"/>
          <w:kern w:val="0"/>
          <w:sz w:val="32"/>
          <w:szCs w:val="32"/>
          <w:lang w:val="en-US" w:eastAsia="zh-CN" w:bidi="ar-SA"/>
        </w:rPr>
        <w:t>一、专业简介</w:t>
      </w:r>
    </w:p>
    <w:bookmarkEnd w:id="2"/>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长春工业大学化学专业创建于2007年，2011年获化学一级学科硕士学位授予权，2018年获化学一级学科博士学位授予权，同年被评为吉林省“十三五”优势特色学科B类；2019年被评为吉林省基础学科拔尖学生培养基地、国家级一流本科专业建设点；2021年，化学学科进入ESI全球排名前1%。专业以立足吉林，面向全国，服务国家特别是吉林省经济社会发展和现代工业建设为办学服务宗旨。依托学校的工科背景优势，注重学科交叉融合，形成了以理为主，理工结合的专业特色。本专业现有1个省级教学团队、4门省级精品优秀教学资源课、2个省级重点实验室和1个省级教学示范中心，形成了严格的教学管理制度，具有完善的教学基础设施，为培养学生基本实验技能、创新实践能力提供保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化学专业培养的学生应系统、扎实地掌握化学基础知识、基本理论和基本技能，同时还需掌握必要的数学和物理学等相关学科的基本内容，具有从事化学专业基础研究、应用开发及在化学化工、生命科学、材料科学、能源科学、环境科学、药学等学科领域开展工作的能力，毕业生具有学科视野开阔、行业适应面宽、工作能力强等突出特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3" w:name="OLE_LINK4"/>
      <w:r>
        <w:rPr>
          <w:rFonts w:hint="eastAsia" w:ascii="黑体" w:hAnsi="黑体" w:eastAsia="黑体" w:cs="黑体"/>
          <w:b w:val="0"/>
          <w:bCs w:val="0"/>
          <w:color w:val="auto"/>
          <w:sz w:val="32"/>
          <w:szCs w:val="32"/>
          <w:lang w:val="en-US" w:eastAsia="zh-CN"/>
        </w:rPr>
        <w:t>二、相关政策</w:t>
      </w:r>
    </w:p>
    <w:bookmarkEnd w:id="3"/>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为贯彻新时代全国高等学校本科教育工作会议精神，深入实施基础学科拔尖学生培养计划2.0，加快培养基础学科拔尖人才，促进我国基础科学研究水平的提升，根据《教育部等六部门关于实施基础学科拔尖学生培养计划2.0的意见》（教高〔2018〕8号）等文件要求，</w:t>
      </w:r>
      <w:r>
        <w:rPr>
          <w:rFonts w:hint="eastAsia" w:ascii="仿宋_GB2312" w:hAnsi="仿宋_GB2312" w:eastAsia="仿宋_GB2312" w:cs="仿宋_GB2312"/>
          <w:color w:val="auto"/>
          <w:sz w:val="32"/>
          <w:szCs w:val="32"/>
          <w:lang w:val="en-US" w:eastAsia="zh-CN"/>
        </w:rPr>
        <w:t>保障化学专业</w:t>
      </w:r>
      <w:r>
        <w:rPr>
          <w:rFonts w:hint="eastAsia" w:ascii="仿宋_GB2312" w:hAnsi="仿宋_GB2312" w:eastAsia="仿宋_GB2312" w:cs="仿宋_GB2312"/>
          <w:color w:val="auto"/>
          <w:sz w:val="32"/>
          <w:szCs w:val="32"/>
        </w:rPr>
        <w:t>拔尖学生培养计划</w:t>
      </w:r>
      <w:r>
        <w:rPr>
          <w:rFonts w:hint="eastAsia" w:ascii="仿宋_GB2312" w:hAnsi="仿宋_GB2312" w:eastAsia="仿宋_GB2312" w:cs="仿宋_GB2312"/>
          <w:color w:val="auto"/>
          <w:sz w:val="32"/>
          <w:szCs w:val="32"/>
          <w:lang w:val="en-US" w:eastAsia="zh-CN"/>
        </w:rPr>
        <w:t>的实施，结合院校实际，制定了保障化学基地班运行的相关政策。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学院为入选“拔尖基地班”的学生颁发入选荣誉证书，经考核合格后，拔尖基地班全体学生除享受我校组织申报的国家奖学金、省政府奖学金和学业奖学金等各类奖学金外，还享受由社会各界资助的“拔尖基地班”专项奖学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学院为“拔尖基地班”制定独立的专业人才培养方案，除科学设置本专业核心课程外，还增设了与生物、食品、能源、材料、环境、化工等交叉学科的专业方向选修课程，以满足基地班学生对不同研究方向的兴趣需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拔尖基地班人才培养实施全程导师制，学院为拔尖基地班每一名学生配备一流的学术导师，导师100%具备博士学位，100%具备博士和硕士生导师资格，100%具有省级及以上教学称号、学术称号或人才称号。同时，学院将邀请院士、杰青、优青、万人计划教学名师等国内外著名学者来校讲学、座谈、报告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bookmarkStart w:id="7" w:name="_GoBack"/>
      <w:bookmarkEnd w:id="7"/>
      <w:r>
        <w:rPr>
          <w:rFonts w:hint="eastAsia" w:ascii="仿宋_GB2312" w:hAnsi="仿宋_GB2312" w:eastAsia="仿宋_GB2312" w:cs="仿宋_GB2312"/>
          <w:color w:val="auto"/>
          <w:sz w:val="32"/>
          <w:szCs w:val="32"/>
          <w:lang w:val="en-US" w:eastAsia="zh-CN"/>
        </w:rPr>
        <w:t>4.学院设立专项经费用于“拔尖基地班”开展各类科创活动，为国家级、省级大学生创新创业训练计划项目按1:1配套资助经费。同时，每年选拔1-2名学生在导师指导下赴国内外参加学术交流活动，报销参会住宿费、交通费和注册费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5.“拔尖基地班”所有课程实行小班化授课，鼓励教师创新教学模式，改革考核方式，引导学生开展自主性、研究性学习，使“拔尖基地班”的课程更加丰富、更加灵活、更加有趣。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6.学院鼓励拔尖基地班学生参加各级各类学科竞赛，并报销与学科竞赛相关的报名费、注册费和差旅费等。同时，学院报销学生在参加各类科创活动中所产生的论文审稿费、论文版面费、专利申请费、书费等。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7.学院将积极加强专业建设，向学校申请更多的保研名额；若考取本校研究生，同等条件下优先考虑；若考取校外研究生或出国留学，学院将帮助学生积极联系学校和导师，具有优先推荐权。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学院为拔尖基地班学生配备了优秀青年教师担任班导师，为拔尖学生提供课程及学术方向等咨询与建议、学术活动的组织及通知、学生学术动态的管理与信息收集、协助奖学金的评定、拔尖学生遴选淘汰分流考核等组织工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color w:val="auto"/>
          <w:lang w:val="en-US" w:eastAsia="zh-CN"/>
        </w:rPr>
      </w:pPr>
      <w:r>
        <w:rPr>
          <w:rFonts w:hint="eastAsia" w:ascii="仿宋_GB2312" w:hAnsi="仿宋_GB2312" w:eastAsia="仿宋_GB2312" w:cs="仿宋_GB2312"/>
          <w:color w:val="auto"/>
          <w:sz w:val="32"/>
          <w:szCs w:val="32"/>
          <w:lang w:val="en-US" w:eastAsia="zh-CN"/>
        </w:rPr>
        <w:t>9.通过实施长春工业大学化学拔尖学生培养计划，进一步提升化学领域拔尖创新人才培养水平，培养造就一批具有家国情怀、人文情怀、世界胸怀，追求学术理想、勇攀科学高峰，促进人类文化进步的化学学科领域未来的领军人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b w:val="0"/>
          <w:bCs w:val="0"/>
          <w:color w:val="auto"/>
          <w:sz w:val="32"/>
          <w:szCs w:val="32"/>
          <w:lang w:val="en-US" w:eastAsia="zh-CN"/>
        </w:rPr>
      </w:pPr>
      <w:bookmarkStart w:id="4" w:name="OLE_LINK5"/>
      <w:r>
        <w:rPr>
          <w:rFonts w:hint="eastAsia" w:ascii="黑体" w:hAnsi="黑体" w:eastAsia="黑体" w:cs="黑体"/>
          <w:b w:val="0"/>
          <w:bCs w:val="0"/>
          <w:color w:val="auto"/>
          <w:sz w:val="32"/>
          <w:szCs w:val="32"/>
          <w:lang w:val="en-US" w:eastAsia="zh-CN"/>
        </w:rPr>
        <w:t>三、命题说明</w:t>
      </w:r>
    </w:p>
    <w:bookmarkEnd w:id="4"/>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化学拔尖班选拔命题旨在选拔出具有深厚化学基础、创新思维和实践能力的学生。具体要求说明如下：</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（一）知识体系要求</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基础知识掌握：选拔命题将重点考察学生对化学基础知识、原理和概念的掌握程度，包括但不限于化学元素周期律、化学反应原理、物质结构与性质等。</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跨学科思维：命题将强调化学与其他学科的交叉融合，考察学生运用跨学科思维方法解决问题的能力，如化学与物理、生物、数学等学科的交叉点。</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解决问题能力：选拔命题将设置具有一定难度和挑战性的问题，考察学生运用所学知识解决实际问题的能力，包括分析、综合、判断、推理等能力。</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（二）命题特点</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综合性：选拔命题将强调知识点的综合应用，通过多知识点组合的方式，考察学生的综合能力和对知识的综合运用能力。</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灵活性：命题将注重考察学生的解题灵活性，通过设计不同形式的题目，如选择题、填空题、简答题等，考察学生的应变能力和解题技巧。</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创新性：选拔命题将鼓励创新，通过设计新颖、独特的题目，激发学生的创新思维和创造力，选拔出具有创新潜力的学生。</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（三）命题知识点分布</w:t>
      </w:r>
    </w:p>
    <w:p>
      <w:pPr>
        <w:keepNext w:val="0"/>
        <w:keepLines w:val="0"/>
        <w:pageBreakBefore w:val="0"/>
        <w:widowControl w:val="0"/>
        <w:numPr>
          <w:ilvl w:val="0"/>
          <w:numId w:val="0"/>
        </w:numPr>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无机化学为大学化学基础课程，知识点要求见下表。</w:t>
      </w:r>
    </w:p>
    <w:p>
      <w:pPr>
        <w:keepNext w:val="0"/>
        <w:keepLines w:val="0"/>
        <w:pageBreakBefore w:val="0"/>
        <w:widowControl w:val="0"/>
        <w:tabs>
          <w:tab w:val="left" w:pos="2660"/>
        </w:tabs>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rPr>
      </w:pPr>
      <w:bookmarkStart w:id="5" w:name="OLE_LINK7"/>
      <w:r>
        <w:rPr>
          <w:rFonts w:hint="eastAsia" w:ascii="仿宋_GB2312" w:hAnsi="仿宋_GB2312" w:eastAsia="仿宋_GB2312" w:cs="仿宋_GB2312"/>
          <w:b w:val="0"/>
          <w:bCs/>
          <w:color w:val="auto"/>
          <w:sz w:val="32"/>
          <w:szCs w:val="32"/>
          <w:lang w:val="en-US"/>
        </w:rPr>
        <w:t>《无机化学》</w:t>
      </w:r>
      <w:r>
        <w:rPr>
          <w:rFonts w:hint="eastAsia" w:ascii="仿宋_GB2312" w:hAnsi="仿宋_GB2312" w:eastAsia="仿宋_GB2312" w:cs="仿宋_GB2312"/>
          <w:b w:val="0"/>
          <w:bCs/>
          <w:color w:val="auto"/>
          <w:sz w:val="32"/>
          <w:szCs w:val="32"/>
          <w:lang w:val="en-US" w:eastAsia="zh-CN"/>
        </w:rPr>
        <w:t>参考</w:t>
      </w:r>
      <w:r>
        <w:rPr>
          <w:rFonts w:hint="eastAsia" w:ascii="仿宋_GB2312" w:hAnsi="仿宋_GB2312" w:eastAsia="仿宋_GB2312" w:cs="仿宋_GB2312"/>
          <w:b w:val="0"/>
          <w:bCs/>
          <w:color w:val="auto"/>
          <w:sz w:val="32"/>
          <w:szCs w:val="32"/>
        </w:rPr>
        <w:t>教材：宋天佑，吉林大学，高等教育出版社，20</w:t>
      </w:r>
      <w:r>
        <w:rPr>
          <w:rFonts w:hint="eastAsia" w:ascii="仿宋_GB2312" w:hAnsi="仿宋_GB2312" w:eastAsia="仿宋_GB2312" w:cs="仿宋_GB2312"/>
          <w:b w:val="0"/>
          <w:bCs/>
          <w:color w:val="auto"/>
          <w:sz w:val="32"/>
          <w:szCs w:val="32"/>
          <w:lang w:val="en-US"/>
        </w:rPr>
        <w:t>19</w:t>
      </w:r>
      <w:r>
        <w:rPr>
          <w:rFonts w:hint="eastAsia" w:ascii="仿宋_GB2312" w:hAnsi="仿宋_GB2312" w:eastAsia="仿宋_GB2312" w:cs="仿宋_GB2312"/>
          <w:b w:val="0"/>
          <w:bCs/>
          <w:color w:val="auto"/>
          <w:sz w:val="32"/>
          <w:szCs w:val="32"/>
        </w:rPr>
        <w:t>年</w:t>
      </w:r>
      <w:r>
        <w:rPr>
          <w:rFonts w:hint="eastAsia" w:ascii="仿宋_GB2312" w:hAnsi="仿宋_GB2312" w:eastAsia="仿宋_GB2312" w:cs="仿宋_GB2312"/>
          <w:b w:val="0"/>
          <w:bCs/>
          <w:color w:val="auto"/>
          <w:sz w:val="32"/>
          <w:szCs w:val="32"/>
          <w:lang w:val="en-US"/>
        </w:rPr>
        <w:t>6</w:t>
      </w:r>
      <w:r>
        <w:rPr>
          <w:rFonts w:hint="eastAsia" w:ascii="仿宋_GB2312" w:hAnsi="仿宋_GB2312" w:eastAsia="仿宋_GB2312" w:cs="仿宋_GB2312"/>
          <w:b w:val="0"/>
          <w:bCs/>
          <w:color w:val="auto"/>
          <w:sz w:val="32"/>
          <w:szCs w:val="32"/>
        </w:rPr>
        <w:t>月</w:t>
      </w:r>
      <w:bookmarkEnd w:id="5"/>
    </w:p>
    <w:tbl>
      <w:tblPr>
        <w:tblStyle w:val="4"/>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99"/>
        <w:gridCol w:w="7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3" w:hRule="atLeast"/>
          <w:jc w:val="center"/>
        </w:trPr>
        <w:tc>
          <w:tcPr>
            <w:tcW w:w="1499" w:type="dxa"/>
            <w:shd w:val="clear" w:color="auto" w:fill="BEBEBE" w:themeFill="background1" w:themeFillShade="BF"/>
            <w:vAlign w:val="center"/>
          </w:tcPr>
          <w:p>
            <w:pPr>
              <w:snapToGrid w:val="0"/>
              <w:spacing w:after="0" w:line="440" w:lineRule="exact"/>
              <w:jc w:val="center"/>
              <w:rPr>
                <w:rFonts w:hint="eastAsia" w:ascii="仿宋_GB2312" w:hAnsi="仿宋_GB2312" w:eastAsia="仿宋_GB2312" w:cs="仿宋_GB2312"/>
                <w:bCs/>
                <w:color w:val="auto"/>
                <w:sz w:val="28"/>
                <w:szCs w:val="28"/>
                <w:lang w:val="en-US"/>
              </w:rPr>
            </w:pPr>
            <w:bookmarkStart w:id="6" w:name="OLE_LINK6" w:colFirst="0" w:colLast="1"/>
            <w:r>
              <w:rPr>
                <w:rFonts w:hint="eastAsia" w:ascii="仿宋_GB2312" w:hAnsi="仿宋_GB2312" w:eastAsia="仿宋_GB2312" w:cs="仿宋_GB2312"/>
                <w:bCs/>
                <w:color w:val="auto"/>
                <w:sz w:val="28"/>
                <w:szCs w:val="28"/>
                <w:lang w:val="en-US"/>
              </w:rPr>
              <w:t>知识单元</w:t>
            </w:r>
          </w:p>
        </w:tc>
        <w:tc>
          <w:tcPr>
            <w:tcW w:w="7319" w:type="dxa"/>
            <w:shd w:val="clear" w:color="auto" w:fill="BEBEBE" w:themeFill="background1" w:themeFillShade="BF"/>
            <w:vAlign w:val="center"/>
          </w:tcPr>
          <w:p>
            <w:pPr>
              <w:snapToGrid w:val="0"/>
              <w:spacing w:after="0" w:line="440" w:lineRule="exact"/>
              <w:jc w:val="center"/>
              <w:rPr>
                <w:rFonts w:hint="eastAsia" w:ascii="仿宋_GB2312" w:hAnsi="仿宋_GB2312" w:eastAsia="仿宋_GB2312" w:cs="仿宋_GB2312"/>
                <w:bCs/>
                <w:color w:val="auto"/>
                <w:sz w:val="28"/>
                <w:szCs w:val="28"/>
                <w:lang w:val="en-US"/>
              </w:rPr>
            </w:pPr>
            <w:r>
              <w:rPr>
                <w:rFonts w:hint="eastAsia" w:ascii="仿宋_GB2312" w:hAnsi="仿宋_GB2312" w:eastAsia="仿宋_GB2312" w:cs="仿宋_GB2312"/>
                <w:bCs/>
                <w:color w:val="auto"/>
                <w:sz w:val="28"/>
                <w:szCs w:val="28"/>
                <w:lang w:val="en-US" w:eastAsia="zh-CN"/>
              </w:rPr>
              <w:t>知识</w:t>
            </w:r>
            <w:r>
              <w:rPr>
                <w:rFonts w:hint="eastAsia" w:ascii="仿宋_GB2312" w:hAnsi="仿宋_GB2312" w:eastAsia="仿宋_GB2312" w:cs="仿宋_GB2312"/>
                <w:bCs/>
                <w:color w:val="auto"/>
                <w:sz w:val="28"/>
                <w:szCs w:val="28"/>
                <w:lang w:val="en-US"/>
              </w:rPr>
              <w:t>内容</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rPr>
              <w:t>绪论</w:t>
            </w:r>
          </w:p>
        </w:tc>
        <w:tc>
          <w:tcPr>
            <w:tcW w:w="731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jc w:val="both"/>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kern w:val="2"/>
                <w:sz w:val="28"/>
                <w:szCs w:val="28"/>
                <w:lang w:val="en-US" w:bidi="ar-SA"/>
              </w:rPr>
              <w:t>无机化学研究的对象、发展前景；</w:t>
            </w:r>
            <w:r>
              <w:rPr>
                <w:rFonts w:hint="eastAsia" w:ascii="仿宋_GB2312" w:hAnsi="仿宋_GB2312" w:eastAsia="仿宋_GB2312" w:cs="仿宋_GB2312"/>
                <w:b w:val="0"/>
                <w:bCs/>
                <w:color w:val="auto"/>
                <w:sz w:val="28"/>
                <w:szCs w:val="28"/>
              </w:rPr>
              <w:t>无机化学在现代化建设中的作用</w:t>
            </w:r>
            <w:r>
              <w:rPr>
                <w:rFonts w:hint="eastAsia" w:ascii="仿宋_GB2312" w:hAnsi="仿宋_GB2312" w:eastAsia="仿宋_GB2312" w:cs="仿宋_GB2312"/>
                <w:b w:val="0"/>
                <w:bCs/>
                <w:color w:val="auto"/>
                <w:kern w:val="2"/>
                <w:sz w:val="28"/>
                <w:szCs w:val="28"/>
                <w:lang w:val="en-US"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lang w:bidi="ar-SA"/>
              </w:rPr>
              <w:t>化学基础知识</w:t>
            </w:r>
          </w:p>
        </w:tc>
        <w:tc>
          <w:tcPr>
            <w:tcW w:w="731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jc w:val="both"/>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kern w:val="2"/>
                <w:sz w:val="28"/>
                <w:szCs w:val="28"/>
                <w:lang w:val="en-US" w:bidi="ar-SA"/>
              </w:rPr>
              <w:t>溶液的浓度和溶解度；非电解质稀溶液通性；阿累尼乌斯的电离理论，强电解质溶液，表观电离度，活度系数、离子强度及相互关系。重点是溶液的浓度和溶解度，非电解质稀溶液通性。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bidi="ar-SA"/>
              </w:rPr>
            </w:pPr>
            <w:r>
              <w:rPr>
                <w:rFonts w:hint="eastAsia" w:ascii="仿宋_GB2312" w:hAnsi="仿宋_GB2312" w:eastAsia="仿宋_GB2312" w:cs="仿宋_GB2312"/>
                <w:b w:val="0"/>
                <w:bCs/>
                <w:color w:val="auto"/>
                <w:sz w:val="28"/>
                <w:szCs w:val="28"/>
                <w:lang w:bidi="ar-SA"/>
              </w:rPr>
              <w:t>化学热力学基础</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kern w:val="2"/>
                <w:sz w:val="28"/>
                <w:szCs w:val="28"/>
                <w:lang w:val="en-US" w:bidi="ar-SA"/>
              </w:rPr>
            </w:pPr>
            <w:r>
              <w:rPr>
                <w:rFonts w:hint="eastAsia" w:ascii="仿宋_GB2312" w:hAnsi="仿宋_GB2312" w:eastAsia="仿宋_GB2312" w:cs="仿宋_GB2312"/>
                <w:b w:val="0"/>
                <w:bCs/>
                <w:color w:val="auto"/>
                <w:kern w:val="2"/>
                <w:sz w:val="28"/>
                <w:szCs w:val="28"/>
                <w:lang w:val="en-US" w:bidi="ar-SA"/>
              </w:rPr>
              <w:t>热力学常用术语；理想气体状态方程，分压定律和扩散定律；热力学第一定律和热化学；化学反应方向的判断，吉布斯－亥姆霍兹公式：Δ</w:t>
            </w:r>
            <w:r>
              <w:rPr>
                <w:rFonts w:hint="eastAsia" w:ascii="仿宋_GB2312" w:hAnsi="仿宋_GB2312" w:eastAsia="仿宋_GB2312" w:cs="仿宋_GB2312"/>
                <w:b w:val="0"/>
                <w:bCs/>
                <w:i/>
                <w:iCs/>
                <w:color w:val="auto"/>
                <w:kern w:val="2"/>
                <w:sz w:val="28"/>
                <w:szCs w:val="28"/>
                <w:lang w:val="en-US" w:bidi="ar-SA"/>
              </w:rPr>
              <w:t>G</w:t>
            </w:r>
            <w:r>
              <w:rPr>
                <w:rFonts w:hint="eastAsia" w:ascii="仿宋_GB2312" w:hAnsi="仿宋_GB2312" w:eastAsia="仿宋_GB2312" w:cs="仿宋_GB2312"/>
                <w:b w:val="0"/>
                <w:bCs/>
                <w:color w:val="auto"/>
                <w:kern w:val="2"/>
                <w:sz w:val="28"/>
                <w:szCs w:val="28"/>
                <w:lang w:val="en-US" w:bidi="ar-SA"/>
              </w:rPr>
              <w:t>＝Δ</w:t>
            </w:r>
            <w:r>
              <w:rPr>
                <w:rFonts w:hint="eastAsia" w:ascii="仿宋_GB2312" w:hAnsi="仿宋_GB2312" w:eastAsia="仿宋_GB2312" w:cs="仿宋_GB2312"/>
                <w:b w:val="0"/>
                <w:bCs/>
                <w:i/>
                <w:iCs/>
                <w:color w:val="auto"/>
                <w:kern w:val="2"/>
                <w:sz w:val="28"/>
                <w:szCs w:val="28"/>
                <w:lang w:val="en-US" w:bidi="ar-SA"/>
              </w:rPr>
              <w:t>H</w:t>
            </w:r>
            <w:r>
              <w:rPr>
                <w:rFonts w:hint="eastAsia" w:ascii="仿宋_GB2312" w:hAnsi="仿宋_GB2312" w:eastAsia="仿宋_GB2312" w:cs="仿宋_GB2312"/>
                <w:b w:val="0"/>
                <w:bCs/>
                <w:color w:val="auto"/>
                <w:kern w:val="2"/>
                <w:sz w:val="28"/>
                <w:szCs w:val="28"/>
                <w:lang w:val="en-US" w:bidi="ar-SA"/>
              </w:rPr>
              <w:t xml:space="preserve"> - </w:t>
            </w:r>
            <w:r>
              <w:rPr>
                <w:rFonts w:hint="eastAsia" w:ascii="仿宋_GB2312" w:hAnsi="仿宋_GB2312" w:eastAsia="仿宋_GB2312" w:cs="仿宋_GB2312"/>
                <w:b w:val="0"/>
                <w:bCs/>
                <w:i/>
                <w:iCs/>
                <w:color w:val="auto"/>
                <w:kern w:val="2"/>
                <w:sz w:val="28"/>
                <w:szCs w:val="28"/>
                <w:lang w:val="en-US" w:bidi="ar-SA"/>
              </w:rPr>
              <w:t>T</w:t>
            </w:r>
            <w:r>
              <w:rPr>
                <w:rFonts w:hint="eastAsia" w:ascii="仿宋_GB2312" w:hAnsi="仿宋_GB2312" w:eastAsia="仿宋_GB2312" w:cs="仿宋_GB2312"/>
                <w:b w:val="0"/>
                <w:bCs/>
                <w:color w:val="auto"/>
                <w:kern w:val="2"/>
                <w:sz w:val="28"/>
                <w:szCs w:val="28"/>
                <w:lang w:val="en-US" w:bidi="ar-SA"/>
              </w:rPr>
              <w:t>Δ</w:t>
            </w:r>
            <w:r>
              <w:rPr>
                <w:rFonts w:hint="eastAsia" w:ascii="仿宋_GB2312" w:hAnsi="仿宋_GB2312" w:eastAsia="仿宋_GB2312" w:cs="仿宋_GB2312"/>
                <w:b w:val="0"/>
                <w:bCs/>
                <w:i/>
                <w:iCs/>
                <w:color w:val="auto"/>
                <w:kern w:val="2"/>
                <w:sz w:val="28"/>
                <w:szCs w:val="28"/>
                <w:lang w:val="en-US" w:bidi="ar-SA"/>
              </w:rPr>
              <w:t>S</w:t>
            </w:r>
            <w:r>
              <w:rPr>
                <w:rFonts w:hint="eastAsia" w:ascii="仿宋_GB2312" w:hAnsi="仿宋_GB2312" w:eastAsia="仿宋_GB2312" w:cs="仿宋_GB2312"/>
                <w:b w:val="0"/>
                <w:bCs/>
                <w:color w:val="auto"/>
                <w:kern w:val="2"/>
                <w:sz w:val="28"/>
                <w:szCs w:val="28"/>
                <w:lang w:val="en-US" w:bidi="ar-SA"/>
              </w:rPr>
              <w:t>；化学反应等温式。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bidi="ar-SA"/>
              </w:rPr>
            </w:pPr>
            <w:r>
              <w:rPr>
                <w:rFonts w:hint="eastAsia" w:ascii="仿宋_GB2312" w:hAnsi="仿宋_GB2312" w:eastAsia="仿宋_GB2312" w:cs="仿宋_GB2312"/>
                <w:b w:val="0"/>
                <w:bCs/>
                <w:color w:val="auto"/>
                <w:sz w:val="28"/>
                <w:szCs w:val="28"/>
                <w:lang w:bidi="ar-SA"/>
              </w:rPr>
              <w:t>化学动力学基础</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kern w:val="2"/>
                <w:sz w:val="28"/>
                <w:szCs w:val="28"/>
                <w:lang w:val="en-US" w:bidi="ar-SA"/>
              </w:rPr>
            </w:pPr>
            <w:r>
              <w:rPr>
                <w:rFonts w:hint="eastAsia" w:ascii="仿宋_GB2312" w:hAnsi="仿宋_GB2312" w:eastAsia="仿宋_GB2312" w:cs="仿宋_GB2312"/>
                <w:b w:val="0"/>
                <w:bCs/>
                <w:color w:val="auto"/>
                <w:kern w:val="2"/>
                <w:sz w:val="28"/>
                <w:szCs w:val="28"/>
                <w:lang w:val="en-US" w:bidi="ar-SA"/>
              </w:rPr>
              <w:t>化学反应速率的表示法；质量作用定律；影响化学反应速率的因素；反应级数及其测定；由反应机理推导实验速率方程；反应速率理论。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lang w:bidi="ar-SA"/>
              </w:rPr>
              <w:t>化学平衡</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kern w:val="2"/>
                <w:sz w:val="28"/>
                <w:szCs w:val="28"/>
                <w:lang w:val="en-US" w:bidi="ar-SA"/>
              </w:rPr>
              <w:t>可逆反应和化学平衡；平衡常数；多重平衡规则；化学平衡的移动。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bidi="ar-SA"/>
              </w:rPr>
            </w:pPr>
            <w:r>
              <w:rPr>
                <w:rFonts w:hint="eastAsia" w:ascii="仿宋_GB2312" w:hAnsi="仿宋_GB2312" w:eastAsia="仿宋_GB2312" w:cs="仿宋_GB2312"/>
                <w:b w:val="0"/>
                <w:bCs/>
                <w:color w:val="auto"/>
                <w:sz w:val="28"/>
                <w:szCs w:val="28"/>
                <w:lang w:bidi="ar-SA"/>
              </w:rPr>
              <w:t>酸碱反应</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kern w:val="2"/>
                <w:sz w:val="28"/>
                <w:szCs w:val="28"/>
                <w:lang w:val="en-US" w:bidi="ar-SA"/>
              </w:rPr>
            </w:pPr>
            <w:r>
              <w:rPr>
                <w:rFonts w:hint="eastAsia" w:ascii="仿宋_GB2312" w:hAnsi="仿宋_GB2312" w:eastAsia="仿宋_GB2312" w:cs="仿宋_GB2312"/>
                <w:b w:val="0"/>
                <w:bCs/>
                <w:color w:val="auto"/>
                <w:kern w:val="2"/>
                <w:sz w:val="28"/>
                <w:szCs w:val="28"/>
                <w:lang w:val="en-US" w:bidi="ar-SA"/>
              </w:rPr>
              <w:t>酸碱质子理论和电子理论；溶液酸碱性；电解质的电离；同离子效应；缓冲溶液；盐类水解和影响水解平衡的因素。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lang w:bidi="ar-SA"/>
              </w:rPr>
              <w:t>沉淀平衡</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kern w:val="2"/>
                <w:sz w:val="28"/>
                <w:szCs w:val="28"/>
                <w:lang w:val="en-US" w:bidi="ar-SA"/>
              </w:rPr>
              <w:t>溶度积规则；沉淀的生成和溶解；分步沉淀及沉淀的转化；有关溶度积一些应用和计算。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rPr>
              <w:t>氧化还原反应与应用电化学</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kern w:val="2"/>
                <w:sz w:val="28"/>
                <w:szCs w:val="28"/>
                <w:lang w:val="en-US" w:bidi="ar-SA"/>
              </w:rPr>
              <w:t>原电池，电极电势；标准电极电势及应用；影响电极电势的因素；元素电势图及其应用；化学电源和电解：化学电源(干电池，燃料电池，铅蓄电池)简单介绍；原电池和电解池，电解原理。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lang w:bidi="ar-SA"/>
              </w:rPr>
              <w:t>原子结构和元素周期律</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lang w:bidi="ar-SA"/>
              </w:rPr>
              <w:t>核外电子运动状态的描述，薜定谔方程，波函数和原子轨道，四个量子数，波函数的径向分布图和角度分布图；掌握原子轨道近似能级图，屏蔽效应，钻穿效应；熟悉原子核外电子排布规律；元素性质及其变化的周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499"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_GB2312" w:cs="仿宋_GB2312"/>
                <w:b w:val="0"/>
                <w:bCs/>
                <w:color w:val="auto"/>
                <w:sz w:val="28"/>
                <w:szCs w:val="28"/>
                <w:lang w:val="en-US"/>
              </w:rPr>
            </w:pPr>
            <w:r>
              <w:rPr>
                <w:rFonts w:hint="eastAsia" w:ascii="仿宋_GB2312" w:hAnsi="仿宋_GB2312" w:eastAsia="仿宋_GB2312" w:cs="仿宋_GB2312"/>
                <w:b w:val="0"/>
                <w:bCs/>
                <w:color w:val="auto"/>
                <w:sz w:val="28"/>
                <w:szCs w:val="28"/>
              </w:rPr>
              <w:t>分子结构</w:t>
            </w:r>
          </w:p>
        </w:tc>
        <w:tc>
          <w:tcPr>
            <w:tcW w:w="7319" w:type="dxa"/>
            <w:vAlign w:val="center"/>
          </w:tcPr>
          <w:p>
            <w:pPr>
              <w:keepNext w:val="0"/>
              <w:keepLines w:val="0"/>
              <w:pageBreakBefore w:val="0"/>
              <w:widowControl w:val="0"/>
              <w:kinsoku/>
              <w:wordWrap/>
              <w:overflowPunct/>
              <w:topLinePunct w:val="0"/>
              <w:autoSpaceDE/>
              <w:autoSpaceDN/>
              <w:bidi w:val="0"/>
              <w:adjustRightInd/>
              <w:spacing w:line="440" w:lineRule="exact"/>
              <w:ind w:firstLine="560" w:firstLineChars="200"/>
              <w:jc w:val="both"/>
              <w:textAlignment w:val="auto"/>
              <w:rPr>
                <w:rFonts w:hint="eastAsia" w:ascii="仿宋_GB2312" w:hAnsi="仿宋_GB2312" w:eastAsia="仿宋_GB2312" w:cs="仿宋_GB2312"/>
                <w:b w:val="0"/>
                <w:bCs/>
                <w:color w:val="auto"/>
                <w:kern w:val="2"/>
                <w:sz w:val="28"/>
                <w:szCs w:val="28"/>
                <w:lang w:val="en-US" w:bidi="ar-SA"/>
              </w:rPr>
            </w:pPr>
            <w:r>
              <w:rPr>
                <w:rFonts w:hint="eastAsia" w:ascii="仿宋_GB2312" w:hAnsi="仿宋_GB2312" w:eastAsia="仿宋_GB2312" w:cs="仿宋_GB2312"/>
                <w:b w:val="0"/>
                <w:bCs/>
                <w:color w:val="auto"/>
                <w:sz w:val="28"/>
                <w:szCs w:val="28"/>
              </w:rPr>
              <w:t>从价键理论理解共价键的形成、特性和类型；熟悉杂化轨道类型与分子空间构型的关系；掌握第二周期同核双原子分子的轨道能级图及应用；掌握分子间力及其氢键的作用对物质性质的影响</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bidi="ar-SA"/>
              </w:rPr>
              <w:t>离子键理论：掌握价层电子互斥模型。</w:t>
            </w:r>
          </w:p>
        </w:tc>
      </w:tr>
    </w:tbl>
    <w:p>
      <w:pPr>
        <w:spacing w:line="240" w:lineRule="auto"/>
        <w:jc w:val="center"/>
        <w:rPr>
          <w:rFonts w:hint="default" w:asciiTheme="majorEastAsia" w:hAnsiTheme="majorEastAsia" w:eastAsiaTheme="majorEastAsia" w:cstheme="majorEastAsia"/>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zZmJhYmIwZDdmM2FjNTYzNDI0YjBmZDY0NzYyMTMifQ=="/>
    <w:docVar w:name="KSO_WPS_MARK_KEY" w:val="b515f31e-9e8d-421d-a13a-03c87b9bdcb7"/>
  </w:docVars>
  <w:rsids>
    <w:rsidRoot w:val="00000000"/>
    <w:rsid w:val="0E0D3CE6"/>
    <w:rsid w:val="1967503C"/>
    <w:rsid w:val="242A650F"/>
    <w:rsid w:val="291B14FF"/>
    <w:rsid w:val="40270973"/>
    <w:rsid w:val="45330734"/>
    <w:rsid w:val="4BB36958"/>
    <w:rsid w:val="51AA5EE1"/>
    <w:rsid w:val="54D11A6F"/>
    <w:rsid w:val="5D9A75A2"/>
    <w:rsid w:val="6AC13461"/>
    <w:rsid w:val="7DB45FCA"/>
    <w:rsid w:val="7F005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1"/>
    <w:basedOn w:val="2"/>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2764</Words>
  <Characters>2818</Characters>
  <Lines>0</Lines>
  <Paragraphs>0</Paragraphs>
  <TotalTime>9</TotalTime>
  <ScaleCrop>false</ScaleCrop>
  <LinksUpToDate>false</LinksUpToDate>
  <CharactersWithSpaces>2820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2025-01-15T14:47:00Z</dcterms:created>
  <dc:creator>guans</dc:creator>
  <cp:lastModifiedBy>陈英楠</cp:lastModifiedBy>
  <dcterms:modified xsi:type="dcterms:W3CDTF">2025-02-13T04:19:57Z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535809E7ADA1428CA753C81B4B394285_13</vt:lpwstr>
  </property>
  <property fmtid="{D5CDD505-2E9C-101B-9397-08002B2CF9AE}" pid="4" name="KSOTemplateDocerSaveRecord">
    <vt:lpwstr>eyJoZGlkIjoiMGY3ODRiYWQ4Zjg2YmI1M2YwYmI5ODYzYzY5NTY2MGUiLCJ1c2VySWQiOiI1MDMwMjQyOTIifQ==</vt:lpwstr>
  </property>
</Properties>
</file>