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B2695">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吉林大学考古学院202</w:t>
      </w:r>
      <w:r>
        <w:rPr>
          <w:rFonts w:hint="eastAsia" w:ascii="方正小标宋简体" w:hAnsi="方正小标宋简体" w:eastAsia="方正小标宋简体" w:cs="方正小标宋简体"/>
          <w:sz w:val="36"/>
          <w:szCs w:val="36"/>
          <w:lang w:val="en-US" w:eastAsia="zh-CN"/>
        </w:rPr>
        <w:t>5</w:t>
      </w:r>
      <w:r>
        <w:rPr>
          <w:rFonts w:hint="eastAsia" w:ascii="方正小标宋简体" w:hAnsi="方正小标宋简体" w:eastAsia="方正小标宋简体" w:cs="方正小标宋简体"/>
          <w:sz w:val="36"/>
          <w:szCs w:val="36"/>
        </w:rPr>
        <w:t>年推荐优秀应届本科毕业生免试攻读研究生实施细则</w:t>
      </w:r>
    </w:p>
    <w:p w14:paraId="0F3E8767">
      <w:pPr>
        <w:jc w:val="center"/>
        <w:rPr>
          <w:rFonts w:hint="eastAsia" w:ascii="仿宋" w:hAnsi="仿宋" w:eastAsia="仿宋" w:cs="仿宋"/>
          <w:sz w:val="32"/>
          <w:szCs w:val="32"/>
        </w:rPr>
      </w:pPr>
    </w:p>
    <w:p w14:paraId="742962DA">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为做好202</w:t>
      </w:r>
      <w:r>
        <w:rPr>
          <w:rFonts w:hint="eastAsia" w:ascii="仿宋" w:hAnsi="仿宋" w:eastAsia="仿宋" w:cs="仿宋"/>
          <w:sz w:val="32"/>
          <w:szCs w:val="32"/>
          <w:lang w:val="en-US" w:eastAsia="zh-CN"/>
        </w:rPr>
        <w:t>5</w:t>
      </w:r>
      <w:r>
        <w:rPr>
          <w:rFonts w:hint="eastAsia" w:ascii="仿宋" w:hAnsi="仿宋" w:eastAsia="仿宋" w:cs="仿宋"/>
          <w:sz w:val="32"/>
          <w:szCs w:val="32"/>
        </w:rPr>
        <w:t>年推荐优秀应届本科毕业生免试攻读研究生工作（简称“推免工作”），</w:t>
      </w:r>
      <w:r>
        <w:rPr>
          <w:rFonts w:hint="eastAsia" w:ascii="仿宋" w:hAnsi="仿宋" w:eastAsia="仿宋" w:cs="仿宋"/>
          <w:sz w:val="32"/>
          <w:szCs w:val="32"/>
          <w:lang w:val="en-US" w:eastAsia="zh-CN"/>
        </w:rPr>
        <w:t>根据</w:t>
      </w:r>
      <w:r>
        <w:rPr>
          <w:rFonts w:hint="eastAsia" w:ascii="仿宋" w:hAnsi="仿宋" w:eastAsia="仿宋" w:cs="仿宋"/>
          <w:sz w:val="32"/>
          <w:szCs w:val="32"/>
        </w:rPr>
        <w:t>《吉林大学推荐优秀应届本科毕业生免试攻读研究生工作管理办法》（校发〔20</w:t>
      </w:r>
      <w:r>
        <w:rPr>
          <w:rFonts w:hint="eastAsia" w:ascii="仿宋" w:hAnsi="仿宋" w:eastAsia="仿宋" w:cs="仿宋"/>
          <w:sz w:val="32"/>
          <w:szCs w:val="32"/>
          <w:lang w:val="en-US" w:eastAsia="zh-CN"/>
        </w:rPr>
        <w:t>22</w:t>
      </w:r>
      <w:r>
        <w:rPr>
          <w:rFonts w:hint="eastAsia" w:ascii="仿宋" w:hAnsi="仿宋" w:eastAsia="仿宋" w:cs="仿宋"/>
          <w:sz w:val="32"/>
          <w:szCs w:val="32"/>
        </w:rPr>
        <w:t>〕</w:t>
      </w:r>
      <w:r>
        <w:rPr>
          <w:rFonts w:hint="eastAsia" w:ascii="仿宋" w:hAnsi="仿宋" w:eastAsia="仿宋" w:cs="仿宋"/>
          <w:sz w:val="32"/>
          <w:szCs w:val="32"/>
          <w:lang w:val="en-US" w:eastAsia="zh-CN"/>
        </w:rPr>
        <w:t>59</w:t>
      </w:r>
      <w:r>
        <w:rPr>
          <w:rFonts w:hint="eastAsia" w:ascii="仿宋" w:hAnsi="仿宋" w:eastAsia="仿宋" w:cs="仿宋"/>
          <w:sz w:val="32"/>
          <w:szCs w:val="32"/>
        </w:rPr>
        <w:t>号）</w:t>
      </w:r>
      <w:r>
        <w:rPr>
          <w:rFonts w:hint="eastAsia" w:ascii="仿宋" w:hAnsi="仿宋" w:eastAsia="仿宋" w:cs="仿宋"/>
          <w:sz w:val="32"/>
          <w:szCs w:val="32"/>
          <w:lang w:val="en-US" w:eastAsia="zh-CN"/>
        </w:rPr>
        <w:t>文件精神</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按照学校</w:t>
      </w:r>
      <w:r>
        <w:rPr>
          <w:rFonts w:hint="eastAsia" w:ascii="仿宋" w:hAnsi="仿宋" w:eastAsia="仿宋" w:cs="仿宋"/>
          <w:sz w:val="32"/>
          <w:szCs w:val="32"/>
        </w:rPr>
        <w:t>《关关于开展2025年推荐优秀应届本科毕业生免试攻读研究生学业成绩核对和综合排名工作的通知》要求，结合我院实际，制定本细则。</w:t>
      </w:r>
    </w:p>
    <w:p w14:paraId="21421CDE">
      <w:pPr>
        <w:adjustRightInd w:val="0"/>
        <w:snapToGrid w:val="0"/>
        <w:spacing w:line="360" w:lineRule="auto"/>
        <w:ind w:firstLine="640" w:firstLineChars="200"/>
        <w:rPr>
          <w:rFonts w:hint="eastAsia" w:ascii="仿宋" w:hAnsi="仿宋" w:eastAsia="仿宋" w:cs="仿宋"/>
          <w:sz w:val="32"/>
          <w:szCs w:val="32"/>
        </w:rPr>
      </w:pPr>
    </w:p>
    <w:p w14:paraId="3E90D6B0">
      <w:pPr>
        <w:adjustRightInd w:val="0"/>
        <w:snapToGrid w:val="0"/>
        <w:spacing w:line="360" w:lineRule="auto"/>
        <w:ind w:left="480"/>
        <w:jc w:val="center"/>
        <w:rPr>
          <w:rFonts w:hint="eastAsia" w:ascii="仿宋" w:hAnsi="仿宋" w:eastAsia="仿宋" w:cs="仿宋"/>
          <w:b/>
          <w:bCs/>
          <w:sz w:val="32"/>
          <w:szCs w:val="32"/>
        </w:rPr>
      </w:pPr>
      <w:r>
        <w:rPr>
          <w:rFonts w:hint="eastAsia" w:ascii="仿宋" w:hAnsi="仿宋" w:eastAsia="仿宋" w:cs="仿宋"/>
          <w:b/>
          <w:bCs/>
          <w:sz w:val="32"/>
          <w:szCs w:val="32"/>
        </w:rPr>
        <w:t>第一章</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 xml:space="preserve"> 总体原则</w:t>
      </w:r>
    </w:p>
    <w:p w14:paraId="7FCF0C43">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第一条  推免工作坚持公平、公正、公开的工作原则，坚持科学遴选，选拔推荐过程中落实集体议事、集体决策和信息公开等制度，保护学生合法权益。</w:t>
      </w:r>
    </w:p>
    <w:p w14:paraId="50981470">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第二条  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推免生遴选指标体系，综合评价学生的各方面表现。</w:t>
      </w:r>
    </w:p>
    <w:p w14:paraId="23F8C5AD">
      <w:pPr>
        <w:adjustRightInd w:val="0"/>
        <w:snapToGrid w:val="0"/>
        <w:spacing w:line="360" w:lineRule="auto"/>
        <w:ind w:firstLine="640" w:firstLineChars="200"/>
        <w:rPr>
          <w:rFonts w:hint="eastAsia" w:ascii="仿宋" w:hAnsi="仿宋" w:eastAsia="仿宋" w:cs="仿宋"/>
          <w:sz w:val="32"/>
          <w:szCs w:val="32"/>
        </w:rPr>
      </w:pPr>
    </w:p>
    <w:p w14:paraId="3C9F7D05">
      <w:pPr>
        <w:adjustRightInd w:val="0"/>
        <w:snapToGrid w:val="0"/>
        <w:spacing w:line="360" w:lineRule="auto"/>
        <w:ind w:left="480"/>
        <w:jc w:val="center"/>
        <w:rPr>
          <w:rFonts w:hint="eastAsia" w:ascii="仿宋" w:hAnsi="仿宋" w:eastAsia="仿宋" w:cs="仿宋"/>
          <w:b/>
          <w:bCs/>
          <w:sz w:val="32"/>
          <w:szCs w:val="32"/>
        </w:rPr>
      </w:pPr>
      <w:r>
        <w:rPr>
          <w:rFonts w:hint="eastAsia" w:ascii="仿宋" w:hAnsi="仿宋" w:eastAsia="仿宋" w:cs="仿宋"/>
          <w:b/>
          <w:bCs/>
          <w:sz w:val="32"/>
          <w:szCs w:val="32"/>
        </w:rPr>
        <w:t xml:space="preserve">第二章 </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组织领导</w:t>
      </w:r>
    </w:p>
    <w:p w14:paraId="298B1958">
      <w:pPr>
        <w:adjustRightInd w:val="0"/>
        <w:snapToGrid w:val="0"/>
        <w:spacing w:line="360" w:lineRule="auto"/>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第三条  成立推免工作小组（简称工作小组），负责学院推免工作实施细则的制定和组织实施。</w:t>
      </w:r>
    </w:p>
    <w:p w14:paraId="6B3D4964">
      <w:pPr>
        <w:adjustRightInd w:val="0"/>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组  长：赵宾福</w:t>
      </w:r>
    </w:p>
    <w:p w14:paraId="2B1EAE08">
      <w:pPr>
        <w:adjustRightInd w:val="0"/>
        <w:snapToGrid w:val="0"/>
        <w:spacing w:line="360" w:lineRule="auto"/>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副组长：</w:t>
      </w:r>
      <w:r>
        <w:rPr>
          <w:rFonts w:hint="eastAsia" w:ascii="仿宋" w:hAnsi="仿宋" w:eastAsia="仿宋" w:cs="仿宋"/>
          <w:color w:val="auto"/>
          <w:sz w:val="32"/>
          <w:szCs w:val="32"/>
          <w:highlight w:val="none"/>
          <w:lang w:val="en-US" w:eastAsia="zh-CN"/>
        </w:rPr>
        <w:t>何景成</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方启</w:t>
      </w:r>
    </w:p>
    <w:p w14:paraId="4378909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组  员：侯建峰、张全超、唐淼、</w:t>
      </w:r>
      <w:r>
        <w:rPr>
          <w:rFonts w:hint="eastAsia" w:ascii="仿宋" w:hAnsi="仿宋" w:eastAsia="仿宋" w:cs="仿宋"/>
          <w:color w:val="auto"/>
          <w:sz w:val="32"/>
          <w:szCs w:val="32"/>
          <w:highlight w:val="none"/>
          <w:lang w:val="en-US" w:eastAsia="zh-CN"/>
        </w:rPr>
        <w:t>任瑞波</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王春雪、王震、李亚利、武松、陈醉、刘钊</w:t>
      </w:r>
    </w:p>
    <w:p w14:paraId="347EFAF5">
      <w:pPr>
        <w:adjustRightInd w:val="0"/>
        <w:snapToGrid w:val="0"/>
        <w:spacing w:line="360" w:lineRule="auto"/>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第四条  成立推免工作监督小组（简称监督小组），负责监督学院推免工作程序，受理推免工作中的异议和申诉。</w:t>
      </w:r>
    </w:p>
    <w:p w14:paraId="5DC6D51E">
      <w:pPr>
        <w:adjustRightInd w:val="0"/>
        <w:snapToGrid w:val="0"/>
        <w:spacing w:line="360" w:lineRule="auto"/>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组  长：</w:t>
      </w:r>
      <w:r>
        <w:rPr>
          <w:rFonts w:hint="eastAsia" w:ascii="仿宋" w:hAnsi="仿宋" w:eastAsia="仿宋" w:cs="仿宋"/>
          <w:color w:val="auto"/>
          <w:sz w:val="32"/>
          <w:szCs w:val="32"/>
          <w:highlight w:val="none"/>
          <w:lang w:val="en-US" w:eastAsia="zh-CN"/>
        </w:rPr>
        <w:t>王巍</w:t>
      </w:r>
    </w:p>
    <w:p w14:paraId="1E0FD1A1">
      <w:pPr>
        <w:adjustRightInd w:val="0"/>
        <w:snapToGrid w:val="0"/>
        <w:spacing w:line="360" w:lineRule="auto"/>
        <w:ind w:firstLine="640" w:firstLineChars="200"/>
        <w:rPr>
          <w:rFonts w:hint="eastAsia" w:ascii="仿宋" w:hAnsi="仿宋" w:eastAsia="仿宋" w:cs="仿宋"/>
          <w:color w:val="auto"/>
          <w:sz w:val="32"/>
          <w:szCs w:val="32"/>
          <w:highlight w:val="green"/>
          <w:lang w:val="en-US" w:eastAsia="zh-CN"/>
        </w:rPr>
      </w:pPr>
      <w:r>
        <w:rPr>
          <w:rFonts w:hint="eastAsia" w:ascii="仿宋" w:hAnsi="仿宋" w:eastAsia="仿宋" w:cs="仿宋"/>
          <w:color w:val="auto"/>
          <w:sz w:val="32"/>
          <w:szCs w:val="32"/>
          <w:highlight w:val="none"/>
        </w:rPr>
        <w:t>组  员：</w:t>
      </w:r>
      <w:r>
        <w:rPr>
          <w:rFonts w:hint="eastAsia" w:ascii="仿宋" w:hAnsi="仿宋" w:eastAsia="仿宋" w:cs="仿宋"/>
          <w:color w:val="auto"/>
          <w:sz w:val="32"/>
          <w:szCs w:val="32"/>
          <w:highlight w:val="none"/>
          <w:lang w:val="en-US" w:eastAsia="zh-CN"/>
        </w:rPr>
        <w:t>王连龙、</w:t>
      </w:r>
      <w:r>
        <w:rPr>
          <w:rFonts w:hint="eastAsia" w:ascii="仿宋" w:hAnsi="仿宋" w:eastAsia="仿宋" w:cs="仿宋"/>
          <w:color w:val="auto"/>
          <w:sz w:val="32"/>
          <w:szCs w:val="32"/>
          <w:highlight w:val="none"/>
        </w:rPr>
        <w:t>苏海波、</w:t>
      </w:r>
      <w:r>
        <w:rPr>
          <w:rFonts w:hint="eastAsia" w:ascii="仿宋" w:hAnsi="仿宋" w:eastAsia="仿宋" w:cs="仿宋"/>
          <w:color w:val="auto"/>
          <w:sz w:val="32"/>
          <w:szCs w:val="32"/>
          <w:highlight w:val="none"/>
          <w:lang w:val="en-US" w:eastAsia="zh-CN"/>
        </w:rPr>
        <w:t>杨晨</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唐诗雨</w:t>
      </w:r>
    </w:p>
    <w:p w14:paraId="2EF986A5">
      <w:pPr>
        <w:adjustRightInd w:val="0"/>
        <w:snapToGrid w:val="0"/>
        <w:spacing w:line="360" w:lineRule="auto"/>
        <w:jc w:val="center"/>
        <w:rPr>
          <w:rFonts w:hint="eastAsia" w:ascii="仿宋" w:hAnsi="仿宋" w:eastAsia="仿宋" w:cs="仿宋"/>
          <w:b/>
          <w:bCs/>
          <w:sz w:val="32"/>
          <w:szCs w:val="32"/>
        </w:rPr>
      </w:pPr>
    </w:p>
    <w:p w14:paraId="13BF31C9">
      <w:pPr>
        <w:adjustRightInd w:val="0"/>
        <w:snapToGrid w:val="0"/>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第三章</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 xml:space="preserve"> 推荐方式</w:t>
      </w:r>
    </w:p>
    <w:p w14:paraId="59BD1BD3">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第五条  选拔推荐方式包括</w:t>
      </w:r>
      <w:r>
        <w:rPr>
          <w:rFonts w:hint="eastAsia" w:ascii="仿宋" w:hAnsi="仿宋" w:eastAsia="仿宋" w:cs="仿宋"/>
          <w:sz w:val="32"/>
          <w:szCs w:val="32"/>
          <w:lang w:val="en-US" w:eastAsia="zh-CN"/>
        </w:rPr>
        <w:t>普通推荐（包括推免直博生）</w:t>
      </w:r>
      <w:r>
        <w:rPr>
          <w:rFonts w:hint="eastAsia" w:ascii="仿宋" w:hAnsi="仿宋" w:eastAsia="仿宋" w:cs="仿宋"/>
          <w:sz w:val="32"/>
          <w:szCs w:val="32"/>
        </w:rPr>
        <w:t>、“研究生支教团”推荐、“专项推免补偿计划”推荐，以</w:t>
      </w:r>
      <w:r>
        <w:rPr>
          <w:rFonts w:hint="eastAsia" w:ascii="仿宋" w:hAnsi="仿宋" w:eastAsia="仿宋" w:cs="仿宋"/>
          <w:sz w:val="32"/>
          <w:szCs w:val="32"/>
          <w:lang w:val="en-US" w:eastAsia="zh-CN"/>
        </w:rPr>
        <w:t>普通</w:t>
      </w:r>
      <w:r>
        <w:rPr>
          <w:rFonts w:hint="eastAsia" w:ascii="仿宋" w:hAnsi="仿宋" w:eastAsia="仿宋" w:cs="仿宋"/>
          <w:sz w:val="32"/>
          <w:szCs w:val="32"/>
        </w:rPr>
        <w:t>推荐为主，其他方式为辅。</w:t>
      </w:r>
    </w:p>
    <w:p w14:paraId="6EB6019C">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第六条  </w:t>
      </w:r>
      <w:r>
        <w:rPr>
          <w:rFonts w:hint="eastAsia" w:ascii="仿宋" w:hAnsi="仿宋" w:eastAsia="仿宋" w:cs="仿宋"/>
          <w:sz w:val="32"/>
          <w:szCs w:val="32"/>
          <w:lang w:val="en-US" w:eastAsia="zh-CN"/>
        </w:rPr>
        <w:t>普通</w:t>
      </w:r>
      <w:r>
        <w:rPr>
          <w:rFonts w:hint="eastAsia" w:ascii="仿宋" w:hAnsi="仿宋" w:eastAsia="仿宋" w:cs="仿宋"/>
          <w:sz w:val="32"/>
          <w:szCs w:val="32"/>
        </w:rPr>
        <w:t>推荐是指按照本细则的遴选条件，从全体应届本科毕业生中择优选拔优秀学生进入硕士</w:t>
      </w:r>
      <w:r>
        <w:rPr>
          <w:rFonts w:hint="eastAsia" w:ascii="仿宋" w:hAnsi="仿宋" w:eastAsia="仿宋" w:cs="仿宋"/>
          <w:sz w:val="32"/>
          <w:szCs w:val="32"/>
          <w:lang w:val="en-US" w:eastAsia="zh-CN"/>
        </w:rPr>
        <w:t>或博士</w:t>
      </w:r>
      <w:r>
        <w:rPr>
          <w:rFonts w:hint="eastAsia" w:ascii="仿宋" w:hAnsi="仿宋" w:eastAsia="仿宋" w:cs="仿宋"/>
          <w:sz w:val="32"/>
          <w:szCs w:val="32"/>
        </w:rPr>
        <w:t>阶段学习的推荐方式</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是学校选拔的主要方式</w:t>
      </w:r>
      <w:r>
        <w:rPr>
          <w:rFonts w:hint="eastAsia" w:ascii="仿宋" w:hAnsi="仿宋" w:eastAsia="仿宋" w:cs="仿宋"/>
          <w:sz w:val="32"/>
          <w:szCs w:val="32"/>
        </w:rPr>
        <w:t>。</w:t>
      </w:r>
    </w:p>
    <w:p w14:paraId="3167EFE6">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val="en-US" w:eastAsia="zh-CN"/>
        </w:rPr>
        <w:t>七</w:t>
      </w:r>
      <w:r>
        <w:rPr>
          <w:rFonts w:hint="eastAsia" w:ascii="仿宋" w:hAnsi="仿宋" w:eastAsia="仿宋" w:cs="仿宋"/>
          <w:sz w:val="32"/>
          <w:szCs w:val="32"/>
        </w:rPr>
        <w:t>条  “研究生支教团”推荐是指学校按照团中央、教育部相关文件精神，从全校优秀应届本科毕业生中选拔组建研究生支教团，择优推荐免试攻读硕士研究生的推荐方式。推荐名额由团中央单独下达，由校团委按照上级文件要求，参照本办法组织实施。</w:t>
      </w:r>
    </w:p>
    <w:p w14:paraId="55B564AF">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val="en-US" w:eastAsia="zh-CN"/>
        </w:rPr>
        <w:t>八</w:t>
      </w:r>
      <w:r>
        <w:rPr>
          <w:rFonts w:hint="eastAsia" w:ascii="仿宋" w:hAnsi="仿宋" w:eastAsia="仿宋" w:cs="仿宋"/>
          <w:sz w:val="32"/>
          <w:szCs w:val="32"/>
        </w:rPr>
        <w:t>条  “专项推免补偿计划”推荐是指由教育部下达的专项推免计划，针对“教育部直属师范大学”“国防科工招生单位”接收外校推免名额政策补偿的推荐方式。其推荐名额由教育部单独下达，直接指定推荐学生的专业方向和接收学校。</w:t>
      </w:r>
    </w:p>
    <w:p w14:paraId="0B5DD019">
      <w:pPr>
        <w:adjustRightInd w:val="0"/>
        <w:snapToGrid w:val="0"/>
        <w:spacing w:line="360" w:lineRule="auto"/>
        <w:ind w:firstLine="640" w:firstLineChars="200"/>
        <w:rPr>
          <w:rFonts w:hint="eastAsia" w:ascii="仿宋" w:hAnsi="仿宋" w:eastAsia="仿宋" w:cs="仿宋"/>
          <w:sz w:val="32"/>
          <w:szCs w:val="32"/>
        </w:rPr>
      </w:pPr>
    </w:p>
    <w:p w14:paraId="55AAC351">
      <w:pPr>
        <w:adjustRightInd w:val="0"/>
        <w:snapToGrid w:val="0"/>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第四章</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 xml:space="preserve"> 推荐名额</w:t>
      </w:r>
    </w:p>
    <w:p w14:paraId="0E8063A5">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val="en-US" w:eastAsia="zh-CN"/>
        </w:rPr>
        <w:t>九</w:t>
      </w:r>
      <w:r>
        <w:rPr>
          <w:rFonts w:hint="eastAsia" w:ascii="仿宋" w:hAnsi="仿宋" w:eastAsia="仿宋" w:cs="仿宋"/>
          <w:sz w:val="32"/>
          <w:szCs w:val="32"/>
        </w:rPr>
        <w:t>条  学院根据学校下达当年推荐免试攻读硕士学位研究生的总名额，在考虑各专业本科应届毕业生人数的基础上，兼顾专业整体发展情况的前提下进行分配。</w:t>
      </w:r>
    </w:p>
    <w:p w14:paraId="5E64794F">
      <w:pPr>
        <w:adjustRightInd w:val="0"/>
        <w:snapToGrid w:val="0"/>
        <w:spacing w:line="360" w:lineRule="auto"/>
        <w:ind w:firstLine="640" w:firstLineChars="200"/>
        <w:rPr>
          <w:rFonts w:hint="eastAsia" w:ascii="仿宋" w:hAnsi="仿宋" w:eastAsia="仿宋" w:cs="仿宋"/>
          <w:sz w:val="32"/>
          <w:szCs w:val="32"/>
        </w:rPr>
      </w:pPr>
    </w:p>
    <w:p w14:paraId="5ECA8984">
      <w:pPr>
        <w:adjustRightInd w:val="0"/>
        <w:snapToGrid w:val="0"/>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第五章</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 xml:space="preserve"> 推荐条件</w:t>
      </w:r>
    </w:p>
    <w:p w14:paraId="2C82BBAE">
      <w:pPr>
        <w:adjustRightInd w:val="0"/>
        <w:snapToGrid w:val="0"/>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 xml:space="preserve">第十条  </w:t>
      </w:r>
      <w:r>
        <w:rPr>
          <w:rFonts w:hint="eastAsia" w:ascii="仿宋" w:hAnsi="仿宋" w:eastAsia="仿宋" w:cs="仿宋"/>
          <w:sz w:val="32"/>
          <w:szCs w:val="32"/>
          <w:lang w:val="en-US" w:eastAsia="zh-CN"/>
        </w:rPr>
        <w:t>推免生选拔应当符合以下基本条件：</w:t>
      </w:r>
    </w:p>
    <w:p w14:paraId="4B114DA9">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1.拥护中国共产党的领导，具有高尚的爱国主义情操和集体主义精神，社会主义信念坚定，社会责任感强，遵纪守法，积极向上，身心健康。</w:t>
      </w:r>
    </w:p>
    <w:p w14:paraId="62674B8E">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2.学校纳入国家普通本科招生计划录取的全日制应届本科毕业生（不含专升本、第二学士学位学生）。</w:t>
      </w:r>
    </w:p>
    <w:p w14:paraId="1F179F36">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3.勤奋学习，刻苦钻研，成绩优秀；学术研究兴趣浓厚，有较强的科学精神、创新能力和科研潜质。</w:t>
      </w:r>
    </w:p>
    <w:p w14:paraId="22DFC18F">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4.诚实守信、遵纪守法、学风端正，无学业、学术、品行等方面严重失信行为。曾受过纪律处分的学生，推免工作开始前（日期以学校发布推免通知为准）处分已解除的，申报推免不受影响。</w:t>
      </w:r>
    </w:p>
    <w:p w14:paraId="211921C8">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5.具备良好的体质健康水平。</w:t>
      </w:r>
    </w:p>
    <w:p w14:paraId="3EA2DFB4">
      <w:pPr>
        <w:adjustRightInd w:val="0"/>
        <w:snapToGrid w:val="0"/>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第十</w:t>
      </w:r>
      <w:r>
        <w:rPr>
          <w:rFonts w:hint="eastAsia" w:ascii="仿宋" w:hAnsi="仿宋" w:eastAsia="仿宋" w:cs="仿宋"/>
          <w:sz w:val="32"/>
          <w:szCs w:val="32"/>
          <w:lang w:val="en-US" w:eastAsia="zh-CN"/>
        </w:rPr>
        <w:t>一</w:t>
      </w:r>
      <w:r>
        <w:rPr>
          <w:rFonts w:hint="eastAsia" w:ascii="仿宋" w:hAnsi="仿宋" w:eastAsia="仿宋" w:cs="仿宋"/>
          <w:sz w:val="32"/>
          <w:szCs w:val="32"/>
        </w:rPr>
        <w:t xml:space="preserve">条  </w:t>
      </w:r>
      <w:r>
        <w:rPr>
          <w:rFonts w:hint="eastAsia" w:ascii="仿宋" w:hAnsi="仿宋" w:eastAsia="仿宋" w:cs="仿宋"/>
          <w:sz w:val="32"/>
          <w:szCs w:val="32"/>
          <w:lang w:val="en-US" w:eastAsia="zh-CN"/>
        </w:rPr>
        <w:t>推免生选拔综合成绩应当符合以下条件：</w:t>
      </w:r>
    </w:p>
    <w:p w14:paraId="54B004A2">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综合</w:t>
      </w:r>
      <w:r>
        <w:rPr>
          <w:rFonts w:hint="eastAsia" w:ascii="仿宋" w:hAnsi="仿宋" w:eastAsia="仿宋" w:cs="仿宋"/>
          <w:sz w:val="32"/>
          <w:szCs w:val="32"/>
        </w:rPr>
        <w:t>成绩是由学生前三学年（五年制为前四学年）</w:t>
      </w:r>
      <w:r>
        <w:rPr>
          <w:rFonts w:hint="eastAsia" w:ascii="仿宋" w:hAnsi="仿宋" w:eastAsia="仿宋" w:cs="仿宋"/>
          <w:sz w:val="32"/>
          <w:szCs w:val="32"/>
          <w:lang w:val="en-US" w:eastAsia="zh-CN"/>
        </w:rPr>
        <w:t>的学业成绩（包括</w:t>
      </w:r>
      <w:r>
        <w:rPr>
          <w:rFonts w:hint="eastAsia" w:ascii="仿宋" w:hAnsi="仿宋" w:eastAsia="仿宋" w:cs="仿宋"/>
          <w:sz w:val="32"/>
          <w:szCs w:val="32"/>
        </w:rPr>
        <w:t>《培养方案》要求开设的全部必修课程和限选课程（含实践教学环节）</w:t>
      </w:r>
      <w:r>
        <w:rPr>
          <w:rFonts w:hint="eastAsia" w:ascii="仿宋" w:hAnsi="仿宋" w:eastAsia="仿宋" w:cs="仿宋"/>
          <w:sz w:val="32"/>
          <w:szCs w:val="32"/>
          <w:lang w:eastAsia="zh-CN"/>
        </w:rPr>
        <w:t>）</w:t>
      </w:r>
      <w:r>
        <w:rPr>
          <w:rFonts w:hint="eastAsia" w:ascii="仿宋" w:hAnsi="仿宋" w:eastAsia="仿宋" w:cs="仿宋"/>
          <w:sz w:val="32"/>
          <w:szCs w:val="32"/>
        </w:rPr>
        <w:t>和素质类项目（包括学生在校期间取得科研成果、参加竞赛获奖、参军入伍服兵役、参加志愿服务、到国际组织实习情况）加分构成，要求全部成绩必须通过。</w:t>
      </w:r>
    </w:p>
    <w:p w14:paraId="4B55680A">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1.申请</w:t>
      </w:r>
      <w:r>
        <w:rPr>
          <w:rFonts w:hint="eastAsia" w:ascii="仿宋" w:hAnsi="仿宋" w:eastAsia="仿宋" w:cs="仿宋"/>
          <w:sz w:val="32"/>
          <w:szCs w:val="32"/>
          <w:lang w:val="en-US" w:eastAsia="zh-CN"/>
        </w:rPr>
        <w:t>普通</w:t>
      </w:r>
      <w:r>
        <w:rPr>
          <w:rFonts w:hint="eastAsia" w:ascii="仿宋" w:hAnsi="仿宋" w:eastAsia="仿宋" w:cs="仿宋"/>
          <w:sz w:val="32"/>
          <w:szCs w:val="32"/>
        </w:rPr>
        <w:t>推荐、“专项推免补偿计划”推荐的学生，要求平均学分绩点（GPA）2.5及以上；申请“研究生支教团”推荐的学生，要求平均学分绩点（GPA）2.3及以上。</w:t>
      </w:r>
    </w:p>
    <w:p w14:paraId="64C16036">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2.申请</w:t>
      </w:r>
      <w:r>
        <w:rPr>
          <w:rFonts w:hint="eastAsia" w:ascii="仿宋" w:hAnsi="仿宋" w:eastAsia="仿宋" w:cs="仿宋"/>
          <w:sz w:val="32"/>
          <w:szCs w:val="32"/>
          <w:lang w:val="en-US" w:eastAsia="zh-CN"/>
        </w:rPr>
        <w:t>普通</w:t>
      </w:r>
      <w:r>
        <w:rPr>
          <w:rFonts w:hint="eastAsia" w:ascii="仿宋" w:hAnsi="仿宋" w:eastAsia="仿宋" w:cs="仿宋"/>
          <w:sz w:val="32"/>
          <w:szCs w:val="32"/>
        </w:rPr>
        <w:t>推荐、“专项推免补偿计划”推荐的学生，允许曾有1门必修课程或限选课程不及格，但必须在当年推免工作开始前重修通过。</w:t>
      </w:r>
    </w:p>
    <w:p w14:paraId="5521BEBD">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申请“研究生支教团”推荐的学生，允许曾有2门必修课程或限选课程不及格，但必须在当年推免工作开始前重修通过。</w:t>
      </w:r>
    </w:p>
    <w:p w14:paraId="1C2B13BE">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3.成绩排名以第一次考试成绩为准，重修、加分的成绩不参与排名计算。经教务处批准的缓考、补考成绩，按第一次考试成绩计算排名。</w:t>
      </w:r>
    </w:p>
    <w:p w14:paraId="6FA92724">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4.校际交流学生的推免成绩必须经教务处进行相应学分认定，且应不少于《培养方案》要求的全部必修课程和限选课程总学分的95%，其课程门数按实际修读课程门数计算。</w:t>
      </w:r>
    </w:p>
    <w:p w14:paraId="6B31328E">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5.具备良好的外语能力和水平，校内必修外语课程考试平均成绩达到75分以上或全国大学外语四级考试成绩在425分以上（或托福80分及以上、雅思6.0及以上、日语N2及以上、俄语ТРКИ-2及以上）；外语专业学生要求专业外语四级成绩达到70分以上。</w:t>
      </w:r>
    </w:p>
    <w:p w14:paraId="3E39E1B6">
      <w:pPr>
        <w:adjustRightInd w:val="0"/>
        <w:snapToGrid w:val="0"/>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第十</w:t>
      </w:r>
      <w:r>
        <w:rPr>
          <w:rFonts w:hint="eastAsia" w:ascii="仿宋" w:hAnsi="仿宋" w:eastAsia="仿宋" w:cs="仿宋"/>
          <w:sz w:val="32"/>
          <w:szCs w:val="32"/>
          <w:lang w:val="en-US" w:eastAsia="zh-CN"/>
        </w:rPr>
        <w:t>二</w:t>
      </w:r>
      <w:r>
        <w:rPr>
          <w:rFonts w:hint="eastAsia" w:ascii="仿宋" w:hAnsi="仿宋" w:eastAsia="仿宋" w:cs="仿宋"/>
          <w:sz w:val="32"/>
          <w:szCs w:val="32"/>
        </w:rPr>
        <w:t xml:space="preserve">条  </w:t>
      </w:r>
      <w:r>
        <w:rPr>
          <w:rFonts w:hint="eastAsia" w:ascii="仿宋" w:hAnsi="仿宋" w:eastAsia="仿宋" w:cs="仿宋"/>
          <w:sz w:val="32"/>
          <w:szCs w:val="32"/>
          <w:lang w:val="en-US" w:eastAsia="zh-CN"/>
        </w:rPr>
        <w:t>推免生选拔综合排名应当符合以下条件：</w:t>
      </w:r>
    </w:p>
    <w:p w14:paraId="46D45244">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1.综合排名由学业成绩和素质类项目加分组成。</w:t>
      </w:r>
    </w:p>
    <w:p w14:paraId="69AC325D">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大学英语课程中仅英语II、III、IV计入综合排名，军事教育</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体育成绩</w:t>
      </w:r>
      <w:r>
        <w:rPr>
          <w:rFonts w:hint="eastAsia" w:ascii="仿宋" w:hAnsi="仿宋" w:eastAsia="仿宋" w:cs="仿宋"/>
          <w:sz w:val="32"/>
          <w:szCs w:val="32"/>
        </w:rPr>
        <w:t>不计入综合排名。</w:t>
      </w:r>
    </w:p>
    <w:p w14:paraId="63EDE46A">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综合排名相同的学生，按学业成绩高低排名。</w:t>
      </w:r>
    </w:p>
    <w:p w14:paraId="221CF3EC">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学院</w:t>
      </w:r>
      <w:r>
        <w:rPr>
          <w:rFonts w:hint="eastAsia" w:ascii="仿宋" w:hAnsi="仿宋" w:eastAsia="仿宋" w:cs="仿宋"/>
          <w:sz w:val="32"/>
          <w:szCs w:val="32"/>
        </w:rPr>
        <w:t>所有应届毕业学生</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含港澳台学生</w:t>
      </w:r>
      <w:r>
        <w:rPr>
          <w:rFonts w:hint="eastAsia" w:ascii="仿宋" w:hAnsi="仿宋" w:eastAsia="仿宋" w:cs="仿宋"/>
          <w:sz w:val="32"/>
          <w:szCs w:val="32"/>
          <w:lang w:eastAsia="zh-CN"/>
        </w:rPr>
        <w:t>）</w:t>
      </w:r>
      <w:r>
        <w:rPr>
          <w:rFonts w:hint="eastAsia" w:ascii="仿宋" w:hAnsi="仿宋" w:eastAsia="仿宋" w:cs="仿宋"/>
          <w:sz w:val="32"/>
          <w:szCs w:val="32"/>
        </w:rPr>
        <w:t>均须参加本专业的综合排名</w:t>
      </w:r>
      <w:r>
        <w:rPr>
          <w:rFonts w:hint="eastAsia" w:ascii="仿宋" w:hAnsi="仿宋" w:eastAsia="仿宋" w:cs="仿宋"/>
          <w:sz w:val="32"/>
          <w:szCs w:val="32"/>
          <w:highlight w:val="none"/>
        </w:rPr>
        <w:t>；</w:t>
      </w:r>
      <w:r>
        <w:rPr>
          <w:rFonts w:hint="eastAsia" w:ascii="仿宋" w:hAnsi="仿宋" w:eastAsia="仿宋" w:cs="仿宋"/>
          <w:sz w:val="32"/>
          <w:szCs w:val="32"/>
        </w:rPr>
        <w:t>港澳台学生须于推免工作开始前（日期以学校发布推免通知为准）完成学分置换。</w:t>
      </w:r>
    </w:p>
    <w:p w14:paraId="0F5DC93A">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3.综合排名时如有不能被推荐（如：违纪处分未被解除、自愿放弃等）的学生，不得将这部分学生剔除后重新排名,不得将未进入推荐范围的学生递补入围。</w:t>
      </w:r>
    </w:p>
    <w:p w14:paraId="42E8489D">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4.学院鼓励学生全面发展，支持学生参与科学研究和各类竞赛、参军入伍服兵役、参加志愿服务、到国际组织实习。</w:t>
      </w:r>
    </w:p>
    <w:p w14:paraId="6945E2CD">
      <w:pPr>
        <w:adjustRightInd w:val="0"/>
        <w:snapToGrid w:val="0"/>
        <w:spacing w:line="360" w:lineRule="auto"/>
        <w:jc w:val="center"/>
        <w:rPr>
          <w:rFonts w:hint="eastAsia" w:ascii="仿宋" w:hAnsi="仿宋" w:eastAsia="仿宋" w:cs="仿宋"/>
          <w:b/>
          <w:bCs/>
          <w:sz w:val="32"/>
          <w:szCs w:val="32"/>
        </w:rPr>
      </w:pPr>
    </w:p>
    <w:p w14:paraId="46F5D1D2">
      <w:pPr>
        <w:adjustRightInd w:val="0"/>
        <w:snapToGrid w:val="0"/>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 xml:space="preserve">第六章 </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推荐程序</w:t>
      </w:r>
    </w:p>
    <w:p w14:paraId="7AB00F85">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第十</w:t>
      </w:r>
      <w:r>
        <w:rPr>
          <w:rFonts w:hint="eastAsia" w:ascii="仿宋" w:hAnsi="仿宋" w:eastAsia="仿宋" w:cs="仿宋"/>
          <w:sz w:val="32"/>
          <w:szCs w:val="32"/>
          <w:lang w:val="en-US" w:eastAsia="zh-CN"/>
        </w:rPr>
        <w:t>三</w:t>
      </w:r>
      <w:r>
        <w:rPr>
          <w:rFonts w:hint="eastAsia" w:ascii="仿宋" w:hAnsi="仿宋" w:eastAsia="仿宋" w:cs="仿宋"/>
          <w:sz w:val="32"/>
          <w:szCs w:val="32"/>
        </w:rPr>
        <w:t>条  根据学校推免工作管理办法、名额分配方案、素质类项目加分要求及范围，学院制定年度推免工作实施细则及加分标准，报教务处备案并公示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公示5天</w:t>
      </w:r>
      <w:r>
        <w:rPr>
          <w:rFonts w:hint="eastAsia" w:ascii="仿宋" w:hAnsi="仿宋" w:eastAsia="仿宋" w:cs="仿宋"/>
          <w:sz w:val="32"/>
          <w:szCs w:val="32"/>
          <w:lang w:eastAsia="zh-CN"/>
        </w:rPr>
        <w:t>）</w:t>
      </w:r>
      <w:r>
        <w:rPr>
          <w:rFonts w:hint="eastAsia" w:ascii="仿宋" w:hAnsi="仿宋" w:eastAsia="仿宋" w:cs="仿宋"/>
          <w:sz w:val="32"/>
          <w:szCs w:val="32"/>
        </w:rPr>
        <w:t>。</w:t>
      </w:r>
    </w:p>
    <w:p w14:paraId="7BD44824">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第十</w:t>
      </w:r>
      <w:r>
        <w:rPr>
          <w:rFonts w:hint="eastAsia" w:ascii="仿宋" w:hAnsi="仿宋" w:eastAsia="仿宋" w:cs="仿宋"/>
          <w:sz w:val="32"/>
          <w:szCs w:val="32"/>
          <w:lang w:val="en-US" w:eastAsia="zh-CN"/>
        </w:rPr>
        <w:t>四</w:t>
      </w:r>
      <w:r>
        <w:rPr>
          <w:rFonts w:hint="eastAsia" w:ascii="仿宋" w:hAnsi="仿宋" w:eastAsia="仿宋" w:cs="仿宋"/>
          <w:sz w:val="32"/>
          <w:szCs w:val="32"/>
        </w:rPr>
        <w:t>条  学院确定各专业参与推免综合排名的课程并公示。严格按照规定，在教务管理系统中审核全体学生学业成绩，并进行学业成绩排名。</w:t>
      </w:r>
    </w:p>
    <w:p w14:paraId="06D8455C">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第十</w:t>
      </w:r>
      <w:r>
        <w:rPr>
          <w:rFonts w:hint="eastAsia" w:ascii="仿宋" w:hAnsi="仿宋" w:eastAsia="仿宋" w:cs="仿宋"/>
          <w:sz w:val="32"/>
          <w:szCs w:val="32"/>
          <w:lang w:val="en-US" w:eastAsia="zh-CN"/>
        </w:rPr>
        <w:t>五</w:t>
      </w:r>
      <w:r>
        <w:rPr>
          <w:rFonts w:hint="eastAsia" w:ascii="仿宋" w:hAnsi="仿宋" w:eastAsia="仿宋" w:cs="仿宋"/>
          <w:sz w:val="32"/>
          <w:szCs w:val="32"/>
        </w:rPr>
        <w:t>条  学院成立专家审核小组，按照年度推免工作实施细则及加分标准，对申请推免资格学生的素质项目进行审核鉴定，排除抄袭、造假、冒名及有名无实等情况，组织相关学生在学院范围内进行公开答辩，审核认定学生的学术专长，确定加分分值，加分最高不超过0.4平均学分绩点（GPA）（体育竞赛体系加分最高不超过1.0平均学分绩点（GPA））。</w:t>
      </w:r>
    </w:p>
    <w:p w14:paraId="4D0CE3E2">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第十</w:t>
      </w:r>
      <w:r>
        <w:rPr>
          <w:rFonts w:hint="eastAsia" w:ascii="仿宋" w:hAnsi="仿宋" w:eastAsia="仿宋" w:cs="仿宋"/>
          <w:sz w:val="32"/>
          <w:szCs w:val="32"/>
          <w:lang w:val="en-US" w:eastAsia="zh-CN"/>
        </w:rPr>
        <w:t>六</w:t>
      </w:r>
      <w:r>
        <w:rPr>
          <w:rFonts w:hint="eastAsia" w:ascii="仿宋" w:hAnsi="仿宋" w:eastAsia="仿宋" w:cs="仿宋"/>
          <w:sz w:val="32"/>
          <w:szCs w:val="32"/>
        </w:rPr>
        <w:t>条  根据学业成绩排名和素质项目加分认定，计算综合排名，在学院网站公示10个工作日。</w:t>
      </w:r>
    </w:p>
    <w:p w14:paraId="3A7C3552">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第十</w:t>
      </w:r>
      <w:r>
        <w:rPr>
          <w:rFonts w:hint="eastAsia" w:ascii="仿宋" w:hAnsi="仿宋" w:eastAsia="仿宋" w:cs="仿宋"/>
          <w:sz w:val="32"/>
          <w:szCs w:val="32"/>
          <w:lang w:val="en-US" w:eastAsia="zh-CN"/>
        </w:rPr>
        <w:t>七</w:t>
      </w:r>
      <w:r>
        <w:rPr>
          <w:rFonts w:hint="eastAsia" w:ascii="仿宋" w:hAnsi="仿宋" w:eastAsia="仿宋" w:cs="仿宋"/>
          <w:sz w:val="32"/>
          <w:szCs w:val="32"/>
        </w:rPr>
        <w:t>条  符合申请条件的学生应在规定的时间内向所在学院提出申请，提交相关证明材料，学生只能</w:t>
      </w:r>
      <w:r>
        <w:rPr>
          <w:rFonts w:hint="eastAsia" w:ascii="仿宋" w:hAnsi="仿宋" w:eastAsia="仿宋" w:cs="仿宋"/>
          <w:sz w:val="32"/>
          <w:szCs w:val="32"/>
          <w:lang w:val="en-US" w:eastAsia="zh-CN"/>
        </w:rPr>
        <w:t>申报普通</w:t>
      </w:r>
      <w:r>
        <w:rPr>
          <w:rFonts w:hint="eastAsia" w:ascii="仿宋" w:hAnsi="仿宋" w:eastAsia="仿宋" w:cs="仿宋"/>
          <w:sz w:val="32"/>
          <w:szCs w:val="32"/>
        </w:rPr>
        <w:t>推荐、“专项推免补偿计划”推荐其中一项，不可兼报。</w:t>
      </w:r>
    </w:p>
    <w:p w14:paraId="28042F5A">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第十</w:t>
      </w:r>
      <w:r>
        <w:rPr>
          <w:rFonts w:hint="eastAsia" w:ascii="仿宋" w:hAnsi="仿宋" w:eastAsia="仿宋" w:cs="仿宋"/>
          <w:sz w:val="32"/>
          <w:szCs w:val="32"/>
          <w:lang w:val="en-US" w:eastAsia="zh-CN"/>
        </w:rPr>
        <w:t>八</w:t>
      </w:r>
      <w:r>
        <w:rPr>
          <w:rFonts w:hint="eastAsia" w:ascii="仿宋" w:hAnsi="仿宋" w:eastAsia="仿宋" w:cs="仿宋"/>
          <w:sz w:val="32"/>
          <w:szCs w:val="32"/>
        </w:rPr>
        <w:t>条  学院依据学校下达推荐名额不低于120%，不高于150%的比例，确定申报人选，由学院工作小组组织专家组择优确定最终推荐人选名单上报学校。</w:t>
      </w:r>
    </w:p>
    <w:p w14:paraId="5EFAE3F5">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val="en-US" w:eastAsia="zh-CN"/>
        </w:rPr>
        <w:t>十九</w:t>
      </w:r>
      <w:r>
        <w:rPr>
          <w:rFonts w:hint="eastAsia" w:ascii="仿宋" w:hAnsi="仿宋" w:eastAsia="仿宋" w:cs="仿宋"/>
          <w:sz w:val="32"/>
          <w:szCs w:val="32"/>
        </w:rPr>
        <w:t>条  学校领导小组审定学院推荐人选名单，将通过审定的拟推免学生名单在网上公示10个工作日。对于有异议的学生，学院监督小组及学校相关部门应查明情况并公布处理结果。</w:t>
      </w:r>
    </w:p>
    <w:p w14:paraId="79E85A08">
      <w:pPr>
        <w:adjustRightInd w:val="0"/>
        <w:snapToGrid w:val="0"/>
        <w:spacing w:line="360" w:lineRule="auto"/>
        <w:ind w:firstLine="640" w:firstLineChars="200"/>
        <w:rPr>
          <w:rFonts w:hint="eastAsia" w:ascii="仿宋" w:hAnsi="仿宋" w:eastAsia="仿宋" w:cs="仿宋"/>
          <w:sz w:val="32"/>
          <w:szCs w:val="32"/>
        </w:rPr>
      </w:pPr>
    </w:p>
    <w:p w14:paraId="25FD3DF1">
      <w:pPr>
        <w:adjustRightInd w:val="0"/>
        <w:snapToGrid w:val="0"/>
        <w:spacing w:line="360" w:lineRule="auto"/>
        <w:ind w:firstLine="643" w:firstLineChars="200"/>
        <w:jc w:val="center"/>
        <w:rPr>
          <w:rFonts w:hint="eastAsia" w:ascii="仿宋" w:hAnsi="仿宋" w:eastAsia="仿宋" w:cs="仿宋"/>
          <w:b/>
          <w:bCs/>
          <w:sz w:val="32"/>
          <w:szCs w:val="32"/>
        </w:rPr>
      </w:pPr>
      <w:r>
        <w:rPr>
          <w:rFonts w:hint="eastAsia" w:ascii="仿宋" w:hAnsi="仿宋" w:eastAsia="仿宋" w:cs="仿宋"/>
          <w:b/>
          <w:bCs/>
          <w:sz w:val="32"/>
          <w:szCs w:val="32"/>
        </w:rPr>
        <w:t xml:space="preserve">第七章 </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管理与监督</w:t>
      </w:r>
    </w:p>
    <w:p w14:paraId="25113CA5">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第二十条  涉及推免工作的原则、标准、方法、程序、名额和结果等重要事项须由学院工作小组会议讨论决定。</w:t>
      </w:r>
    </w:p>
    <w:p w14:paraId="4CEFC580">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第二十</w:t>
      </w:r>
      <w:r>
        <w:rPr>
          <w:rFonts w:hint="eastAsia" w:ascii="仿宋" w:hAnsi="仿宋" w:eastAsia="仿宋" w:cs="仿宋"/>
          <w:sz w:val="32"/>
          <w:szCs w:val="32"/>
          <w:lang w:val="en-US" w:eastAsia="zh-CN"/>
        </w:rPr>
        <w:t>一</w:t>
      </w:r>
      <w:r>
        <w:rPr>
          <w:rFonts w:hint="eastAsia" w:ascii="仿宋" w:hAnsi="仿宋" w:eastAsia="仿宋" w:cs="仿宋"/>
          <w:sz w:val="32"/>
          <w:szCs w:val="32"/>
        </w:rPr>
        <w:t>条  推免工作全过程接受全校师生和社会监督，学校教务处和纪检、监察部门受理相关问题举报，对违纪违规工作人员按相关规定严肃处理。</w:t>
      </w:r>
    </w:p>
    <w:p w14:paraId="191B3EA3">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第二十</w:t>
      </w:r>
      <w:r>
        <w:rPr>
          <w:rFonts w:hint="eastAsia" w:ascii="仿宋" w:hAnsi="仿宋" w:eastAsia="仿宋" w:cs="仿宋"/>
          <w:sz w:val="32"/>
          <w:szCs w:val="32"/>
          <w:lang w:val="en-US" w:eastAsia="zh-CN"/>
        </w:rPr>
        <w:t>二</w:t>
      </w:r>
      <w:r>
        <w:rPr>
          <w:rFonts w:hint="eastAsia" w:ascii="仿宋" w:hAnsi="仿宋" w:eastAsia="仿宋" w:cs="仿宋"/>
          <w:sz w:val="32"/>
          <w:szCs w:val="32"/>
        </w:rPr>
        <w:t>条  推免工作的参与人员如有直系亲属或利益相关人员参加选拔推荐的，相关工作人员应回避当年的推免工作。</w:t>
      </w:r>
    </w:p>
    <w:p w14:paraId="24EAA206">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第二十</w:t>
      </w:r>
      <w:r>
        <w:rPr>
          <w:rFonts w:hint="eastAsia" w:ascii="仿宋" w:hAnsi="仿宋" w:eastAsia="仿宋" w:cs="仿宋"/>
          <w:sz w:val="32"/>
          <w:szCs w:val="32"/>
          <w:lang w:val="en-US" w:eastAsia="zh-CN"/>
        </w:rPr>
        <w:t>三</w:t>
      </w:r>
      <w:r>
        <w:rPr>
          <w:rFonts w:hint="eastAsia" w:ascii="仿宋" w:hAnsi="仿宋" w:eastAsia="仿宋" w:cs="仿宋"/>
          <w:sz w:val="32"/>
          <w:szCs w:val="32"/>
        </w:rPr>
        <w:t>条  对在申请和参加选拔推荐过程中弄虚作假的学生，一经发现，即取消其推免资格；对已录取的学生取消其录取资格和学籍，按有关规定对其做出相应处理。</w:t>
      </w:r>
    </w:p>
    <w:p w14:paraId="21277BC4">
      <w:pPr>
        <w:adjustRightInd w:val="0"/>
        <w:snapToGrid w:val="0"/>
        <w:spacing w:line="360" w:lineRule="auto"/>
        <w:ind w:firstLine="640" w:firstLineChars="200"/>
        <w:rPr>
          <w:rFonts w:hint="eastAsia" w:ascii="仿宋" w:hAnsi="仿宋" w:eastAsia="仿宋" w:cs="仿宋"/>
          <w:sz w:val="32"/>
          <w:szCs w:val="32"/>
        </w:rPr>
      </w:pPr>
    </w:p>
    <w:p w14:paraId="5A5FAA6B">
      <w:pPr>
        <w:adjustRightInd w:val="0"/>
        <w:snapToGrid w:val="0"/>
        <w:spacing w:line="360" w:lineRule="auto"/>
        <w:ind w:firstLine="643" w:firstLineChars="200"/>
        <w:jc w:val="center"/>
        <w:rPr>
          <w:rFonts w:hint="eastAsia" w:ascii="仿宋" w:hAnsi="仿宋" w:eastAsia="仿宋" w:cs="仿宋"/>
          <w:b/>
          <w:bCs/>
          <w:sz w:val="32"/>
          <w:szCs w:val="32"/>
        </w:rPr>
      </w:pPr>
      <w:r>
        <w:rPr>
          <w:rFonts w:hint="eastAsia" w:ascii="仿宋" w:hAnsi="仿宋" w:eastAsia="仿宋" w:cs="仿宋"/>
          <w:b/>
          <w:bCs/>
          <w:sz w:val="32"/>
          <w:szCs w:val="32"/>
        </w:rPr>
        <w:t xml:space="preserve">第八章 </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附  则</w:t>
      </w:r>
    </w:p>
    <w:p w14:paraId="1CA0D577">
      <w:pPr>
        <w:adjustRightInd w:val="0"/>
        <w:snapToGrid w:val="0"/>
        <w:spacing w:line="360"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第二十</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条  本细则依据教务处相关规定调整，由学院推免工作小组负责解释。</w:t>
      </w:r>
    </w:p>
    <w:p w14:paraId="4C5B1AB5">
      <w:pPr>
        <w:adjustRightInd w:val="0"/>
        <w:snapToGrid w:val="0"/>
        <w:spacing w:line="360"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第二十</w:t>
      </w:r>
      <w:r>
        <w:rPr>
          <w:rFonts w:hint="eastAsia" w:ascii="仿宋" w:hAnsi="仿宋" w:eastAsia="仿宋" w:cs="仿宋"/>
          <w:color w:val="auto"/>
          <w:sz w:val="32"/>
          <w:szCs w:val="32"/>
          <w:lang w:val="en-US" w:eastAsia="zh-CN"/>
        </w:rPr>
        <w:t>五</w:t>
      </w:r>
      <w:r>
        <w:rPr>
          <w:rFonts w:hint="eastAsia" w:ascii="仿宋" w:hAnsi="仿宋" w:eastAsia="仿宋" w:cs="仿宋"/>
          <w:color w:val="auto"/>
          <w:sz w:val="32"/>
          <w:szCs w:val="32"/>
        </w:rPr>
        <w:t>条  本细则仅适用于202</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级本科生推免工作，自发布之日起施行，20</w:t>
      </w:r>
      <w:r>
        <w:rPr>
          <w:rFonts w:hint="eastAsia" w:ascii="仿宋" w:hAnsi="仿宋" w:eastAsia="仿宋" w:cs="仿宋"/>
          <w:color w:val="auto"/>
          <w:sz w:val="32"/>
          <w:szCs w:val="32"/>
          <w:lang w:val="en-US" w:eastAsia="zh-CN"/>
        </w:rPr>
        <w:t>20</w:t>
      </w:r>
      <w:r>
        <w:rPr>
          <w:rFonts w:hint="eastAsia" w:ascii="仿宋" w:hAnsi="仿宋" w:eastAsia="仿宋" w:cs="仿宋"/>
          <w:color w:val="auto"/>
          <w:sz w:val="32"/>
          <w:szCs w:val="32"/>
        </w:rPr>
        <w:t>级推免工作细则同时废止。</w:t>
      </w:r>
    </w:p>
    <w:p w14:paraId="4190109D">
      <w:pPr>
        <w:adjustRightInd w:val="0"/>
        <w:snapToGrid w:val="0"/>
        <w:spacing w:line="360" w:lineRule="auto"/>
        <w:ind w:firstLine="640" w:firstLineChars="200"/>
        <w:rPr>
          <w:rFonts w:hint="eastAsia" w:ascii="仿宋" w:hAnsi="仿宋" w:eastAsia="仿宋" w:cs="仿宋"/>
          <w:sz w:val="32"/>
          <w:szCs w:val="32"/>
        </w:rPr>
      </w:pPr>
    </w:p>
    <w:p w14:paraId="270F85D9">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附件：《吉林大学考古学院本科生素质类项目加分标准》</w:t>
      </w:r>
    </w:p>
    <w:p w14:paraId="14B5DD4C">
      <w:pPr>
        <w:adjustRightInd w:val="0"/>
        <w:snapToGrid w:val="0"/>
        <w:spacing w:line="360" w:lineRule="auto"/>
        <w:ind w:firstLine="640" w:firstLineChars="200"/>
        <w:rPr>
          <w:rFonts w:hint="eastAsia" w:ascii="仿宋" w:hAnsi="仿宋" w:eastAsia="仿宋" w:cs="仿宋"/>
          <w:sz w:val="32"/>
          <w:szCs w:val="32"/>
        </w:rPr>
      </w:pPr>
    </w:p>
    <w:p w14:paraId="7A9EECD8">
      <w:pPr>
        <w:adjustRightInd w:val="0"/>
        <w:snapToGrid w:val="0"/>
        <w:spacing w:line="360" w:lineRule="auto"/>
        <w:ind w:firstLine="640" w:firstLineChars="200"/>
        <w:rPr>
          <w:rFonts w:hint="eastAsia" w:ascii="仿宋" w:hAnsi="仿宋" w:eastAsia="仿宋" w:cs="仿宋"/>
          <w:sz w:val="32"/>
          <w:szCs w:val="32"/>
        </w:rPr>
      </w:pPr>
    </w:p>
    <w:p w14:paraId="69C5AE83">
      <w:pPr>
        <w:adjustRightInd w:val="0"/>
        <w:snapToGrid w:val="0"/>
        <w:spacing w:line="360" w:lineRule="auto"/>
        <w:ind w:firstLine="640" w:firstLineChars="200"/>
        <w:rPr>
          <w:rFonts w:hint="eastAsia" w:ascii="仿宋" w:hAnsi="仿宋" w:eastAsia="仿宋" w:cs="仿宋"/>
          <w:sz w:val="32"/>
          <w:szCs w:val="32"/>
        </w:rPr>
      </w:pPr>
    </w:p>
    <w:p w14:paraId="1655B800">
      <w:pPr>
        <w:adjustRightInd w:val="0"/>
        <w:snapToGrid w:val="0"/>
        <w:spacing w:line="360" w:lineRule="auto"/>
        <w:ind w:firstLine="5760" w:firstLineChars="18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考古学院</w:t>
      </w:r>
    </w:p>
    <w:p w14:paraId="71EF864C">
      <w:pPr>
        <w:adjustRightInd w:val="0"/>
        <w:snapToGrid w:val="0"/>
        <w:spacing w:line="360" w:lineRule="auto"/>
        <w:ind w:firstLine="5440" w:firstLineChars="1700"/>
        <w:rPr>
          <w:rFonts w:hint="default" w:ascii="仿宋" w:hAnsi="仿宋" w:eastAsia="仿宋" w:cs="仿宋"/>
          <w:sz w:val="32"/>
          <w:szCs w:val="32"/>
          <w:lang w:val="en-US" w:eastAsia="zh-CN"/>
        </w:rPr>
        <w:sectPr>
          <w:footerReference r:id="rId3" w:type="default"/>
          <w:pgSz w:w="11906" w:h="16838"/>
          <w:pgMar w:top="1440" w:right="1800" w:bottom="1440" w:left="1800" w:header="851" w:footer="992" w:gutter="0"/>
          <w:pgNumType w:fmt="numberInDash"/>
          <w:cols w:space="425" w:num="1"/>
          <w:docGrid w:type="lines" w:linePitch="312" w:charSpace="0"/>
        </w:sectPr>
      </w:pPr>
      <w:r>
        <w:rPr>
          <w:rFonts w:hint="eastAsia" w:ascii="仿宋" w:hAnsi="仿宋" w:eastAsia="仿宋" w:cs="仿宋"/>
          <w:sz w:val="32"/>
          <w:szCs w:val="32"/>
          <w:lang w:val="en-US" w:eastAsia="zh-CN"/>
        </w:rPr>
        <w:t>2024年8月28日</w:t>
      </w:r>
      <w:bookmarkStart w:id="0" w:name="_GoBack"/>
      <w:bookmarkEnd w:id="0"/>
    </w:p>
    <w:p w14:paraId="349AE62C">
      <w:pPr>
        <w:adjustRightInd w:val="0"/>
        <w:snapToGrid w:val="0"/>
        <w:spacing w:line="360" w:lineRule="auto"/>
        <w:ind w:firstLine="640" w:firstLineChars="200"/>
        <w:jc w:val="center"/>
        <w:rPr>
          <w:rFonts w:hint="eastAsia" w:ascii="仿宋" w:hAnsi="仿宋" w:eastAsia="仿宋" w:cs="仿宋"/>
          <w:b/>
          <w:bCs/>
          <w:sz w:val="32"/>
          <w:szCs w:val="32"/>
        </w:rPr>
      </w:pPr>
      <w:r>
        <w:rPr>
          <w:rFonts w:hint="eastAsia" w:ascii="仿宋" w:hAnsi="仿宋" w:eastAsia="仿宋" w:cs="仿宋"/>
          <w:b/>
          <w:bCs/>
          <w:sz w:val="32"/>
          <w:szCs w:val="32"/>
        </w:rPr>
        <w:t>吉林大学考古学院本科生素质类项目加分标准</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3"/>
        <w:gridCol w:w="2848"/>
        <w:gridCol w:w="2517"/>
        <w:gridCol w:w="2157"/>
        <w:gridCol w:w="4829"/>
      </w:tblGrid>
      <w:tr w14:paraId="31681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7EDD8CB3">
            <w:pPr>
              <w:adjustRightInd w:val="0"/>
              <w:snapToGrid w:val="0"/>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类别</w:t>
            </w:r>
          </w:p>
        </w:tc>
        <w:tc>
          <w:tcPr>
            <w:tcW w:w="0" w:type="auto"/>
            <w:gridSpan w:val="2"/>
            <w:vAlign w:val="center"/>
          </w:tcPr>
          <w:p w14:paraId="00F69C84">
            <w:pPr>
              <w:adjustRightInd w:val="0"/>
              <w:snapToGrid w:val="0"/>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加分项目</w:t>
            </w:r>
          </w:p>
        </w:tc>
        <w:tc>
          <w:tcPr>
            <w:tcW w:w="0" w:type="auto"/>
            <w:vAlign w:val="center"/>
          </w:tcPr>
          <w:p w14:paraId="50E66D7C">
            <w:pPr>
              <w:adjustRightInd w:val="0"/>
              <w:snapToGrid w:val="0"/>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加分对象</w:t>
            </w:r>
          </w:p>
        </w:tc>
        <w:tc>
          <w:tcPr>
            <w:tcW w:w="0" w:type="auto"/>
            <w:vAlign w:val="center"/>
          </w:tcPr>
          <w:p w14:paraId="7744FC10">
            <w:pPr>
              <w:adjustRightInd w:val="0"/>
              <w:snapToGrid w:val="0"/>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加分认定</w:t>
            </w:r>
          </w:p>
        </w:tc>
      </w:tr>
      <w:tr w14:paraId="6A4CA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0" w:type="auto"/>
            <w:vMerge w:val="restart"/>
            <w:vAlign w:val="center"/>
          </w:tcPr>
          <w:p w14:paraId="04588B51">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一、科研成果（最高0.4GPA）</w:t>
            </w:r>
          </w:p>
        </w:tc>
        <w:tc>
          <w:tcPr>
            <w:tcW w:w="0" w:type="auto"/>
            <w:vMerge w:val="restart"/>
            <w:vAlign w:val="center"/>
          </w:tcPr>
          <w:p w14:paraId="6083DD92">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大学生创新创业训练计划项目</w:t>
            </w:r>
          </w:p>
        </w:tc>
        <w:tc>
          <w:tcPr>
            <w:tcW w:w="0" w:type="auto"/>
            <w:vMerge w:val="restart"/>
            <w:vAlign w:val="center"/>
          </w:tcPr>
          <w:p w14:paraId="78DC453B">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国家级结题优秀项目</w:t>
            </w:r>
          </w:p>
        </w:tc>
        <w:tc>
          <w:tcPr>
            <w:tcW w:w="0" w:type="auto"/>
            <w:vAlign w:val="center"/>
          </w:tcPr>
          <w:p w14:paraId="264A2BF5">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restart"/>
            <w:vAlign w:val="center"/>
          </w:tcPr>
          <w:p w14:paraId="762711DB">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负责人加分0.2GPA，</w:t>
            </w:r>
          </w:p>
          <w:p w14:paraId="70A96A47">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第二名加分0.1GPA，</w:t>
            </w:r>
          </w:p>
          <w:p w14:paraId="49CBBA33">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中间换人不加分。</w:t>
            </w:r>
          </w:p>
        </w:tc>
      </w:tr>
      <w:tr w14:paraId="4E06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14:paraId="065F2E8D">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6B245448">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52EBCDE0">
            <w:pPr>
              <w:adjustRightInd w:val="0"/>
              <w:snapToGrid w:val="0"/>
              <w:spacing w:line="360" w:lineRule="auto"/>
              <w:rPr>
                <w:rFonts w:hint="eastAsia" w:ascii="仿宋" w:hAnsi="仿宋" w:eastAsia="仿宋" w:cs="仿宋"/>
                <w:sz w:val="32"/>
                <w:szCs w:val="32"/>
              </w:rPr>
            </w:pPr>
          </w:p>
        </w:tc>
        <w:tc>
          <w:tcPr>
            <w:tcW w:w="0" w:type="auto"/>
            <w:vAlign w:val="center"/>
          </w:tcPr>
          <w:p w14:paraId="66C49AB9">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14:paraId="77298633">
            <w:pPr>
              <w:adjustRightInd w:val="0"/>
              <w:snapToGrid w:val="0"/>
              <w:spacing w:line="360" w:lineRule="auto"/>
              <w:rPr>
                <w:rFonts w:hint="eastAsia" w:ascii="仿宋" w:hAnsi="仿宋" w:eastAsia="仿宋" w:cs="仿宋"/>
                <w:sz w:val="32"/>
                <w:szCs w:val="32"/>
              </w:rPr>
            </w:pPr>
          </w:p>
        </w:tc>
      </w:tr>
      <w:tr w14:paraId="731B5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14:paraId="50B2DA2A">
            <w:pPr>
              <w:adjustRightInd w:val="0"/>
              <w:snapToGrid w:val="0"/>
              <w:spacing w:line="360" w:lineRule="auto"/>
              <w:rPr>
                <w:rFonts w:hint="eastAsia" w:ascii="仿宋" w:hAnsi="仿宋" w:eastAsia="仿宋" w:cs="仿宋"/>
                <w:sz w:val="32"/>
                <w:szCs w:val="32"/>
              </w:rPr>
            </w:pPr>
          </w:p>
        </w:tc>
        <w:tc>
          <w:tcPr>
            <w:tcW w:w="0" w:type="auto"/>
            <w:vMerge w:val="restart"/>
            <w:vAlign w:val="center"/>
          </w:tcPr>
          <w:p w14:paraId="7392208E">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学术论文（本专业领域）</w:t>
            </w:r>
          </w:p>
        </w:tc>
        <w:tc>
          <w:tcPr>
            <w:tcW w:w="0" w:type="auto"/>
            <w:vMerge w:val="restart"/>
            <w:vAlign w:val="center"/>
          </w:tcPr>
          <w:p w14:paraId="6553855A">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中国科学院文献情报中心期刊分区论文发表当年适用的吉林大学哲学社会科学学术刊物目录、北大核心期刊目录</w:t>
            </w:r>
          </w:p>
        </w:tc>
        <w:tc>
          <w:tcPr>
            <w:tcW w:w="0" w:type="auto"/>
            <w:vAlign w:val="center"/>
          </w:tcPr>
          <w:p w14:paraId="156114DE">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一区通讯作者或第一作者/A类 第一作者</w:t>
            </w:r>
          </w:p>
        </w:tc>
        <w:tc>
          <w:tcPr>
            <w:tcW w:w="0" w:type="auto"/>
            <w:vAlign w:val="center"/>
          </w:tcPr>
          <w:p w14:paraId="2259A73C">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0.4GPA</w:t>
            </w:r>
          </w:p>
        </w:tc>
      </w:tr>
      <w:tr w14:paraId="360EE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14:paraId="3F061572">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6A9FD4CE">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23B2F34C">
            <w:pPr>
              <w:adjustRightInd w:val="0"/>
              <w:snapToGrid w:val="0"/>
              <w:spacing w:line="360" w:lineRule="auto"/>
              <w:rPr>
                <w:rFonts w:hint="eastAsia" w:ascii="仿宋" w:hAnsi="仿宋" w:eastAsia="仿宋" w:cs="仿宋"/>
                <w:sz w:val="32"/>
                <w:szCs w:val="32"/>
              </w:rPr>
            </w:pPr>
          </w:p>
        </w:tc>
        <w:tc>
          <w:tcPr>
            <w:tcW w:w="0" w:type="auto"/>
            <w:vAlign w:val="center"/>
          </w:tcPr>
          <w:p w14:paraId="363806B5">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二区通讯作者或第一作者/B类 第一作者</w:t>
            </w:r>
          </w:p>
        </w:tc>
        <w:tc>
          <w:tcPr>
            <w:tcW w:w="0" w:type="auto"/>
            <w:vAlign w:val="center"/>
          </w:tcPr>
          <w:p w14:paraId="0C493EB5">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0.3GPA</w:t>
            </w:r>
          </w:p>
        </w:tc>
      </w:tr>
      <w:tr w14:paraId="04927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14:paraId="6497620D">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43BD2A4D">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56FA84CA">
            <w:pPr>
              <w:adjustRightInd w:val="0"/>
              <w:snapToGrid w:val="0"/>
              <w:spacing w:line="360" w:lineRule="auto"/>
              <w:rPr>
                <w:rFonts w:hint="eastAsia" w:ascii="仿宋" w:hAnsi="仿宋" w:eastAsia="仿宋" w:cs="仿宋"/>
                <w:sz w:val="32"/>
                <w:szCs w:val="32"/>
              </w:rPr>
            </w:pPr>
          </w:p>
        </w:tc>
        <w:tc>
          <w:tcPr>
            <w:tcW w:w="0" w:type="auto"/>
            <w:vAlign w:val="center"/>
          </w:tcPr>
          <w:p w14:paraId="7E4D6874">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三区通讯作者或第一作者/C类 第一作者</w:t>
            </w:r>
          </w:p>
        </w:tc>
        <w:tc>
          <w:tcPr>
            <w:tcW w:w="0" w:type="auto"/>
            <w:vAlign w:val="center"/>
          </w:tcPr>
          <w:p w14:paraId="0C22073D">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0.2GPA</w:t>
            </w:r>
          </w:p>
        </w:tc>
      </w:tr>
      <w:tr w14:paraId="2A7A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14:paraId="53685A20">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339EC73F">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4FFEB70F">
            <w:pPr>
              <w:adjustRightInd w:val="0"/>
              <w:snapToGrid w:val="0"/>
              <w:spacing w:line="360" w:lineRule="auto"/>
              <w:rPr>
                <w:rFonts w:hint="eastAsia" w:ascii="仿宋" w:hAnsi="仿宋" w:eastAsia="仿宋" w:cs="仿宋"/>
                <w:sz w:val="32"/>
                <w:szCs w:val="32"/>
              </w:rPr>
            </w:pPr>
          </w:p>
        </w:tc>
        <w:tc>
          <w:tcPr>
            <w:tcW w:w="0" w:type="auto"/>
            <w:vAlign w:val="center"/>
          </w:tcPr>
          <w:p w14:paraId="0F254F13">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四区通讯作者或第一作者/D类及非ABCD类的北大核心期刊）第一作者</w:t>
            </w:r>
          </w:p>
        </w:tc>
        <w:tc>
          <w:tcPr>
            <w:tcW w:w="0" w:type="auto"/>
            <w:vAlign w:val="center"/>
          </w:tcPr>
          <w:p w14:paraId="44896DC8">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0.1GPA</w:t>
            </w:r>
          </w:p>
        </w:tc>
      </w:tr>
      <w:tr w14:paraId="23B30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jc w:val="center"/>
        </w:trPr>
        <w:tc>
          <w:tcPr>
            <w:tcW w:w="0" w:type="auto"/>
            <w:vMerge w:val="restart"/>
            <w:vAlign w:val="center"/>
          </w:tcPr>
          <w:p w14:paraId="50222EAA">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二、竞赛获奖</w:t>
            </w:r>
          </w:p>
        </w:tc>
        <w:tc>
          <w:tcPr>
            <w:tcW w:w="0" w:type="auto"/>
            <w:vMerge w:val="restart"/>
            <w:vAlign w:val="center"/>
          </w:tcPr>
          <w:p w14:paraId="59F7C5A1">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吉林大学本科学生学科竞赛体系（最高0.4GPA）</w:t>
            </w:r>
          </w:p>
        </w:tc>
        <w:tc>
          <w:tcPr>
            <w:tcW w:w="0" w:type="auto"/>
            <w:vMerge w:val="restart"/>
            <w:vAlign w:val="center"/>
          </w:tcPr>
          <w:p w14:paraId="4E9B38BE">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A类获得国家级奖项一等奖（金奖）</w:t>
            </w:r>
          </w:p>
        </w:tc>
        <w:tc>
          <w:tcPr>
            <w:tcW w:w="0" w:type="auto"/>
            <w:vAlign w:val="center"/>
          </w:tcPr>
          <w:p w14:paraId="4D646FED">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restart"/>
            <w:vAlign w:val="center"/>
          </w:tcPr>
          <w:p w14:paraId="65C45407">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负责人0.4GPA</w:t>
            </w:r>
          </w:p>
          <w:p w14:paraId="5E2A3649">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第二名0.3GPA</w:t>
            </w:r>
          </w:p>
          <w:p w14:paraId="44675C62">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第三名0.2GPA</w:t>
            </w:r>
          </w:p>
          <w:p w14:paraId="4C8DB10A">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中间换人不加分</w:t>
            </w:r>
          </w:p>
        </w:tc>
      </w:tr>
      <w:tr w14:paraId="0166A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0" w:type="auto"/>
            <w:vMerge w:val="continue"/>
            <w:vAlign w:val="center"/>
          </w:tcPr>
          <w:p w14:paraId="05FE6F91">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6E3FA2EB">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0C794CC2">
            <w:pPr>
              <w:adjustRightInd w:val="0"/>
              <w:snapToGrid w:val="0"/>
              <w:spacing w:line="360" w:lineRule="auto"/>
              <w:rPr>
                <w:rFonts w:hint="eastAsia" w:ascii="仿宋" w:hAnsi="仿宋" w:eastAsia="仿宋" w:cs="仿宋"/>
                <w:sz w:val="32"/>
                <w:szCs w:val="32"/>
              </w:rPr>
            </w:pPr>
          </w:p>
        </w:tc>
        <w:tc>
          <w:tcPr>
            <w:tcW w:w="0" w:type="auto"/>
            <w:vAlign w:val="center"/>
          </w:tcPr>
          <w:p w14:paraId="639F7D05">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14:paraId="6189C8C0">
            <w:pPr>
              <w:adjustRightInd w:val="0"/>
              <w:snapToGrid w:val="0"/>
              <w:spacing w:line="360" w:lineRule="auto"/>
              <w:rPr>
                <w:rFonts w:hint="eastAsia" w:ascii="仿宋" w:hAnsi="仿宋" w:eastAsia="仿宋" w:cs="仿宋"/>
                <w:sz w:val="32"/>
                <w:szCs w:val="32"/>
              </w:rPr>
            </w:pPr>
          </w:p>
        </w:tc>
      </w:tr>
      <w:tr w14:paraId="541B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0" w:type="auto"/>
            <w:vMerge w:val="continue"/>
            <w:vAlign w:val="center"/>
          </w:tcPr>
          <w:p w14:paraId="3A48E57A">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197AFC24">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56023AD2">
            <w:pPr>
              <w:adjustRightInd w:val="0"/>
              <w:snapToGrid w:val="0"/>
              <w:spacing w:line="360" w:lineRule="auto"/>
              <w:rPr>
                <w:rFonts w:hint="eastAsia" w:ascii="仿宋" w:hAnsi="仿宋" w:eastAsia="仿宋" w:cs="仿宋"/>
                <w:sz w:val="32"/>
                <w:szCs w:val="32"/>
              </w:rPr>
            </w:pPr>
          </w:p>
        </w:tc>
        <w:tc>
          <w:tcPr>
            <w:tcW w:w="0" w:type="auto"/>
            <w:vAlign w:val="center"/>
          </w:tcPr>
          <w:p w14:paraId="44F6640A">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第三名</w:t>
            </w:r>
          </w:p>
        </w:tc>
        <w:tc>
          <w:tcPr>
            <w:tcW w:w="0" w:type="auto"/>
            <w:vMerge w:val="continue"/>
            <w:vAlign w:val="center"/>
          </w:tcPr>
          <w:p w14:paraId="545723A0">
            <w:pPr>
              <w:adjustRightInd w:val="0"/>
              <w:snapToGrid w:val="0"/>
              <w:spacing w:line="360" w:lineRule="auto"/>
              <w:rPr>
                <w:rFonts w:hint="eastAsia" w:ascii="仿宋" w:hAnsi="仿宋" w:eastAsia="仿宋" w:cs="仿宋"/>
                <w:sz w:val="32"/>
                <w:szCs w:val="32"/>
              </w:rPr>
            </w:pPr>
          </w:p>
        </w:tc>
      </w:tr>
      <w:tr w14:paraId="5697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jc w:val="center"/>
        </w:trPr>
        <w:tc>
          <w:tcPr>
            <w:tcW w:w="0" w:type="auto"/>
            <w:vMerge w:val="continue"/>
            <w:vAlign w:val="center"/>
          </w:tcPr>
          <w:p w14:paraId="7CE82BAB">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34CA4BC4">
            <w:pPr>
              <w:adjustRightInd w:val="0"/>
              <w:snapToGrid w:val="0"/>
              <w:spacing w:line="360" w:lineRule="auto"/>
              <w:rPr>
                <w:rFonts w:hint="eastAsia" w:ascii="仿宋" w:hAnsi="仿宋" w:eastAsia="仿宋" w:cs="仿宋"/>
                <w:sz w:val="32"/>
                <w:szCs w:val="32"/>
              </w:rPr>
            </w:pPr>
          </w:p>
        </w:tc>
        <w:tc>
          <w:tcPr>
            <w:tcW w:w="0" w:type="auto"/>
            <w:vMerge w:val="restart"/>
            <w:vAlign w:val="center"/>
          </w:tcPr>
          <w:p w14:paraId="71E2E4BF">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A类获得国家级奖项二等奖（银奖）</w:t>
            </w:r>
          </w:p>
        </w:tc>
        <w:tc>
          <w:tcPr>
            <w:tcW w:w="0" w:type="auto"/>
            <w:vAlign w:val="center"/>
          </w:tcPr>
          <w:p w14:paraId="3A545400">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restart"/>
            <w:vAlign w:val="center"/>
          </w:tcPr>
          <w:p w14:paraId="0148651D">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负责人0.3GPA</w:t>
            </w:r>
          </w:p>
          <w:p w14:paraId="3A4A277A">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第二名0.2GPA</w:t>
            </w:r>
          </w:p>
          <w:p w14:paraId="3B775690">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第三名0.1GPA</w:t>
            </w:r>
          </w:p>
          <w:p w14:paraId="51FBEFEE">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中间换人不加分</w:t>
            </w:r>
          </w:p>
        </w:tc>
      </w:tr>
      <w:tr w14:paraId="2FD0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jc w:val="center"/>
        </w:trPr>
        <w:tc>
          <w:tcPr>
            <w:tcW w:w="0" w:type="auto"/>
            <w:vMerge w:val="continue"/>
            <w:vAlign w:val="center"/>
          </w:tcPr>
          <w:p w14:paraId="69BEF0D2">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128AB1A2">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2AB0EA50">
            <w:pPr>
              <w:adjustRightInd w:val="0"/>
              <w:snapToGrid w:val="0"/>
              <w:spacing w:line="360" w:lineRule="auto"/>
              <w:rPr>
                <w:rFonts w:hint="eastAsia" w:ascii="仿宋" w:hAnsi="仿宋" w:eastAsia="仿宋" w:cs="仿宋"/>
                <w:sz w:val="32"/>
                <w:szCs w:val="32"/>
              </w:rPr>
            </w:pPr>
          </w:p>
        </w:tc>
        <w:tc>
          <w:tcPr>
            <w:tcW w:w="0" w:type="auto"/>
            <w:vAlign w:val="center"/>
          </w:tcPr>
          <w:p w14:paraId="3ACBBC0C">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14:paraId="5624C8EC">
            <w:pPr>
              <w:adjustRightInd w:val="0"/>
              <w:snapToGrid w:val="0"/>
              <w:spacing w:line="360" w:lineRule="auto"/>
              <w:rPr>
                <w:rFonts w:hint="eastAsia" w:ascii="仿宋" w:hAnsi="仿宋" w:eastAsia="仿宋" w:cs="仿宋"/>
                <w:sz w:val="32"/>
                <w:szCs w:val="32"/>
              </w:rPr>
            </w:pPr>
          </w:p>
        </w:tc>
      </w:tr>
      <w:tr w14:paraId="50DE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0" w:type="auto"/>
            <w:vMerge w:val="continue"/>
            <w:vAlign w:val="center"/>
          </w:tcPr>
          <w:p w14:paraId="1F74BE91">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1E7A56DE">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027307D4">
            <w:pPr>
              <w:adjustRightInd w:val="0"/>
              <w:snapToGrid w:val="0"/>
              <w:spacing w:line="360" w:lineRule="auto"/>
              <w:rPr>
                <w:rFonts w:hint="eastAsia" w:ascii="仿宋" w:hAnsi="仿宋" w:eastAsia="仿宋" w:cs="仿宋"/>
                <w:sz w:val="32"/>
                <w:szCs w:val="32"/>
              </w:rPr>
            </w:pPr>
          </w:p>
        </w:tc>
        <w:tc>
          <w:tcPr>
            <w:tcW w:w="0" w:type="auto"/>
            <w:vAlign w:val="center"/>
          </w:tcPr>
          <w:p w14:paraId="44D3F024">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第三名</w:t>
            </w:r>
          </w:p>
        </w:tc>
        <w:tc>
          <w:tcPr>
            <w:tcW w:w="0" w:type="auto"/>
            <w:vMerge w:val="continue"/>
            <w:vAlign w:val="center"/>
          </w:tcPr>
          <w:p w14:paraId="59C508B7">
            <w:pPr>
              <w:adjustRightInd w:val="0"/>
              <w:snapToGrid w:val="0"/>
              <w:spacing w:line="360" w:lineRule="auto"/>
              <w:rPr>
                <w:rFonts w:hint="eastAsia" w:ascii="仿宋" w:hAnsi="仿宋" w:eastAsia="仿宋" w:cs="仿宋"/>
                <w:sz w:val="32"/>
                <w:szCs w:val="32"/>
              </w:rPr>
            </w:pPr>
          </w:p>
        </w:tc>
      </w:tr>
      <w:tr w14:paraId="1512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0" w:type="auto"/>
            <w:vMerge w:val="continue"/>
            <w:vAlign w:val="center"/>
          </w:tcPr>
          <w:p w14:paraId="24D251DD">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098AC555">
            <w:pPr>
              <w:adjustRightInd w:val="0"/>
              <w:snapToGrid w:val="0"/>
              <w:spacing w:line="360" w:lineRule="auto"/>
              <w:rPr>
                <w:rFonts w:hint="eastAsia" w:ascii="仿宋" w:hAnsi="仿宋" w:eastAsia="仿宋" w:cs="仿宋"/>
                <w:sz w:val="32"/>
                <w:szCs w:val="32"/>
              </w:rPr>
            </w:pPr>
          </w:p>
        </w:tc>
        <w:tc>
          <w:tcPr>
            <w:tcW w:w="0" w:type="auto"/>
            <w:vMerge w:val="restart"/>
            <w:vAlign w:val="center"/>
          </w:tcPr>
          <w:p w14:paraId="08D8ACDC">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A类获得国家级奖项三等奖（铜奖）</w:t>
            </w:r>
          </w:p>
        </w:tc>
        <w:tc>
          <w:tcPr>
            <w:tcW w:w="0" w:type="auto"/>
            <w:vAlign w:val="center"/>
          </w:tcPr>
          <w:p w14:paraId="1CE5FD20">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restart"/>
            <w:vAlign w:val="center"/>
          </w:tcPr>
          <w:p w14:paraId="4CF185F2">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负责人0.2GPA</w:t>
            </w:r>
          </w:p>
          <w:p w14:paraId="1B4B8B90">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第二名0.1GPA</w:t>
            </w:r>
          </w:p>
          <w:p w14:paraId="438D84EA">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中间换人不加分</w:t>
            </w:r>
          </w:p>
        </w:tc>
      </w:tr>
      <w:tr w14:paraId="734F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0" w:type="auto"/>
            <w:vMerge w:val="continue"/>
            <w:vAlign w:val="center"/>
          </w:tcPr>
          <w:p w14:paraId="6AAA8E1F">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585F66EC">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533C2CD3">
            <w:pPr>
              <w:adjustRightInd w:val="0"/>
              <w:snapToGrid w:val="0"/>
              <w:spacing w:line="360" w:lineRule="auto"/>
              <w:rPr>
                <w:rFonts w:hint="eastAsia" w:ascii="仿宋" w:hAnsi="仿宋" w:eastAsia="仿宋" w:cs="仿宋"/>
                <w:sz w:val="32"/>
                <w:szCs w:val="32"/>
              </w:rPr>
            </w:pPr>
          </w:p>
        </w:tc>
        <w:tc>
          <w:tcPr>
            <w:tcW w:w="0" w:type="auto"/>
            <w:vAlign w:val="center"/>
          </w:tcPr>
          <w:p w14:paraId="20E88385">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14:paraId="507E7FD7">
            <w:pPr>
              <w:adjustRightInd w:val="0"/>
              <w:snapToGrid w:val="0"/>
              <w:spacing w:line="360" w:lineRule="auto"/>
              <w:rPr>
                <w:rFonts w:hint="eastAsia" w:ascii="仿宋" w:hAnsi="仿宋" w:eastAsia="仿宋" w:cs="仿宋"/>
                <w:sz w:val="32"/>
                <w:szCs w:val="32"/>
              </w:rPr>
            </w:pPr>
          </w:p>
        </w:tc>
      </w:tr>
      <w:tr w14:paraId="3958E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0" w:type="auto"/>
            <w:vMerge w:val="continue"/>
            <w:vAlign w:val="center"/>
          </w:tcPr>
          <w:p w14:paraId="021E18B6">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7E3D5F20">
            <w:pPr>
              <w:adjustRightInd w:val="0"/>
              <w:snapToGrid w:val="0"/>
              <w:spacing w:line="360" w:lineRule="auto"/>
              <w:rPr>
                <w:rFonts w:hint="eastAsia" w:ascii="仿宋" w:hAnsi="仿宋" w:eastAsia="仿宋" w:cs="仿宋"/>
                <w:sz w:val="32"/>
                <w:szCs w:val="32"/>
              </w:rPr>
            </w:pPr>
          </w:p>
        </w:tc>
        <w:tc>
          <w:tcPr>
            <w:tcW w:w="0" w:type="auto"/>
            <w:vMerge w:val="restart"/>
            <w:vAlign w:val="center"/>
          </w:tcPr>
          <w:p w14:paraId="39EAEBE8">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B类获得国家级奖项一等奖（金奖）</w:t>
            </w:r>
          </w:p>
        </w:tc>
        <w:tc>
          <w:tcPr>
            <w:tcW w:w="0" w:type="auto"/>
            <w:vAlign w:val="center"/>
          </w:tcPr>
          <w:p w14:paraId="4515ADCA">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restart"/>
            <w:vAlign w:val="center"/>
          </w:tcPr>
          <w:p w14:paraId="6DF8F6E6">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负责人0.3GPA</w:t>
            </w:r>
          </w:p>
          <w:p w14:paraId="00CD149A">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第二名0.2GPA</w:t>
            </w:r>
          </w:p>
          <w:p w14:paraId="43E82939">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中间换人不加分</w:t>
            </w:r>
          </w:p>
        </w:tc>
      </w:tr>
      <w:tr w14:paraId="75085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0" w:type="auto"/>
            <w:vMerge w:val="continue"/>
            <w:vAlign w:val="center"/>
          </w:tcPr>
          <w:p w14:paraId="7CD090BF">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0DDE3A92">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3A8C2A11">
            <w:pPr>
              <w:adjustRightInd w:val="0"/>
              <w:snapToGrid w:val="0"/>
              <w:spacing w:line="360" w:lineRule="auto"/>
              <w:rPr>
                <w:rFonts w:hint="eastAsia" w:ascii="仿宋" w:hAnsi="仿宋" w:eastAsia="仿宋" w:cs="仿宋"/>
                <w:sz w:val="32"/>
                <w:szCs w:val="32"/>
              </w:rPr>
            </w:pPr>
          </w:p>
        </w:tc>
        <w:tc>
          <w:tcPr>
            <w:tcW w:w="0" w:type="auto"/>
            <w:vAlign w:val="center"/>
          </w:tcPr>
          <w:p w14:paraId="7F9A3434">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14:paraId="6E8EABF3">
            <w:pPr>
              <w:adjustRightInd w:val="0"/>
              <w:snapToGrid w:val="0"/>
              <w:spacing w:line="360" w:lineRule="auto"/>
              <w:rPr>
                <w:rFonts w:hint="eastAsia" w:ascii="仿宋" w:hAnsi="仿宋" w:eastAsia="仿宋" w:cs="仿宋"/>
                <w:sz w:val="32"/>
                <w:szCs w:val="32"/>
              </w:rPr>
            </w:pPr>
          </w:p>
        </w:tc>
      </w:tr>
      <w:tr w14:paraId="594A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4" w:hRule="atLeast"/>
          <w:jc w:val="center"/>
        </w:trPr>
        <w:tc>
          <w:tcPr>
            <w:tcW w:w="0" w:type="auto"/>
            <w:vMerge w:val="continue"/>
            <w:vAlign w:val="center"/>
          </w:tcPr>
          <w:p w14:paraId="0C872419">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53C8996C">
            <w:pPr>
              <w:adjustRightInd w:val="0"/>
              <w:snapToGrid w:val="0"/>
              <w:spacing w:line="360" w:lineRule="auto"/>
              <w:rPr>
                <w:rFonts w:hint="eastAsia" w:ascii="仿宋" w:hAnsi="仿宋" w:eastAsia="仿宋" w:cs="仿宋"/>
                <w:sz w:val="32"/>
                <w:szCs w:val="32"/>
              </w:rPr>
            </w:pPr>
          </w:p>
        </w:tc>
        <w:tc>
          <w:tcPr>
            <w:tcW w:w="0" w:type="auto"/>
            <w:vMerge w:val="restart"/>
            <w:vAlign w:val="center"/>
          </w:tcPr>
          <w:p w14:paraId="48845885">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B类获得国家级奖项二等奖（银奖）</w:t>
            </w:r>
          </w:p>
        </w:tc>
        <w:tc>
          <w:tcPr>
            <w:tcW w:w="0" w:type="auto"/>
            <w:vAlign w:val="center"/>
          </w:tcPr>
          <w:p w14:paraId="41EDEF62">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restart"/>
            <w:vAlign w:val="center"/>
          </w:tcPr>
          <w:p w14:paraId="6EC84F5B">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负责人0.2GPA</w:t>
            </w:r>
          </w:p>
          <w:p w14:paraId="5AED5EFA">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第二名0.1GPA</w:t>
            </w:r>
          </w:p>
          <w:p w14:paraId="5BAA7766">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中间换人不加分</w:t>
            </w:r>
          </w:p>
        </w:tc>
      </w:tr>
      <w:tr w14:paraId="2D248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0" w:type="auto"/>
            <w:vMerge w:val="continue"/>
            <w:vAlign w:val="center"/>
          </w:tcPr>
          <w:p w14:paraId="1867120C">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22C62FC8">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19E73692">
            <w:pPr>
              <w:adjustRightInd w:val="0"/>
              <w:snapToGrid w:val="0"/>
              <w:spacing w:line="360" w:lineRule="auto"/>
              <w:rPr>
                <w:rFonts w:hint="eastAsia" w:ascii="仿宋" w:hAnsi="仿宋" w:eastAsia="仿宋" w:cs="仿宋"/>
                <w:sz w:val="32"/>
                <w:szCs w:val="32"/>
              </w:rPr>
            </w:pPr>
          </w:p>
        </w:tc>
        <w:tc>
          <w:tcPr>
            <w:tcW w:w="0" w:type="auto"/>
            <w:vAlign w:val="center"/>
          </w:tcPr>
          <w:p w14:paraId="5C2C0CAB">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14:paraId="480FF290">
            <w:pPr>
              <w:adjustRightInd w:val="0"/>
              <w:snapToGrid w:val="0"/>
              <w:spacing w:line="360" w:lineRule="auto"/>
              <w:rPr>
                <w:rFonts w:hint="eastAsia" w:ascii="仿宋" w:hAnsi="仿宋" w:eastAsia="仿宋" w:cs="仿宋"/>
                <w:sz w:val="32"/>
                <w:szCs w:val="32"/>
              </w:rPr>
            </w:pPr>
          </w:p>
        </w:tc>
      </w:tr>
      <w:tr w14:paraId="5911B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0" w:type="auto"/>
            <w:vMerge w:val="continue"/>
            <w:vAlign w:val="center"/>
          </w:tcPr>
          <w:p w14:paraId="67538B33">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2685E97A">
            <w:pPr>
              <w:adjustRightInd w:val="0"/>
              <w:snapToGrid w:val="0"/>
              <w:spacing w:line="360" w:lineRule="auto"/>
              <w:rPr>
                <w:rFonts w:hint="eastAsia" w:ascii="仿宋" w:hAnsi="仿宋" w:eastAsia="仿宋" w:cs="仿宋"/>
                <w:sz w:val="32"/>
                <w:szCs w:val="32"/>
              </w:rPr>
            </w:pPr>
          </w:p>
        </w:tc>
        <w:tc>
          <w:tcPr>
            <w:tcW w:w="0" w:type="auto"/>
            <w:vAlign w:val="center"/>
          </w:tcPr>
          <w:p w14:paraId="293DCBD8">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B类获得国家级奖项三等奖（铜奖）</w:t>
            </w:r>
          </w:p>
        </w:tc>
        <w:tc>
          <w:tcPr>
            <w:tcW w:w="0" w:type="auto"/>
            <w:vAlign w:val="center"/>
          </w:tcPr>
          <w:p w14:paraId="50016A86">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Align w:val="center"/>
          </w:tcPr>
          <w:p w14:paraId="350FE7B6">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0.1GPA中间换人不加分</w:t>
            </w:r>
          </w:p>
        </w:tc>
      </w:tr>
      <w:tr w14:paraId="71B61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2" w:hRule="atLeast"/>
          <w:jc w:val="center"/>
        </w:trPr>
        <w:tc>
          <w:tcPr>
            <w:tcW w:w="0" w:type="auto"/>
            <w:vMerge w:val="continue"/>
            <w:vAlign w:val="center"/>
          </w:tcPr>
          <w:p w14:paraId="3F6EBB5A">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5960C992">
            <w:pPr>
              <w:adjustRightInd w:val="0"/>
              <w:snapToGrid w:val="0"/>
              <w:spacing w:line="360" w:lineRule="auto"/>
              <w:rPr>
                <w:rFonts w:hint="eastAsia" w:ascii="仿宋" w:hAnsi="仿宋" w:eastAsia="仿宋" w:cs="仿宋"/>
                <w:sz w:val="32"/>
                <w:szCs w:val="32"/>
              </w:rPr>
            </w:pPr>
          </w:p>
        </w:tc>
        <w:tc>
          <w:tcPr>
            <w:tcW w:w="0" w:type="auto"/>
            <w:vAlign w:val="center"/>
          </w:tcPr>
          <w:p w14:paraId="45F92CD4">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C类获得国家级奖项一等奖（金奖）</w:t>
            </w:r>
          </w:p>
        </w:tc>
        <w:tc>
          <w:tcPr>
            <w:tcW w:w="0" w:type="auto"/>
            <w:vAlign w:val="center"/>
          </w:tcPr>
          <w:p w14:paraId="75DEF600">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Align w:val="center"/>
          </w:tcPr>
          <w:p w14:paraId="665A5FCD">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0.2GPA中间换人不加分</w:t>
            </w:r>
          </w:p>
        </w:tc>
      </w:tr>
      <w:tr w14:paraId="74D0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0" w:hRule="atLeast"/>
          <w:jc w:val="center"/>
        </w:trPr>
        <w:tc>
          <w:tcPr>
            <w:tcW w:w="0" w:type="auto"/>
            <w:vMerge w:val="continue"/>
            <w:vAlign w:val="center"/>
          </w:tcPr>
          <w:p w14:paraId="1B915273">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0E000877">
            <w:pPr>
              <w:adjustRightInd w:val="0"/>
              <w:snapToGrid w:val="0"/>
              <w:spacing w:line="360" w:lineRule="auto"/>
              <w:rPr>
                <w:rFonts w:hint="eastAsia" w:ascii="仿宋" w:hAnsi="仿宋" w:eastAsia="仿宋" w:cs="仿宋"/>
                <w:sz w:val="32"/>
                <w:szCs w:val="32"/>
              </w:rPr>
            </w:pPr>
          </w:p>
        </w:tc>
        <w:tc>
          <w:tcPr>
            <w:tcW w:w="0" w:type="auto"/>
            <w:vAlign w:val="center"/>
          </w:tcPr>
          <w:p w14:paraId="54EB3EFB">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C类获得国家级奖项二等奖（银奖）</w:t>
            </w:r>
          </w:p>
        </w:tc>
        <w:tc>
          <w:tcPr>
            <w:tcW w:w="0" w:type="auto"/>
            <w:vAlign w:val="center"/>
          </w:tcPr>
          <w:p w14:paraId="5F7A6397">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Align w:val="center"/>
          </w:tcPr>
          <w:p w14:paraId="051BA500">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0.1GPA中间换人不加分</w:t>
            </w:r>
          </w:p>
        </w:tc>
      </w:tr>
      <w:tr w14:paraId="3F13A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0" w:type="auto"/>
            <w:vMerge w:val="continue"/>
            <w:vAlign w:val="center"/>
          </w:tcPr>
          <w:p w14:paraId="11DDA7BF">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06C8F6E6">
            <w:pPr>
              <w:adjustRightInd w:val="0"/>
              <w:snapToGrid w:val="0"/>
              <w:spacing w:line="360" w:lineRule="auto"/>
              <w:rPr>
                <w:rFonts w:hint="eastAsia" w:ascii="仿宋" w:hAnsi="仿宋" w:eastAsia="仿宋" w:cs="仿宋"/>
                <w:sz w:val="32"/>
                <w:szCs w:val="32"/>
              </w:rPr>
            </w:pPr>
          </w:p>
        </w:tc>
        <w:tc>
          <w:tcPr>
            <w:tcW w:w="0" w:type="auto"/>
            <w:vAlign w:val="center"/>
          </w:tcPr>
          <w:p w14:paraId="2C2AB821">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C类获得国家级奖项三等奖（铜奖）</w:t>
            </w:r>
          </w:p>
        </w:tc>
        <w:tc>
          <w:tcPr>
            <w:tcW w:w="0" w:type="auto"/>
            <w:vAlign w:val="center"/>
          </w:tcPr>
          <w:p w14:paraId="4D6AC454">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Align w:val="center"/>
          </w:tcPr>
          <w:p w14:paraId="512BF4A0">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0.05GPA中间换人不加分</w:t>
            </w:r>
          </w:p>
        </w:tc>
      </w:tr>
      <w:tr w14:paraId="5A62B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14:paraId="72336461">
            <w:pPr>
              <w:adjustRightInd w:val="0"/>
              <w:snapToGrid w:val="0"/>
              <w:spacing w:line="360" w:lineRule="auto"/>
              <w:rPr>
                <w:rFonts w:hint="eastAsia" w:ascii="仿宋" w:hAnsi="仿宋" w:eastAsia="仿宋" w:cs="仿宋"/>
                <w:sz w:val="32"/>
                <w:szCs w:val="32"/>
              </w:rPr>
            </w:pPr>
          </w:p>
        </w:tc>
        <w:tc>
          <w:tcPr>
            <w:tcW w:w="0" w:type="auto"/>
            <w:vMerge w:val="restart"/>
            <w:vAlign w:val="center"/>
          </w:tcPr>
          <w:p w14:paraId="66161269">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吉林大学本科学生体育竞赛体系（高水平运动员、体育学院运动训练专业学生）（最高1.0GPA）</w:t>
            </w:r>
          </w:p>
        </w:tc>
        <w:tc>
          <w:tcPr>
            <w:tcW w:w="0" w:type="auto"/>
            <w:vMerge w:val="restart"/>
            <w:vAlign w:val="center"/>
          </w:tcPr>
          <w:p w14:paraId="1E9896D8">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中国大学生体协专项锦标赛或联赛</w:t>
            </w:r>
          </w:p>
        </w:tc>
        <w:tc>
          <w:tcPr>
            <w:tcW w:w="0" w:type="auto"/>
            <w:vAlign w:val="center"/>
          </w:tcPr>
          <w:p w14:paraId="3B0A706A">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单项前三名</w:t>
            </w:r>
          </w:p>
        </w:tc>
        <w:tc>
          <w:tcPr>
            <w:tcW w:w="0" w:type="auto"/>
            <w:vMerge w:val="restart"/>
            <w:vAlign w:val="center"/>
          </w:tcPr>
          <w:p w14:paraId="19C65673">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体育学院认定加分（最高1.0GPA）。政治思想素质优秀、于所在专项高水平运动队伍中具有一定的号召力和示范影响力、运动技能和竞技寿命能够胜任研究生阶段的高水平运动队竞赛需要和队伍示范要求。</w:t>
            </w:r>
          </w:p>
        </w:tc>
      </w:tr>
      <w:tr w14:paraId="2DAB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14:paraId="65627DAB">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57EA232D">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49B11F7C">
            <w:pPr>
              <w:adjustRightInd w:val="0"/>
              <w:snapToGrid w:val="0"/>
              <w:spacing w:line="360" w:lineRule="auto"/>
              <w:rPr>
                <w:rFonts w:hint="eastAsia" w:ascii="仿宋" w:hAnsi="仿宋" w:eastAsia="仿宋" w:cs="仿宋"/>
                <w:sz w:val="32"/>
                <w:szCs w:val="32"/>
              </w:rPr>
            </w:pPr>
          </w:p>
        </w:tc>
        <w:tc>
          <w:tcPr>
            <w:tcW w:w="0" w:type="auto"/>
            <w:vAlign w:val="center"/>
          </w:tcPr>
          <w:p w14:paraId="18BDC3C0">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集体项目前十六名</w:t>
            </w:r>
          </w:p>
        </w:tc>
        <w:tc>
          <w:tcPr>
            <w:tcW w:w="0" w:type="auto"/>
            <w:vMerge w:val="continue"/>
            <w:vAlign w:val="center"/>
          </w:tcPr>
          <w:p w14:paraId="57141C87">
            <w:pPr>
              <w:adjustRightInd w:val="0"/>
              <w:snapToGrid w:val="0"/>
              <w:spacing w:line="360" w:lineRule="auto"/>
              <w:rPr>
                <w:rFonts w:hint="eastAsia" w:ascii="仿宋" w:hAnsi="仿宋" w:eastAsia="仿宋" w:cs="仿宋"/>
                <w:sz w:val="32"/>
                <w:szCs w:val="32"/>
              </w:rPr>
            </w:pPr>
          </w:p>
        </w:tc>
      </w:tr>
      <w:tr w14:paraId="418F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14:paraId="699F905B">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7DFC2663">
            <w:pPr>
              <w:adjustRightInd w:val="0"/>
              <w:snapToGrid w:val="0"/>
              <w:spacing w:line="360" w:lineRule="auto"/>
              <w:rPr>
                <w:rFonts w:hint="eastAsia" w:ascii="仿宋" w:hAnsi="仿宋" w:eastAsia="仿宋" w:cs="仿宋"/>
                <w:sz w:val="32"/>
                <w:szCs w:val="32"/>
              </w:rPr>
            </w:pPr>
          </w:p>
        </w:tc>
        <w:tc>
          <w:tcPr>
            <w:tcW w:w="0" w:type="auto"/>
            <w:vAlign w:val="center"/>
          </w:tcPr>
          <w:p w14:paraId="6A15CA02">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吉林省学生体育协会组织的专项锦标赛或联赛</w:t>
            </w:r>
          </w:p>
        </w:tc>
        <w:tc>
          <w:tcPr>
            <w:tcW w:w="0" w:type="auto"/>
            <w:vAlign w:val="center"/>
          </w:tcPr>
          <w:p w14:paraId="213FE1FE">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冠军</w:t>
            </w:r>
          </w:p>
        </w:tc>
        <w:tc>
          <w:tcPr>
            <w:tcW w:w="0" w:type="auto"/>
            <w:vMerge w:val="continue"/>
            <w:vAlign w:val="center"/>
          </w:tcPr>
          <w:p w14:paraId="407A64E2">
            <w:pPr>
              <w:adjustRightInd w:val="0"/>
              <w:snapToGrid w:val="0"/>
              <w:spacing w:line="360" w:lineRule="auto"/>
              <w:rPr>
                <w:rFonts w:hint="eastAsia" w:ascii="仿宋" w:hAnsi="仿宋" w:eastAsia="仿宋" w:cs="仿宋"/>
                <w:sz w:val="32"/>
                <w:szCs w:val="32"/>
              </w:rPr>
            </w:pPr>
          </w:p>
        </w:tc>
      </w:tr>
      <w:tr w14:paraId="546CE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14:paraId="174ABAB0">
            <w:pPr>
              <w:adjustRightInd w:val="0"/>
              <w:snapToGrid w:val="0"/>
              <w:spacing w:line="360" w:lineRule="auto"/>
              <w:rPr>
                <w:rFonts w:hint="eastAsia" w:ascii="仿宋" w:hAnsi="仿宋" w:eastAsia="仿宋" w:cs="仿宋"/>
                <w:sz w:val="32"/>
                <w:szCs w:val="32"/>
              </w:rPr>
            </w:pPr>
          </w:p>
        </w:tc>
        <w:tc>
          <w:tcPr>
            <w:tcW w:w="0" w:type="auto"/>
            <w:vAlign w:val="center"/>
          </w:tcPr>
          <w:p w14:paraId="7C40DA5A">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吉林大学本科学生艺术竞赛体系（最高0.4GPA）</w:t>
            </w:r>
          </w:p>
        </w:tc>
        <w:tc>
          <w:tcPr>
            <w:tcW w:w="0" w:type="auto"/>
            <w:vAlign w:val="center"/>
          </w:tcPr>
          <w:p w14:paraId="2BDFA422">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代表学校参加经认证的国家或省级专业类大赛</w:t>
            </w:r>
          </w:p>
        </w:tc>
        <w:tc>
          <w:tcPr>
            <w:tcW w:w="0" w:type="auto"/>
            <w:vAlign w:val="center"/>
          </w:tcPr>
          <w:p w14:paraId="6E3D5E52">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大学生艺术团骨干成员</w:t>
            </w:r>
          </w:p>
        </w:tc>
        <w:tc>
          <w:tcPr>
            <w:tcW w:w="0" w:type="auto"/>
            <w:vAlign w:val="center"/>
          </w:tcPr>
          <w:p w14:paraId="240EBAE2">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团委认定加分（最高0.4GPA）</w:t>
            </w:r>
          </w:p>
        </w:tc>
      </w:tr>
      <w:tr w14:paraId="036A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restart"/>
            <w:vAlign w:val="center"/>
          </w:tcPr>
          <w:p w14:paraId="10A372E1">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三、入伍服兵役</w:t>
            </w:r>
          </w:p>
        </w:tc>
        <w:tc>
          <w:tcPr>
            <w:tcW w:w="0" w:type="auto"/>
            <w:vMerge w:val="restart"/>
            <w:vAlign w:val="center"/>
          </w:tcPr>
          <w:p w14:paraId="44A38135">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入伍服兵役退役复学</w:t>
            </w:r>
          </w:p>
        </w:tc>
        <w:tc>
          <w:tcPr>
            <w:tcW w:w="0" w:type="auto"/>
            <w:vAlign w:val="center"/>
          </w:tcPr>
          <w:p w14:paraId="138732BA">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退役复学</w:t>
            </w:r>
          </w:p>
        </w:tc>
        <w:tc>
          <w:tcPr>
            <w:tcW w:w="0" w:type="auto"/>
            <w:vAlign w:val="center"/>
          </w:tcPr>
          <w:p w14:paraId="5A99A4BD">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最高0.3GPA</w:t>
            </w:r>
          </w:p>
        </w:tc>
        <w:tc>
          <w:tcPr>
            <w:tcW w:w="0" w:type="auto"/>
            <w:vMerge w:val="restart"/>
            <w:vAlign w:val="center"/>
          </w:tcPr>
          <w:p w14:paraId="2BC33F0F">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党委学生工作部、党委武装部认定加分。</w:t>
            </w:r>
          </w:p>
        </w:tc>
      </w:tr>
      <w:tr w14:paraId="6768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14:paraId="05DFBCA9">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4E86B14F">
            <w:pPr>
              <w:adjustRightInd w:val="0"/>
              <w:snapToGrid w:val="0"/>
              <w:spacing w:line="360" w:lineRule="auto"/>
              <w:rPr>
                <w:rFonts w:hint="eastAsia" w:ascii="仿宋" w:hAnsi="仿宋" w:eastAsia="仿宋" w:cs="仿宋"/>
                <w:sz w:val="32"/>
                <w:szCs w:val="32"/>
              </w:rPr>
            </w:pPr>
          </w:p>
        </w:tc>
        <w:tc>
          <w:tcPr>
            <w:tcW w:w="0" w:type="auto"/>
            <w:vAlign w:val="center"/>
          </w:tcPr>
          <w:p w14:paraId="5AB23369">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优秀义务兵</w:t>
            </w:r>
          </w:p>
        </w:tc>
        <w:tc>
          <w:tcPr>
            <w:tcW w:w="0" w:type="auto"/>
            <w:vAlign w:val="center"/>
          </w:tcPr>
          <w:p w14:paraId="5E4E911F">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最高0.4GPA</w:t>
            </w:r>
          </w:p>
        </w:tc>
        <w:tc>
          <w:tcPr>
            <w:tcW w:w="0" w:type="auto"/>
            <w:vMerge w:val="continue"/>
            <w:vAlign w:val="center"/>
          </w:tcPr>
          <w:p w14:paraId="4D7EEEC2">
            <w:pPr>
              <w:adjustRightInd w:val="0"/>
              <w:snapToGrid w:val="0"/>
              <w:spacing w:line="360" w:lineRule="auto"/>
              <w:rPr>
                <w:rFonts w:hint="eastAsia" w:ascii="仿宋" w:hAnsi="仿宋" w:eastAsia="仿宋" w:cs="仿宋"/>
                <w:sz w:val="32"/>
                <w:szCs w:val="32"/>
              </w:rPr>
            </w:pPr>
          </w:p>
        </w:tc>
      </w:tr>
      <w:tr w14:paraId="22243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14:paraId="55732432">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428FDB99">
            <w:pPr>
              <w:adjustRightInd w:val="0"/>
              <w:snapToGrid w:val="0"/>
              <w:spacing w:line="360" w:lineRule="auto"/>
              <w:rPr>
                <w:rFonts w:hint="eastAsia" w:ascii="仿宋" w:hAnsi="仿宋" w:eastAsia="仿宋" w:cs="仿宋"/>
                <w:sz w:val="32"/>
                <w:szCs w:val="32"/>
              </w:rPr>
            </w:pPr>
          </w:p>
        </w:tc>
        <w:tc>
          <w:tcPr>
            <w:tcW w:w="0" w:type="auto"/>
            <w:vAlign w:val="center"/>
          </w:tcPr>
          <w:p w14:paraId="4E24C7C2">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三等功以上</w:t>
            </w:r>
          </w:p>
        </w:tc>
        <w:tc>
          <w:tcPr>
            <w:tcW w:w="0" w:type="auto"/>
            <w:vAlign w:val="center"/>
          </w:tcPr>
          <w:p w14:paraId="06E8FCEF">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直接获得推免资格</w:t>
            </w:r>
          </w:p>
        </w:tc>
        <w:tc>
          <w:tcPr>
            <w:tcW w:w="0" w:type="auto"/>
            <w:vMerge w:val="continue"/>
            <w:vAlign w:val="center"/>
          </w:tcPr>
          <w:p w14:paraId="5AD56D39">
            <w:pPr>
              <w:adjustRightInd w:val="0"/>
              <w:snapToGrid w:val="0"/>
              <w:spacing w:line="360" w:lineRule="auto"/>
              <w:rPr>
                <w:rFonts w:hint="eastAsia" w:ascii="仿宋" w:hAnsi="仿宋" w:eastAsia="仿宋" w:cs="仿宋"/>
                <w:sz w:val="32"/>
                <w:szCs w:val="32"/>
              </w:rPr>
            </w:pPr>
          </w:p>
        </w:tc>
      </w:tr>
      <w:tr w14:paraId="0622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0" w:type="auto"/>
            <w:vMerge w:val="restart"/>
            <w:vAlign w:val="center"/>
          </w:tcPr>
          <w:p w14:paraId="28B2D201">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四、志愿服务（最高0.4GPA）</w:t>
            </w:r>
          </w:p>
        </w:tc>
        <w:tc>
          <w:tcPr>
            <w:tcW w:w="0" w:type="auto"/>
            <w:vMerge w:val="restart"/>
            <w:vAlign w:val="center"/>
          </w:tcPr>
          <w:p w14:paraId="4D2CA6DF">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志愿服务</w:t>
            </w:r>
          </w:p>
        </w:tc>
        <w:tc>
          <w:tcPr>
            <w:tcW w:w="0" w:type="auto"/>
            <w:vMerge w:val="restart"/>
            <w:vAlign w:val="center"/>
          </w:tcPr>
          <w:p w14:paraId="2941B16D">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中国青年志愿服务大赛（国家级）金奖</w:t>
            </w:r>
          </w:p>
        </w:tc>
        <w:tc>
          <w:tcPr>
            <w:tcW w:w="0" w:type="auto"/>
            <w:vAlign w:val="center"/>
          </w:tcPr>
          <w:p w14:paraId="1D439302">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restart"/>
            <w:vAlign w:val="center"/>
          </w:tcPr>
          <w:p w14:paraId="24B05F46">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团委认定加分（最高0.2GPA）</w:t>
            </w:r>
          </w:p>
        </w:tc>
      </w:tr>
      <w:tr w14:paraId="0257D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0" w:type="auto"/>
            <w:vMerge w:val="continue"/>
            <w:vAlign w:val="center"/>
          </w:tcPr>
          <w:p w14:paraId="00F6EE64">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418DD9CC">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3A84C323">
            <w:pPr>
              <w:adjustRightInd w:val="0"/>
              <w:snapToGrid w:val="0"/>
              <w:spacing w:line="360" w:lineRule="auto"/>
              <w:rPr>
                <w:rFonts w:hint="eastAsia" w:ascii="仿宋" w:hAnsi="仿宋" w:eastAsia="仿宋" w:cs="仿宋"/>
                <w:sz w:val="32"/>
                <w:szCs w:val="32"/>
              </w:rPr>
            </w:pPr>
          </w:p>
        </w:tc>
        <w:tc>
          <w:tcPr>
            <w:tcW w:w="0" w:type="auto"/>
            <w:vAlign w:val="center"/>
          </w:tcPr>
          <w:p w14:paraId="596DC6D9">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14:paraId="2D0B9335">
            <w:pPr>
              <w:adjustRightInd w:val="0"/>
              <w:snapToGrid w:val="0"/>
              <w:spacing w:line="360" w:lineRule="auto"/>
              <w:rPr>
                <w:rFonts w:hint="eastAsia" w:ascii="仿宋" w:hAnsi="仿宋" w:eastAsia="仿宋" w:cs="仿宋"/>
                <w:sz w:val="32"/>
                <w:szCs w:val="32"/>
              </w:rPr>
            </w:pPr>
          </w:p>
        </w:tc>
      </w:tr>
      <w:tr w14:paraId="45633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0" w:type="auto"/>
            <w:vMerge w:val="continue"/>
            <w:vAlign w:val="center"/>
          </w:tcPr>
          <w:p w14:paraId="769F8EC3">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1CEACB82">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314F0010">
            <w:pPr>
              <w:adjustRightInd w:val="0"/>
              <w:snapToGrid w:val="0"/>
              <w:spacing w:line="360" w:lineRule="auto"/>
              <w:rPr>
                <w:rFonts w:hint="eastAsia" w:ascii="仿宋" w:hAnsi="仿宋" w:eastAsia="仿宋" w:cs="仿宋"/>
                <w:sz w:val="32"/>
                <w:szCs w:val="32"/>
              </w:rPr>
            </w:pPr>
          </w:p>
        </w:tc>
        <w:tc>
          <w:tcPr>
            <w:tcW w:w="0" w:type="auto"/>
            <w:vAlign w:val="center"/>
          </w:tcPr>
          <w:p w14:paraId="7C9C2EBC">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第三名</w:t>
            </w:r>
          </w:p>
        </w:tc>
        <w:tc>
          <w:tcPr>
            <w:tcW w:w="0" w:type="auto"/>
            <w:vMerge w:val="continue"/>
            <w:vAlign w:val="center"/>
          </w:tcPr>
          <w:p w14:paraId="2A39628D">
            <w:pPr>
              <w:adjustRightInd w:val="0"/>
              <w:snapToGrid w:val="0"/>
              <w:spacing w:line="360" w:lineRule="auto"/>
              <w:rPr>
                <w:rFonts w:hint="eastAsia" w:ascii="仿宋" w:hAnsi="仿宋" w:eastAsia="仿宋" w:cs="仿宋"/>
                <w:sz w:val="32"/>
                <w:szCs w:val="32"/>
              </w:rPr>
            </w:pPr>
          </w:p>
        </w:tc>
      </w:tr>
      <w:tr w14:paraId="5E5A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0" w:type="auto"/>
            <w:vMerge w:val="continue"/>
            <w:vAlign w:val="center"/>
          </w:tcPr>
          <w:p w14:paraId="35A27C52">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29B59F24">
            <w:pPr>
              <w:adjustRightInd w:val="0"/>
              <w:snapToGrid w:val="0"/>
              <w:spacing w:line="360" w:lineRule="auto"/>
              <w:rPr>
                <w:rFonts w:hint="eastAsia" w:ascii="仿宋" w:hAnsi="仿宋" w:eastAsia="仿宋" w:cs="仿宋"/>
                <w:sz w:val="32"/>
                <w:szCs w:val="32"/>
              </w:rPr>
            </w:pPr>
          </w:p>
        </w:tc>
        <w:tc>
          <w:tcPr>
            <w:tcW w:w="0" w:type="auto"/>
            <w:vMerge w:val="restart"/>
            <w:vAlign w:val="center"/>
          </w:tcPr>
          <w:p w14:paraId="536C944E">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中国青年志愿服务大赛（国家级）银奖</w:t>
            </w:r>
          </w:p>
        </w:tc>
        <w:tc>
          <w:tcPr>
            <w:tcW w:w="0" w:type="auto"/>
            <w:vAlign w:val="center"/>
          </w:tcPr>
          <w:p w14:paraId="73907108">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continue"/>
            <w:vAlign w:val="center"/>
          </w:tcPr>
          <w:p w14:paraId="314ABE5E">
            <w:pPr>
              <w:adjustRightInd w:val="0"/>
              <w:snapToGrid w:val="0"/>
              <w:spacing w:line="360" w:lineRule="auto"/>
              <w:rPr>
                <w:rFonts w:hint="eastAsia" w:ascii="仿宋" w:hAnsi="仿宋" w:eastAsia="仿宋" w:cs="仿宋"/>
                <w:sz w:val="32"/>
                <w:szCs w:val="32"/>
              </w:rPr>
            </w:pPr>
          </w:p>
        </w:tc>
      </w:tr>
      <w:tr w14:paraId="2F37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0" w:type="auto"/>
            <w:vMerge w:val="continue"/>
            <w:vAlign w:val="center"/>
          </w:tcPr>
          <w:p w14:paraId="503C36E0">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35FAC180">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4C5E2219">
            <w:pPr>
              <w:adjustRightInd w:val="0"/>
              <w:snapToGrid w:val="0"/>
              <w:spacing w:line="360" w:lineRule="auto"/>
              <w:rPr>
                <w:rFonts w:hint="eastAsia" w:ascii="仿宋" w:hAnsi="仿宋" w:eastAsia="仿宋" w:cs="仿宋"/>
                <w:sz w:val="32"/>
                <w:szCs w:val="32"/>
              </w:rPr>
            </w:pPr>
          </w:p>
        </w:tc>
        <w:tc>
          <w:tcPr>
            <w:tcW w:w="0" w:type="auto"/>
            <w:vAlign w:val="center"/>
          </w:tcPr>
          <w:p w14:paraId="273653A0">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14:paraId="17612AA3">
            <w:pPr>
              <w:adjustRightInd w:val="0"/>
              <w:snapToGrid w:val="0"/>
              <w:spacing w:line="360" w:lineRule="auto"/>
              <w:rPr>
                <w:rFonts w:hint="eastAsia" w:ascii="仿宋" w:hAnsi="仿宋" w:eastAsia="仿宋" w:cs="仿宋"/>
                <w:sz w:val="32"/>
                <w:szCs w:val="32"/>
              </w:rPr>
            </w:pPr>
          </w:p>
        </w:tc>
      </w:tr>
      <w:tr w14:paraId="44A55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0" w:type="auto"/>
            <w:vMerge w:val="continue"/>
            <w:vAlign w:val="center"/>
          </w:tcPr>
          <w:p w14:paraId="4C9EB09A">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60729B22">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09EAFCD6">
            <w:pPr>
              <w:adjustRightInd w:val="0"/>
              <w:snapToGrid w:val="0"/>
              <w:spacing w:line="360" w:lineRule="auto"/>
              <w:rPr>
                <w:rFonts w:hint="eastAsia" w:ascii="仿宋" w:hAnsi="仿宋" w:eastAsia="仿宋" w:cs="仿宋"/>
                <w:sz w:val="32"/>
                <w:szCs w:val="32"/>
              </w:rPr>
            </w:pPr>
          </w:p>
        </w:tc>
        <w:tc>
          <w:tcPr>
            <w:tcW w:w="0" w:type="auto"/>
            <w:vAlign w:val="center"/>
          </w:tcPr>
          <w:p w14:paraId="4648FD2C">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第三名</w:t>
            </w:r>
          </w:p>
        </w:tc>
        <w:tc>
          <w:tcPr>
            <w:tcW w:w="0" w:type="auto"/>
            <w:vMerge w:val="continue"/>
            <w:vAlign w:val="center"/>
          </w:tcPr>
          <w:p w14:paraId="5E7EAA12">
            <w:pPr>
              <w:adjustRightInd w:val="0"/>
              <w:snapToGrid w:val="0"/>
              <w:spacing w:line="360" w:lineRule="auto"/>
              <w:rPr>
                <w:rFonts w:hint="eastAsia" w:ascii="仿宋" w:hAnsi="仿宋" w:eastAsia="仿宋" w:cs="仿宋"/>
                <w:sz w:val="32"/>
                <w:szCs w:val="32"/>
              </w:rPr>
            </w:pPr>
          </w:p>
        </w:tc>
      </w:tr>
      <w:tr w14:paraId="4624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0" w:type="auto"/>
            <w:vMerge w:val="continue"/>
            <w:vAlign w:val="center"/>
          </w:tcPr>
          <w:p w14:paraId="0A0B4ED8">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118E515C">
            <w:pPr>
              <w:adjustRightInd w:val="0"/>
              <w:snapToGrid w:val="0"/>
              <w:spacing w:line="360" w:lineRule="auto"/>
              <w:rPr>
                <w:rFonts w:hint="eastAsia" w:ascii="仿宋" w:hAnsi="仿宋" w:eastAsia="仿宋" w:cs="仿宋"/>
                <w:sz w:val="32"/>
                <w:szCs w:val="32"/>
              </w:rPr>
            </w:pPr>
          </w:p>
        </w:tc>
        <w:tc>
          <w:tcPr>
            <w:tcW w:w="0" w:type="auto"/>
            <w:vMerge w:val="restart"/>
            <w:vAlign w:val="center"/>
          </w:tcPr>
          <w:p w14:paraId="1F71F336">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中国青年志愿服务大赛（省级）金奖</w:t>
            </w:r>
          </w:p>
        </w:tc>
        <w:tc>
          <w:tcPr>
            <w:tcW w:w="0" w:type="auto"/>
            <w:vAlign w:val="center"/>
          </w:tcPr>
          <w:p w14:paraId="3EE0F4A3">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负责人</w:t>
            </w:r>
          </w:p>
        </w:tc>
        <w:tc>
          <w:tcPr>
            <w:tcW w:w="0" w:type="auto"/>
            <w:vMerge w:val="continue"/>
            <w:vAlign w:val="center"/>
          </w:tcPr>
          <w:p w14:paraId="02C52F2E">
            <w:pPr>
              <w:adjustRightInd w:val="0"/>
              <w:snapToGrid w:val="0"/>
              <w:spacing w:line="360" w:lineRule="auto"/>
              <w:rPr>
                <w:rFonts w:hint="eastAsia" w:ascii="仿宋" w:hAnsi="仿宋" w:eastAsia="仿宋" w:cs="仿宋"/>
                <w:sz w:val="32"/>
                <w:szCs w:val="32"/>
              </w:rPr>
            </w:pPr>
          </w:p>
        </w:tc>
      </w:tr>
      <w:tr w14:paraId="4F25B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0" w:type="auto"/>
            <w:vMerge w:val="continue"/>
            <w:vAlign w:val="center"/>
          </w:tcPr>
          <w:p w14:paraId="721B1A90">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108F9307">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1FE2E9F2">
            <w:pPr>
              <w:adjustRightInd w:val="0"/>
              <w:snapToGrid w:val="0"/>
              <w:spacing w:line="360" w:lineRule="auto"/>
              <w:rPr>
                <w:rFonts w:hint="eastAsia" w:ascii="仿宋" w:hAnsi="仿宋" w:eastAsia="仿宋" w:cs="仿宋"/>
                <w:sz w:val="32"/>
                <w:szCs w:val="32"/>
              </w:rPr>
            </w:pPr>
          </w:p>
        </w:tc>
        <w:tc>
          <w:tcPr>
            <w:tcW w:w="0" w:type="auto"/>
            <w:vAlign w:val="center"/>
          </w:tcPr>
          <w:p w14:paraId="5B37E018">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第二名</w:t>
            </w:r>
          </w:p>
        </w:tc>
        <w:tc>
          <w:tcPr>
            <w:tcW w:w="0" w:type="auto"/>
            <w:vMerge w:val="continue"/>
            <w:vAlign w:val="center"/>
          </w:tcPr>
          <w:p w14:paraId="229F6C90">
            <w:pPr>
              <w:adjustRightInd w:val="0"/>
              <w:snapToGrid w:val="0"/>
              <w:spacing w:line="360" w:lineRule="auto"/>
              <w:rPr>
                <w:rFonts w:hint="eastAsia" w:ascii="仿宋" w:hAnsi="仿宋" w:eastAsia="仿宋" w:cs="仿宋"/>
                <w:sz w:val="32"/>
                <w:szCs w:val="32"/>
              </w:rPr>
            </w:pPr>
          </w:p>
        </w:tc>
      </w:tr>
      <w:tr w14:paraId="43320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vAlign w:val="center"/>
          </w:tcPr>
          <w:p w14:paraId="5D1874F7">
            <w:pPr>
              <w:adjustRightInd w:val="0"/>
              <w:snapToGrid w:val="0"/>
              <w:spacing w:line="360" w:lineRule="auto"/>
              <w:rPr>
                <w:rFonts w:hint="eastAsia" w:ascii="仿宋" w:hAnsi="仿宋" w:eastAsia="仿宋" w:cs="仿宋"/>
                <w:sz w:val="32"/>
                <w:szCs w:val="32"/>
              </w:rPr>
            </w:pPr>
          </w:p>
        </w:tc>
        <w:tc>
          <w:tcPr>
            <w:tcW w:w="0" w:type="auto"/>
            <w:vMerge w:val="continue"/>
            <w:vAlign w:val="center"/>
          </w:tcPr>
          <w:p w14:paraId="7E51D5E4">
            <w:pPr>
              <w:adjustRightInd w:val="0"/>
              <w:snapToGrid w:val="0"/>
              <w:spacing w:line="360" w:lineRule="auto"/>
              <w:rPr>
                <w:rFonts w:hint="eastAsia" w:ascii="仿宋" w:hAnsi="仿宋" w:eastAsia="仿宋" w:cs="仿宋"/>
                <w:sz w:val="32"/>
                <w:szCs w:val="32"/>
              </w:rPr>
            </w:pPr>
          </w:p>
        </w:tc>
        <w:tc>
          <w:tcPr>
            <w:tcW w:w="0" w:type="auto"/>
            <w:vAlign w:val="center"/>
          </w:tcPr>
          <w:p w14:paraId="04CB6434">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社会工作（思想政治志愿服务）</w:t>
            </w:r>
          </w:p>
        </w:tc>
        <w:tc>
          <w:tcPr>
            <w:tcW w:w="0" w:type="auto"/>
            <w:vAlign w:val="center"/>
          </w:tcPr>
          <w:p w14:paraId="5166F8D1">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思想政治志愿服务骨干成员</w:t>
            </w:r>
          </w:p>
        </w:tc>
        <w:tc>
          <w:tcPr>
            <w:tcW w:w="0" w:type="auto"/>
            <w:vAlign w:val="center"/>
          </w:tcPr>
          <w:p w14:paraId="07A5E477">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党委学生工作部认定加分（最高0.4GPA）</w:t>
            </w:r>
          </w:p>
        </w:tc>
      </w:tr>
      <w:tr w14:paraId="37E12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3F1F0B7F">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五、国际组织实习</w:t>
            </w:r>
          </w:p>
        </w:tc>
        <w:tc>
          <w:tcPr>
            <w:tcW w:w="0" w:type="auto"/>
            <w:vAlign w:val="center"/>
          </w:tcPr>
          <w:p w14:paraId="2D1B85FB">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国际组织实习</w:t>
            </w:r>
          </w:p>
        </w:tc>
        <w:tc>
          <w:tcPr>
            <w:tcW w:w="0" w:type="auto"/>
            <w:vAlign w:val="center"/>
          </w:tcPr>
          <w:p w14:paraId="4EB6746F">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国际组织实习（实习的国际组织认定以人力资源和社会保障部公布的主要国际组织名录为准）</w:t>
            </w:r>
          </w:p>
        </w:tc>
        <w:tc>
          <w:tcPr>
            <w:tcW w:w="0" w:type="auto"/>
            <w:vAlign w:val="center"/>
          </w:tcPr>
          <w:p w14:paraId="40CBDE64">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最高0.2GPA</w:t>
            </w:r>
          </w:p>
        </w:tc>
        <w:tc>
          <w:tcPr>
            <w:tcW w:w="0" w:type="auto"/>
            <w:vAlign w:val="center"/>
          </w:tcPr>
          <w:p w14:paraId="3FB0992E">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国际合作与交流处、学生就业创业指导与服务中心认定加分。</w:t>
            </w:r>
          </w:p>
        </w:tc>
      </w:tr>
    </w:tbl>
    <w:p w14:paraId="27D6B31A">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说明：1.同类成果中不累计加分，取代表性的最高加分计入推免综合成绩；</w:t>
      </w:r>
    </w:p>
    <w:p w14:paraId="16859EC7">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2.五大类别间的加分允许累加，但体育竞赛体系学生累计加分最高不超过1.0GPA，其他学生累计加分最高不超过0.4GPA；</w:t>
      </w:r>
    </w:p>
    <w:p w14:paraId="28384055">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3.加分后综合排名相同的学生，按学生成绩高低排名。</w:t>
      </w:r>
    </w:p>
    <w:p w14:paraId="4FF26EF1">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4.科研成果和竞赛获奖两类素质项目加分须通过公开答辩，由学院专家小组审核鉴定后，方可认定。其他类别素质项目加分由相应学院或职能部门认定。</w:t>
      </w:r>
    </w:p>
    <w:sectPr>
      <w:pgSz w:w="16838" w:h="11906" w:orient="landscape"/>
      <w:pgMar w:top="1797" w:right="1440" w:bottom="1797" w:left="1440" w:header="851" w:footer="992" w:gutter="0"/>
      <w:pgNumType w:fmt="numberInDash"/>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7611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5F8078">
                          <w:pPr>
                            <w:pStyle w:val="3"/>
                            <w:rPr>
                              <w:rFonts w:hint="eastAsia" w:ascii="宋体" w:hAnsi="宋体" w:eastAsia="宋体" w:cs="宋体"/>
                              <w:sz w:val="21"/>
                              <w:szCs w:val="28"/>
                            </w:rPr>
                          </w:pPr>
                          <w:r>
                            <w:rPr>
                              <w:rFonts w:hint="eastAsia" w:ascii="宋体" w:hAnsi="宋体" w:eastAsia="宋体" w:cs="宋体"/>
                              <w:sz w:val="21"/>
                              <w:szCs w:val="28"/>
                            </w:rPr>
                            <w:fldChar w:fldCharType="begin"/>
                          </w:r>
                          <w:r>
                            <w:rPr>
                              <w:rFonts w:hint="eastAsia" w:ascii="宋体" w:hAnsi="宋体" w:eastAsia="宋体" w:cs="宋体"/>
                              <w:sz w:val="21"/>
                              <w:szCs w:val="28"/>
                            </w:rPr>
                            <w:instrText xml:space="preserve"> PAGE  \* MERGEFORMAT </w:instrText>
                          </w:r>
                          <w:r>
                            <w:rPr>
                              <w:rFonts w:hint="eastAsia" w:ascii="宋体" w:hAnsi="宋体" w:eastAsia="宋体" w:cs="宋体"/>
                              <w:sz w:val="21"/>
                              <w:szCs w:val="28"/>
                            </w:rPr>
                            <w:fldChar w:fldCharType="separate"/>
                          </w:r>
                          <w:r>
                            <w:rPr>
                              <w:rFonts w:hint="eastAsia" w:ascii="宋体" w:hAnsi="宋体" w:eastAsia="宋体" w:cs="宋体"/>
                              <w:sz w:val="21"/>
                              <w:szCs w:val="28"/>
                            </w:rPr>
                            <w:t>1</w:t>
                          </w:r>
                          <w:r>
                            <w:rPr>
                              <w:rFonts w:hint="eastAsia" w:ascii="宋体" w:hAnsi="宋体" w:eastAsia="宋体" w:cs="宋体"/>
                              <w:sz w:val="21"/>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E5F8078">
                    <w:pPr>
                      <w:pStyle w:val="3"/>
                      <w:rPr>
                        <w:rFonts w:hint="eastAsia" w:ascii="宋体" w:hAnsi="宋体" w:eastAsia="宋体" w:cs="宋体"/>
                        <w:sz w:val="21"/>
                        <w:szCs w:val="28"/>
                      </w:rPr>
                    </w:pPr>
                    <w:r>
                      <w:rPr>
                        <w:rFonts w:hint="eastAsia" w:ascii="宋体" w:hAnsi="宋体" w:eastAsia="宋体" w:cs="宋体"/>
                        <w:sz w:val="21"/>
                        <w:szCs w:val="28"/>
                      </w:rPr>
                      <w:fldChar w:fldCharType="begin"/>
                    </w:r>
                    <w:r>
                      <w:rPr>
                        <w:rFonts w:hint="eastAsia" w:ascii="宋体" w:hAnsi="宋体" w:eastAsia="宋体" w:cs="宋体"/>
                        <w:sz w:val="21"/>
                        <w:szCs w:val="28"/>
                      </w:rPr>
                      <w:instrText xml:space="preserve"> PAGE  \* MERGEFORMAT </w:instrText>
                    </w:r>
                    <w:r>
                      <w:rPr>
                        <w:rFonts w:hint="eastAsia" w:ascii="宋体" w:hAnsi="宋体" w:eastAsia="宋体" w:cs="宋体"/>
                        <w:sz w:val="21"/>
                        <w:szCs w:val="28"/>
                      </w:rPr>
                      <w:fldChar w:fldCharType="separate"/>
                    </w:r>
                    <w:r>
                      <w:rPr>
                        <w:rFonts w:hint="eastAsia" w:ascii="宋体" w:hAnsi="宋体" w:eastAsia="宋体" w:cs="宋体"/>
                        <w:sz w:val="21"/>
                        <w:szCs w:val="28"/>
                      </w:rPr>
                      <w:t>1</w:t>
                    </w:r>
                    <w:r>
                      <w:rPr>
                        <w:rFonts w:hint="eastAsia" w:ascii="宋体" w:hAnsi="宋体" w:eastAsia="宋体" w:cs="宋体"/>
                        <w:sz w:val="21"/>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M1YzliNmFlM2M0ZTRlOTQxOWFhNzA5OTJkY2E5MWMifQ=="/>
  </w:docVars>
  <w:rsids>
    <w:rsidRoot w:val="009A3AD7"/>
    <w:rsid w:val="00010BBE"/>
    <w:rsid w:val="000125CD"/>
    <w:rsid w:val="0001567C"/>
    <w:rsid w:val="000523E2"/>
    <w:rsid w:val="00072388"/>
    <w:rsid w:val="000B25C1"/>
    <w:rsid w:val="000E78B4"/>
    <w:rsid w:val="000F4ED3"/>
    <w:rsid w:val="001002F9"/>
    <w:rsid w:val="001053C0"/>
    <w:rsid w:val="00142B07"/>
    <w:rsid w:val="00146C70"/>
    <w:rsid w:val="00147450"/>
    <w:rsid w:val="00163016"/>
    <w:rsid w:val="0016433B"/>
    <w:rsid w:val="001672D9"/>
    <w:rsid w:val="00174566"/>
    <w:rsid w:val="00175870"/>
    <w:rsid w:val="001833AE"/>
    <w:rsid w:val="001873B0"/>
    <w:rsid w:val="001A4F71"/>
    <w:rsid w:val="001C08A5"/>
    <w:rsid w:val="001D012B"/>
    <w:rsid w:val="001D618D"/>
    <w:rsid w:val="001E1B9D"/>
    <w:rsid w:val="001F6AA7"/>
    <w:rsid w:val="002175BE"/>
    <w:rsid w:val="00222D58"/>
    <w:rsid w:val="002348D6"/>
    <w:rsid w:val="00240BFC"/>
    <w:rsid w:val="0027658E"/>
    <w:rsid w:val="00285031"/>
    <w:rsid w:val="00287538"/>
    <w:rsid w:val="002A100E"/>
    <w:rsid w:val="002A176B"/>
    <w:rsid w:val="002A74B4"/>
    <w:rsid w:val="002B2891"/>
    <w:rsid w:val="002B28F6"/>
    <w:rsid w:val="002D720E"/>
    <w:rsid w:val="002E25F8"/>
    <w:rsid w:val="002E40EF"/>
    <w:rsid w:val="002F4828"/>
    <w:rsid w:val="0031444B"/>
    <w:rsid w:val="00315A3C"/>
    <w:rsid w:val="003320B1"/>
    <w:rsid w:val="00333DFE"/>
    <w:rsid w:val="0034178D"/>
    <w:rsid w:val="00376B4D"/>
    <w:rsid w:val="003855DE"/>
    <w:rsid w:val="00395384"/>
    <w:rsid w:val="003B5F78"/>
    <w:rsid w:val="0040538A"/>
    <w:rsid w:val="00424173"/>
    <w:rsid w:val="00441A92"/>
    <w:rsid w:val="00454A72"/>
    <w:rsid w:val="00470469"/>
    <w:rsid w:val="00475FBC"/>
    <w:rsid w:val="00484277"/>
    <w:rsid w:val="00495AD6"/>
    <w:rsid w:val="004A15D4"/>
    <w:rsid w:val="004A27B7"/>
    <w:rsid w:val="004D04FB"/>
    <w:rsid w:val="004D71AF"/>
    <w:rsid w:val="0051442C"/>
    <w:rsid w:val="005401F9"/>
    <w:rsid w:val="00550570"/>
    <w:rsid w:val="00553FB9"/>
    <w:rsid w:val="00570073"/>
    <w:rsid w:val="005C1A7C"/>
    <w:rsid w:val="005D3F20"/>
    <w:rsid w:val="006119BB"/>
    <w:rsid w:val="0062088C"/>
    <w:rsid w:val="00624FB6"/>
    <w:rsid w:val="00654853"/>
    <w:rsid w:val="0065543F"/>
    <w:rsid w:val="00656F05"/>
    <w:rsid w:val="00660593"/>
    <w:rsid w:val="006658B5"/>
    <w:rsid w:val="00666342"/>
    <w:rsid w:val="006727E2"/>
    <w:rsid w:val="0069104F"/>
    <w:rsid w:val="006A2A67"/>
    <w:rsid w:val="006A58B4"/>
    <w:rsid w:val="006A602D"/>
    <w:rsid w:val="006B09FE"/>
    <w:rsid w:val="006B0C9A"/>
    <w:rsid w:val="006C1670"/>
    <w:rsid w:val="006D56AD"/>
    <w:rsid w:val="006F18B4"/>
    <w:rsid w:val="006F6E92"/>
    <w:rsid w:val="00707B8F"/>
    <w:rsid w:val="0071341C"/>
    <w:rsid w:val="00742C0D"/>
    <w:rsid w:val="00781074"/>
    <w:rsid w:val="00785DB7"/>
    <w:rsid w:val="007A1B46"/>
    <w:rsid w:val="007A2EA8"/>
    <w:rsid w:val="007A62D9"/>
    <w:rsid w:val="007A6E36"/>
    <w:rsid w:val="007C72BF"/>
    <w:rsid w:val="007F09DD"/>
    <w:rsid w:val="007F59A7"/>
    <w:rsid w:val="007F7F04"/>
    <w:rsid w:val="00803D19"/>
    <w:rsid w:val="00833609"/>
    <w:rsid w:val="00854277"/>
    <w:rsid w:val="00881FB1"/>
    <w:rsid w:val="008B44AF"/>
    <w:rsid w:val="008C6560"/>
    <w:rsid w:val="008F7B20"/>
    <w:rsid w:val="009018F2"/>
    <w:rsid w:val="00923C53"/>
    <w:rsid w:val="00926B9B"/>
    <w:rsid w:val="00930849"/>
    <w:rsid w:val="00961C78"/>
    <w:rsid w:val="00980EC1"/>
    <w:rsid w:val="00981A29"/>
    <w:rsid w:val="00983AD6"/>
    <w:rsid w:val="00985AC0"/>
    <w:rsid w:val="009A3AD7"/>
    <w:rsid w:val="009A4369"/>
    <w:rsid w:val="009C304F"/>
    <w:rsid w:val="009C3569"/>
    <w:rsid w:val="009D5FA5"/>
    <w:rsid w:val="009F51E2"/>
    <w:rsid w:val="00A12FBA"/>
    <w:rsid w:val="00A21F76"/>
    <w:rsid w:val="00A36FE4"/>
    <w:rsid w:val="00A511E8"/>
    <w:rsid w:val="00A53706"/>
    <w:rsid w:val="00A73408"/>
    <w:rsid w:val="00A95837"/>
    <w:rsid w:val="00AA14A1"/>
    <w:rsid w:val="00AD78F9"/>
    <w:rsid w:val="00AE0C11"/>
    <w:rsid w:val="00AE16B2"/>
    <w:rsid w:val="00AE2451"/>
    <w:rsid w:val="00AF712B"/>
    <w:rsid w:val="00B0707D"/>
    <w:rsid w:val="00B156A5"/>
    <w:rsid w:val="00B37309"/>
    <w:rsid w:val="00B423ED"/>
    <w:rsid w:val="00B44DC0"/>
    <w:rsid w:val="00B638D6"/>
    <w:rsid w:val="00B6475F"/>
    <w:rsid w:val="00B71F4B"/>
    <w:rsid w:val="00B76025"/>
    <w:rsid w:val="00B80309"/>
    <w:rsid w:val="00B87E6A"/>
    <w:rsid w:val="00BA1EC8"/>
    <w:rsid w:val="00BA5A88"/>
    <w:rsid w:val="00BA6FCC"/>
    <w:rsid w:val="00BB29A3"/>
    <w:rsid w:val="00BD084F"/>
    <w:rsid w:val="00BD27D1"/>
    <w:rsid w:val="00BF777F"/>
    <w:rsid w:val="00C03472"/>
    <w:rsid w:val="00C06EC5"/>
    <w:rsid w:val="00C100EC"/>
    <w:rsid w:val="00C1188D"/>
    <w:rsid w:val="00C24A25"/>
    <w:rsid w:val="00C30EF0"/>
    <w:rsid w:val="00C32824"/>
    <w:rsid w:val="00C33B50"/>
    <w:rsid w:val="00C5151B"/>
    <w:rsid w:val="00C82A45"/>
    <w:rsid w:val="00C97023"/>
    <w:rsid w:val="00CC1A6B"/>
    <w:rsid w:val="00CE3F11"/>
    <w:rsid w:val="00CE52BF"/>
    <w:rsid w:val="00CF2F2E"/>
    <w:rsid w:val="00CF53BC"/>
    <w:rsid w:val="00D047E8"/>
    <w:rsid w:val="00D118F8"/>
    <w:rsid w:val="00D1230C"/>
    <w:rsid w:val="00D16AD7"/>
    <w:rsid w:val="00D21189"/>
    <w:rsid w:val="00D2386F"/>
    <w:rsid w:val="00D27B94"/>
    <w:rsid w:val="00D3656F"/>
    <w:rsid w:val="00D54296"/>
    <w:rsid w:val="00D81BD1"/>
    <w:rsid w:val="00D83853"/>
    <w:rsid w:val="00D955F4"/>
    <w:rsid w:val="00DA0849"/>
    <w:rsid w:val="00DB393E"/>
    <w:rsid w:val="00DE087B"/>
    <w:rsid w:val="00DE131D"/>
    <w:rsid w:val="00DE7672"/>
    <w:rsid w:val="00E02981"/>
    <w:rsid w:val="00E20A3E"/>
    <w:rsid w:val="00E3564C"/>
    <w:rsid w:val="00E56A6A"/>
    <w:rsid w:val="00E93347"/>
    <w:rsid w:val="00EA5352"/>
    <w:rsid w:val="00EC40FA"/>
    <w:rsid w:val="00ED45B1"/>
    <w:rsid w:val="00EE59E3"/>
    <w:rsid w:val="00F07B49"/>
    <w:rsid w:val="00F22ECE"/>
    <w:rsid w:val="00F36AC8"/>
    <w:rsid w:val="00F42563"/>
    <w:rsid w:val="00F55101"/>
    <w:rsid w:val="00F61C09"/>
    <w:rsid w:val="00FA4048"/>
    <w:rsid w:val="00FC1575"/>
    <w:rsid w:val="00FC771B"/>
    <w:rsid w:val="00FD3CDB"/>
    <w:rsid w:val="00FE1530"/>
    <w:rsid w:val="00FF43E8"/>
    <w:rsid w:val="00FF480F"/>
    <w:rsid w:val="01165292"/>
    <w:rsid w:val="01AC5842"/>
    <w:rsid w:val="05552896"/>
    <w:rsid w:val="0AA96DC2"/>
    <w:rsid w:val="0BCA1783"/>
    <w:rsid w:val="1175598A"/>
    <w:rsid w:val="1437543F"/>
    <w:rsid w:val="14904B4F"/>
    <w:rsid w:val="159C41BD"/>
    <w:rsid w:val="196E5BC4"/>
    <w:rsid w:val="22F3560C"/>
    <w:rsid w:val="23FA1204"/>
    <w:rsid w:val="256F255E"/>
    <w:rsid w:val="257D4C7B"/>
    <w:rsid w:val="257F09F3"/>
    <w:rsid w:val="27AC35F6"/>
    <w:rsid w:val="2B113847"/>
    <w:rsid w:val="2CE97823"/>
    <w:rsid w:val="2F4F3D1B"/>
    <w:rsid w:val="31260749"/>
    <w:rsid w:val="314C327A"/>
    <w:rsid w:val="322C1F03"/>
    <w:rsid w:val="32FF3C54"/>
    <w:rsid w:val="391315BC"/>
    <w:rsid w:val="3B5D137F"/>
    <w:rsid w:val="3F80563C"/>
    <w:rsid w:val="40E816EB"/>
    <w:rsid w:val="500100D3"/>
    <w:rsid w:val="50306C0B"/>
    <w:rsid w:val="533F4F14"/>
    <w:rsid w:val="608070C7"/>
    <w:rsid w:val="619A2136"/>
    <w:rsid w:val="67550FD9"/>
    <w:rsid w:val="67825B46"/>
    <w:rsid w:val="6A3C404C"/>
    <w:rsid w:val="6AC66CFA"/>
    <w:rsid w:val="6C613F7C"/>
    <w:rsid w:val="700F4566"/>
    <w:rsid w:val="7013789F"/>
    <w:rsid w:val="7056191E"/>
    <w:rsid w:val="77AD6887"/>
    <w:rsid w:val="7B4056A4"/>
    <w:rsid w:val="7D4D5E56"/>
    <w:rsid w:val="7E900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16B911-2947-4525-9C1C-3109B4C6BDFB}">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4350</Words>
  <Characters>4622</Characters>
  <Lines>39</Lines>
  <Paragraphs>11</Paragraphs>
  <TotalTime>60</TotalTime>
  <ScaleCrop>false</ScaleCrop>
  <LinksUpToDate>false</LinksUpToDate>
  <CharactersWithSpaces>4719</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2021-08-08T01:31:00Z</dcterms:created>
  <dc:creator>Lili Chang</dc:creator>
  <cp:lastModifiedBy>于歌Лена</cp:lastModifiedBy>
  <cp:lastPrinted>2023-09-05T01:18:00Z</cp:lastPrinted>
  <dcterms:modified xsi:type="dcterms:W3CDTF">2024-08-28T05:45:35Z</dcterms:modified>
  <cp:revision>313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B7ADC55C5564433FBA376A587D1FA2C4</vt:lpwstr>
  </property>
</Properties>
</file>