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仿宋"/>
          <w:b/>
          <w:bCs/>
          <w:sz w:val="24"/>
        </w:rPr>
      </w:pPr>
      <w:r>
        <w:rPr>
          <w:rFonts w:hint="eastAsia" w:ascii="Times New Roman" w:hAnsi="Times New Roman" w:eastAsia="仿宋"/>
          <w:b/>
          <w:bCs/>
          <w:sz w:val="24"/>
        </w:rPr>
        <w:t>吉林大学哲学社会学院本科生素质类项目加分标准</w:t>
      </w:r>
    </w:p>
    <w:tbl>
      <w:tblPr>
        <w:tblStyle w:val="3"/>
        <w:tblpPr w:leftFromText="180" w:rightFromText="180" w:vertAnchor="text" w:horzAnchor="page" w:tblpX="1440" w:tblpY="4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1215"/>
        <w:gridCol w:w="6181"/>
        <w:gridCol w:w="2938"/>
        <w:gridCol w:w="2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adjustRightInd w:val="0"/>
              <w:snapToGrid w:val="0"/>
              <w:spacing w:line="360" w:lineRule="auto"/>
              <w:jc w:val="center"/>
              <w:rPr>
                <w:rFonts w:ascii="Times New Roman" w:hAnsi="Times New Roman" w:eastAsia="仿宋"/>
                <w:b/>
                <w:bCs/>
                <w:sz w:val="24"/>
              </w:rPr>
            </w:pPr>
            <w:r>
              <w:rPr>
                <w:rFonts w:hint="eastAsia" w:ascii="Times New Roman" w:hAnsi="Times New Roman" w:eastAsia="仿宋"/>
                <w:b/>
                <w:bCs/>
                <w:sz w:val="24"/>
              </w:rPr>
              <w:t>类别</w:t>
            </w:r>
          </w:p>
        </w:tc>
        <w:tc>
          <w:tcPr>
            <w:tcW w:w="7396" w:type="dxa"/>
            <w:gridSpan w:val="2"/>
            <w:vAlign w:val="center"/>
          </w:tcPr>
          <w:p>
            <w:pPr>
              <w:adjustRightInd w:val="0"/>
              <w:snapToGrid w:val="0"/>
              <w:spacing w:line="360" w:lineRule="auto"/>
              <w:jc w:val="center"/>
              <w:rPr>
                <w:rFonts w:ascii="Times New Roman" w:hAnsi="Times New Roman" w:eastAsia="仿宋"/>
                <w:b/>
                <w:bCs/>
                <w:sz w:val="24"/>
              </w:rPr>
            </w:pPr>
            <w:r>
              <w:rPr>
                <w:rFonts w:hint="eastAsia" w:ascii="Times New Roman" w:hAnsi="Times New Roman" w:eastAsia="仿宋"/>
                <w:b/>
                <w:bCs/>
                <w:sz w:val="24"/>
              </w:rPr>
              <w:t>加分项目</w:t>
            </w:r>
          </w:p>
        </w:tc>
        <w:tc>
          <w:tcPr>
            <w:tcW w:w="2938" w:type="dxa"/>
            <w:vAlign w:val="center"/>
          </w:tcPr>
          <w:p>
            <w:pPr>
              <w:adjustRightInd w:val="0"/>
              <w:snapToGrid w:val="0"/>
              <w:spacing w:line="360" w:lineRule="auto"/>
              <w:jc w:val="center"/>
              <w:rPr>
                <w:rFonts w:ascii="Times New Roman" w:hAnsi="Times New Roman" w:eastAsia="仿宋"/>
                <w:b/>
                <w:bCs/>
                <w:sz w:val="24"/>
              </w:rPr>
            </w:pPr>
            <w:r>
              <w:rPr>
                <w:rFonts w:hint="eastAsia" w:ascii="Times New Roman" w:hAnsi="Times New Roman" w:eastAsia="仿宋"/>
                <w:b/>
                <w:bCs/>
                <w:sz w:val="24"/>
              </w:rPr>
              <w:t>加分对象</w:t>
            </w:r>
          </w:p>
        </w:tc>
        <w:tc>
          <w:tcPr>
            <w:tcW w:w="2625" w:type="dxa"/>
            <w:vAlign w:val="center"/>
          </w:tcPr>
          <w:p>
            <w:pPr>
              <w:adjustRightInd w:val="0"/>
              <w:snapToGrid w:val="0"/>
              <w:spacing w:line="360" w:lineRule="auto"/>
              <w:jc w:val="center"/>
              <w:rPr>
                <w:rFonts w:ascii="Times New Roman" w:hAnsi="Times New Roman" w:eastAsia="仿宋"/>
                <w:b/>
                <w:bCs/>
                <w:sz w:val="24"/>
              </w:rPr>
            </w:pPr>
            <w:r>
              <w:rPr>
                <w:rFonts w:hint="eastAsia" w:ascii="Times New Roman" w:hAnsi="Times New Roman" w:eastAsia="仿宋"/>
                <w:b/>
                <w:bCs/>
                <w:sz w:val="24"/>
              </w:rPr>
              <w:t>加分认定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0" w:type="auto"/>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一、科研成果（最高0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0" w:type="auto"/>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大学生创新创业训练计划项目</w:t>
            </w:r>
          </w:p>
        </w:tc>
        <w:tc>
          <w:tcPr>
            <w:tcW w:w="6181" w:type="dxa"/>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国家级结题优秀项目</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w:t>
            </w:r>
          </w:p>
        </w:tc>
        <w:tc>
          <w:tcPr>
            <w:tcW w:w="2625" w:type="dxa"/>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负责人加分0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第二名加分0</w:t>
            </w:r>
            <w:r>
              <w:rPr>
                <w:rFonts w:ascii="Times New Roman" w:hAnsi="Times New Roman" w:eastAsia="仿宋"/>
                <w:color w:val="auto"/>
                <w:sz w:val="24"/>
                <w:highlight w:val="none"/>
              </w:rPr>
              <w:t>.1</w:t>
            </w:r>
            <w:r>
              <w:rPr>
                <w:rFonts w:hint="eastAsia" w:ascii="Times New Roman" w:hAnsi="Times New Roman" w:eastAsia="仿宋"/>
                <w:color w:val="auto"/>
                <w:sz w:val="24"/>
                <w:highlight w:val="none"/>
              </w:rPr>
              <w:t>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学术论文（本专业领域）</w:t>
            </w:r>
          </w:p>
        </w:tc>
        <w:tc>
          <w:tcPr>
            <w:tcW w:w="6181" w:type="dxa"/>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 xml:space="preserve"> 中国科学院文献情报中心期刊分区论文发表当年适用的吉林</w:t>
            </w:r>
            <w:r>
              <w:rPr>
                <w:rFonts w:hint="eastAsia" w:ascii="Times New Roman" w:hAnsi="Times New Roman" w:eastAsia="仿宋"/>
                <w:color w:val="auto"/>
                <w:sz w:val="24"/>
                <w:highlight w:val="none"/>
                <w:lang w:val="en-US" w:eastAsia="zh-CN"/>
              </w:rPr>
              <w:t>大</w:t>
            </w:r>
            <w:r>
              <w:rPr>
                <w:rFonts w:hint="eastAsia" w:ascii="Times New Roman" w:hAnsi="Times New Roman" w:eastAsia="仿宋"/>
                <w:color w:val="auto"/>
                <w:sz w:val="24"/>
                <w:highlight w:val="none"/>
              </w:rPr>
              <w:t>学哲学社会科学学术刊物目录、北大核心期刊目录</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一区/A类第一作者</w:t>
            </w:r>
          </w:p>
        </w:tc>
        <w:tc>
          <w:tcPr>
            <w:tcW w:w="2625" w:type="dxa"/>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一区0.4GPA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二区0.3GPA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三区0.2GPA</w:t>
            </w:r>
          </w:p>
          <w:p>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四区0.1GPA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二区/B类第一作者</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三区/C类第一作者</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3"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四区/D类及</w:t>
            </w:r>
            <w:r>
              <w:rPr>
                <w:rFonts w:hint="eastAsia" w:ascii="Times New Roman" w:hAnsi="Times New Roman" w:eastAsia="仿宋"/>
                <w:color w:val="auto"/>
                <w:sz w:val="24"/>
                <w:highlight w:val="none"/>
                <w:lang w:val="en-US" w:eastAsia="zh-CN"/>
              </w:rPr>
              <w:t>非</w:t>
            </w:r>
            <w:r>
              <w:rPr>
                <w:rFonts w:hint="eastAsia" w:ascii="Times New Roman" w:hAnsi="Times New Roman" w:eastAsia="仿宋"/>
                <w:color w:val="auto"/>
                <w:sz w:val="24"/>
                <w:highlight w:val="none"/>
              </w:rPr>
              <w:t>ABCD类的北大</w:t>
            </w:r>
            <w:r>
              <w:rPr>
                <w:rFonts w:hint="eastAsia" w:ascii="Times New Roman" w:hAnsi="Times New Roman" w:eastAsia="仿宋"/>
                <w:color w:val="auto"/>
                <w:sz w:val="24"/>
                <w:highlight w:val="none"/>
                <w:lang w:val="en-US" w:eastAsia="zh-CN"/>
              </w:rPr>
              <w:t>核</w:t>
            </w:r>
            <w:r>
              <w:rPr>
                <w:rFonts w:hint="eastAsia" w:ascii="Times New Roman" w:hAnsi="Times New Roman" w:eastAsia="仿宋"/>
                <w:color w:val="auto"/>
                <w:sz w:val="24"/>
                <w:highlight w:val="none"/>
              </w:rPr>
              <w:t>心期刊 第一作者</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二、竞赛获奖</w:t>
            </w:r>
          </w:p>
        </w:tc>
        <w:tc>
          <w:tcPr>
            <w:tcW w:w="0" w:type="auto"/>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吉林大学本科学生学科竞赛体系（最高0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A类获得国家级奖项一等奖（金奖）</w:t>
            </w:r>
          </w:p>
          <w:p>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（如有特等奖视为一等奖，以下依次递减）</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.3</w:t>
            </w:r>
            <w:r>
              <w:rPr>
                <w:rFonts w:hint="eastAsia" w:ascii="Times New Roman" w:hAnsi="Times New Roman" w:eastAsia="仿宋"/>
                <w:color w:val="auto"/>
                <w:sz w:val="24"/>
                <w:highlight w:val="none"/>
              </w:rPr>
              <w:t>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.1</w:t>
            </w:r>
            <w:r>
              <w:rPr>
                <w:rFonts w:hint="eastAsia" w:ascii="Times New Roman" w:hAnsi="Times New Roman" w:eastAsia="仿宋"/>
                <w:color w:val="auto"/>
                <w:sz w:val="24"/>
                <w:highlight w:val="none"/>
              </w:rPr>
              <w:t>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A类获得国家级奖项二等奖（银奖）</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.3</w:t>
            </w:r>
            <w:r>
              <w:rPr>
                <w:rFonts w:hint="eastAsia" w:ascii="Times New Roman" w:hAnsi="Times New Roman" w:eastAsia="仿宋"/>
                <w:color w:val="auto"/>
                <w:sz w:val="24"/>
                <w:highlight w:val="none"/>
              </w:rPr>
              <w:t>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.1</w:t>
            </w:r>
            <w:r>
              <w:rPr>
                <w:rFonts w:hint="eastAsia" w:ascii="Times New Roman" w:hAnsi="Times New Roman" w:eastAsia="仿宋"/>
                <w:color w:val="auto"/>
                <w:sz w:val="24"/>
                <w:highlight w:val="none"/>
              </w:rPr>
              <w:t>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A类获得国家级奖项三等奖（铜奖）</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2GPA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1GPA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B类获得国家级奖项一等奖（金奖）</w:t>
            </w:r>
          </w:p>
          <w:p>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（如有特等奖视为一等奖，以下依次递减）</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2GPA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1GPA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B类获得国家级奖项二等奖（银奖）</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1GPA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08GPA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w:t>
            </w:r>
            <w:r>
              <w:rPr>
                <w:rFonts w:hint="eastAsia" w:ascii="Times New Roman" w:hAnsi="Times New Roman" w:eastAsia="仿宋"/>
                <w:color w:val="auto"/>
                <w:sz w:val="24"/>
                <w:highlight w:val="none"/>
                <w:lang w:val="en-US" w:eastAsia="zh-CN"/>
              </w:rPr>
              <w:t>2</w:t>
            </w:r>
            <w:bookmarkStart w:id="0" w:name="_GoBack"/>
            <w:bookmarkEnd w:id="0"/>
            <w:r>
              <w:rPr>
                <w:rFonts w:hint="eastAsia" w:ascii="Times New Roman" w:hAnsi="Times New Roman" w:eastAsia="仿宋"/>
                <w:color w:val="auto"/>
                <w:sz w:val="24"/>
                <w:highlight w:val="none"/>
              </w:rPr>
              <w:t>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B类获得国家级奖项三等奖（铜奖）</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04GPA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03GPA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C类获得国家级奖项一等奖（金奖）</w:t>
            </w:r>
          </w:p>
          <w:p>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（如有特等奖视为一等奖，以下依次递减）</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04GPA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03GPA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C类获得国家级奖项二等奖（银奖）</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04GPA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03GPA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01GPA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C类获得国家级奖项三等奖（铜奖）</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03GPA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01GPA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005GPA</w:t>
            </w:r>
          </w:p>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吉林大学本科学生体育竞赛体系（高水平运动员、体育学院运动训练专业学生）（最高1</w:t>
            </w:r>
            <w:r>
              <w:rPr>
                <w:rFonts w:ascii="Times New Roman" w:hAnsi="Times New Roman" w:eastAsia="仿宋"/>
                <w:color w:val="auto"/>
                <w:sz w:val="24"/>
                <w:highlight w:val="none"/>
              </w:rPr>
              <w:t>.0</w:t>
            </w:r>
            <w:r>
              <w:rPr>
                <w:rFonts w:hint="eastAsia" w:ascii="Times New Roman" w:hAnsi="Times New Roman" w:eastAsia="仿宋"/>
                <w:color w:val="auto"/>
                <w:sz w:val="24"/>
                <w:highlight w:val="none"/>
              </w:rPr>
              <w:t>GPA）</w:t>
            </w:r>
          </w:p>
        </w:tc>
        <w:tc>
          <w:tcPr>
            <w:tcW w:w="6181" w:type="dxa"/>
            <w:vMerge w:val="restart"/>
            <w:vAlign w:val="center"/>
          </w:tcPr>
          <w:p>
            <w:pPr>
              <w:adjustRightInd w:val="0"/>
              <w:snapToGrid w:val="0"/>
              <w:spacing w:line="360" w:lineRule="auto"/>
              <w:jc w:val="center"/>
              <w:rPr>
                <w:rFonts w:hint="eastAsia" w:ascii="Times New Roman" w:hAnsi="Times New Roman" w:eastAsia="仿宋"/>
                <w:color w:val="auto"/>
                <w:sz w:val="24"/>
                <w:highlight w:val="none"/>
              </w:rPr>
            </w:pPr>
          </w:p>
          <w:p>
            <w:pPr>
              <w:adjustRightInd w:val="0"/>
              <w:snapToGrid w:val="0"/>
              <w:spacing w:line="360" w:lineRule="auto"/>
              <w:jc w:val="center"/>
              <w:rPr>
                <w:rFonts w:hint="eastAsia" w:ascii="Times New Roman" w:hAnsi="Times New Roman" w:eastAsia="仿宋"/>
                <w:color w:val="auto"/>
                <w:sz w:val="24"/>
                <w:highlight w:val="none"/>
              </w:rPr>
            </w:pPr>
          </w:p>
          <w:p>
            <w:pPr>
              <w:adjustRightInd w:val="0"/>
              <w:snapToGrid w:val="0"/>
              <w:spacing w:line="360" w:lineRule="auto"/>
              <w:jc w:val="center"/>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中国大学生体协专项锦标赛或联赛</w:t>
            </w:r>
          </w:p>
          <w:p>
            <w:pPr>
              <w:adjustRightInd w:val="0"/>
              <w:snapToGrid w:val="0"/>
              <w:spacing w:line="360" w:lineRule="auto"/>
              <w:jc w:val="center"/>
              <w:rPr>
                <w:rFonts w:hint="eastAsia" w:ascii="Times New Roman" w:hAnsi="Times New Roman" w:eastAsia="仿宋"/>
                <w:color w:val="auto"/>
                <w:sz w:val="24"/>
                <w:highlight w:val="none"/>
              </w:rPr>
            </w:pPr>
          </w:p>
          <w:p>
            <w:pPr>
              <w:adjustRightInd w:val="0"/>
              <w:snapToGrid w:val="0"/>
              <w:spacing w:line="360" w:lineRule="auto"/>
              <w:jc w:val="center"/>
              <w:rPr>
                <w:rFonts w:hint="eastAsia" w:ascii="Times New Roman" w:hAnsi="Times New Roman" w:eastAsia="仿宋"/>
                <w:color w:val="auto"/>
                <w:sz w:val="24"/>
                <w:highlight w:val="none"/>
              </w:rPr>
            </w:pPr>
          </w:p>
          <w:p>
            <w:pPr>
              <w:adjustRightInd w:val="0"/>
              <w:snapToGrid w:val="0"/>
              <w:spacing w:line="360" w:lineRule="auto"/>
              <w:jc w:val="center"/>
              <w:rPr>
                <w:rFonts w:hint="eastAsia" w:ascii="Times New Roman" w:hAnsi="Times New Roman" w:eastAsia="仿宋"/>
                <w:color w:val="auto"/>
                <w:sz w:val="24"/>
                <w:highlight w:val="none"/>
              </w:rPr>
            </w:pP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单项前三名</w:t>
            </w:r>
          </w:p>
        </w:tc>
        <w:tc>
          <w:tcPr>
            <w:tcW w:w="2625" w:type="dxa"/>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体育学院认定加分（最高1</w:t>
            </w:r>
            <w:r>
              <w:rPr>
                <w:rFonts w:ascii="Times New Roman" w:hAnsi="Times New Roman" w:eastAsia="仿宋"/>
                <w:color w:val="auto"/>
                <w:sz w:val="24"/>
                <w:highlight w:val="none"/>
              </w:rPr>
              <w:t>.0</w:t>
            </w:r>
            <w:r>
              <w:rPr>
                <w:rFonts w:hint="eastAsia" w:ascii="Times New Roman" w:hAnsi="Times New Roman" w:eastAsia="仿宋"/>
                <w:color w:val="auto"/>
                <w:sz w:val="24"/>
                <w:highlight w:val="none"/>
              </w:rPr>
              <w:t>GPA）。政治思想素质优秀、于所在专项高水平运动队伍中具有一定的号召力和示范影响力、运动技能和竞技寿命能够胜任研究生阶段的高水平运动队竞赛需要和队伍示范要求。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集体项目前十六名</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吉林省学生体育协会组织的专项锦标赛或联赛</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冠军</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1"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吉林大学本科学生艺术竞赛体系（最高0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代表学校参加经认证的国家或省级专业类大赛</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大学生艺术团骨干成员</w:t>
            </w:r>
          </w:p>
        </w:tc>
        <w:tc>
          <w:tcPr>
            <w:tcW w:w="2625"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团委认定加分（最高0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0" w:type="auto"/>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三、入伍服兵役</w:t>
            </w:r>
          </w:p>
        </w:tc>
        <w:tc>
          <w:tcPr>
            <w:tcW w:w="0" w:type="auto"/>
            <w:vMerge w:val="restart"/>
            <w:vAlign w:val="center"/>
          </w:tcPr>
          <w:p>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入伍服兵役退役复学</w:t>
            </w:r>
          </w:p>
          <w:p>
            <w:pPr>
              <w:adjustRightInd w:val="0"/>
              <w:snapToGrid w:val="0"/>
              <w:spacing w:line="360" w:lineRule="auto"/>
              <w:rPr>
                <w:rFonts w:hint="eastAsia" w:ascii="Times New Roman" w:hAnsi="Times New Roman" w:eastAsia="仿宋"/>
                <w:color w:val="auto"/>
                <w:sz w:val="24"/>
                <w:highlight w:val="none"/>
              </w:rPr>
            </w:pPr>
          </w:p>
          <w:p>
            <w:pPr>
              <w:adjustRightInd w:val="0"/>
              <w:snapToGrid w:val="0"/>
              <w:spacing w:line="360" w:lineRule="auto"/>
              <w:rPr>
                <w:rFonts w:hint="eastAsia" w:ascii="Times New Roman" w:hAnsi="Times New Roman" w:eastAsia="仿宋"/>
                <w:color w:val="auto"/>
                <w:sz w:val="24"/>
                <w:highlight w:val="none"/>
              </w:rPr>
            </w:pPr>
          </w:p>
        </w:tc>
        <w:tc>
          <w:tcPr>
            <w:tcW w:w="6181" w:type="dxa"/>
            <w:vAlign w:val="center"/>
          </w:tcPr>
          <w:p>
            <w:pPr>
              <w:adjustRightInd w:val="0"/>
              <w:snapToGrid w:val="0"/>
              <w:spacing w:line="360" w:lineRule="auto"/>
              <w:jc w:val="left"/>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退役复学</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最高0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lang w:val="en-US" w:eastAsia="zh-CN"/>
              </w:rPr>
              <w:t>2</w:t>
            </w:r>
            <w:r>
              <w:rPr>
                <w:rFonts w:hint="eastAsia" w:ascii="Times New Roman" w:hAnsi="Times New Roman" w:eastAsia="仿宋"/>
                <w:color w:val="auto"/>
                <w:sz w:val="24"/>
                <w:highlight w:val="none"/>
              </w:rPr>
              <w:t>GPA</w:t>
            </w:r>
          </w:p>
        </w:tc>
        <w:tc>
          <w:tcPr>
            <w:tcW w:w="2625" w:type="dxa"/>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党委学生工作部、党委武装部认定加分。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Align w:val="center"/>
          </w:tcPr>
          <w:p>
            <w:pPr>
              <w:adjustRightInd w:val="0"/>
              <w:snapToGrid w:val="0"/>
              <w:spacing w:line="360" w:lineRule="auto"/>
              <w:jc w:val="left"/>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优秀义务兵</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三等功以上</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直接获得推免资格</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四、志愿服务（最高0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0" w:type="auto"/>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志愿服务</w:t>
            </w:r>
          </w:p>
        </w:tc>
        <w:tc>
          <w:tcPr>
            <w:tcW w:w="6181" w:type="dxa"/>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中国青年志愿服务大赛（国家级）金奖</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w:t>
            </w:r>
          </w:p>
        </w:tc>
        <w:tc>
          <w:tcPr>
            <w:tcW w:w="2625" w:type="dxa"/>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团委认定加分（最高0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中国青年志愿服务大赛（国家级）银奖</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Merge w:val="restart"/>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中国青年志愿服务大赛（省级）金奖</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w:t>
            </w:r>
          </w:p>
        </w:tc>
        <w:tc>
          <w:tcPr>
            <w:tcW w:w="2625" w:type="dxa"/>
            <w:vMerge w:val="continue"/>
            <w:vAlign w:val="center"/>
          </w:tcPr>
          <w:p>
            <w:pPr>
              <w:adjustRightInd w:val="0"/>
              <w:snapToGrid w:val="0"/>
              <w:spacing w:line="360" w:lineRule="auto"/>
              <w:rPr>
                <w:rFonts w:ascii="Times New Roman" w:hAnsi="Times New Roman" w:eastAsia="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pPr>
              <w:adjustRightInd w:val="0"/>
              <w:snapToGrid w:val="0"/>
              <w:spacing w:line="360" w:lineRule="auto"/>
              <w:rPr>
                <w:rFonts w:ascii="Times New Roman" w:hAnsi="Times New Roman" w:eastAsia="仿宋"/>
                <w:color w:val="auto"/>
                <w:sz w:val="24"/>
                <w:highlight w:val="none"/>
              </w:rPr>
            </w:pP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社会工作（思想政治志愿服务）</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思想政治志愿服务骨干成员</w:t>
            </w:r>
          </w:p>
        </w:tc>
        <w:tc>
          <w:tcPr>
            <w:tcW w:w="2625"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党委学生工作部认定加分（最高0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五、国际组织实习</w:t>
            </w:r>
          </w:p>
        </w:tc>
        <w:tc>
          <w:tcPr>
            <w:tcW w:w="0" w:type="auto"/>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国际组织实习</w:t>
            </w:r>
          </w:p>
        </w:tc>
        <w:tc>
          <w:tcPr>
            <w:tcW w:w="6181"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国际组织实习（实习的国际组织认定以人力资源和社会保障部公布的主要国际组织名录为准）</w:t>
            </w:r>
          </w:p>
        </w:tc>
        <w:tc>
          <w:tcPr>
            <w:tcW w:w="2938"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最高0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tc>
        <w:tc>
          <w:tcPr>
            <w:tcW w:w="2625" w:type="dxa"/>
            <w:vAlign w:val="center"/>
          </w:tcPr>
          <w:p>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国际合作与交流处、学生就业创业指导与服务中心认定加分。</w:t>
            </w:r>
          </w:p>
        </w:tc>
      </w:tr>
    </w:tbl>
    <w:p>
      <w:pPr>
        <w:rPr>
          <w:rFonts w:hint="eastAsia"/>
        </w:rPr>
      </w:pPr>
      <w:r>
        <w:rPr>
          <w:rFonts w:hint="eastAsia"/>
        </w:rPr>
        <w:t>说明：1.同类成果中不累计加分，取代表作的最高加分计入推免综合成绩；</w:t>
      </w:r>
    </w:p>
    <w:p>
      <w:pPr>
        <w:rPr>
          <w:rFonts w:hint="eastAsia"/>
        </w:rPr>
      </w:pPr>
      <w:r>
        <w:rPr>
          <w:rFonts w:hint="eastAsia"/>
        </w:rPr>
        <w:t xml:space="preserve">      2.五大类别间的加分允许累加，但体育竞赛体系学生累计加分最高不超过1.0GPA，其他学生累计加分最高不超过0.4GPA；</w:t>
      </w:r>
    </w:p>
    <w:p>
      <w:r>
        <w:rPr>
          <w:rFonts w:hint="eastAsia"/>
        </w:rPr>
        <w:t xml:space="preserve">      3.加分后综合排名相同的学生，按学业成绩高低排名。</w:t>
      </w:r>
    </w:p>
    <w:p>
      <w:pPr>
        <w:rPr>
          <w:color w:val="auto"/>
          <w:highlight w:val="none"/>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3YjIwNGMxODUyZWYyMjcwMmEzMGFhOGUwZDczYmQifQ=="/>
  </w:docVars>
  <w:rsids>
    <w:rsidRoot w:val="00F46E37"/>
    <w:rsid w:val="009534AB"/>
    <w:rsid w:val="00F46E37"/>
    <w:rsid w:val="0B0E2972"/>
    <w:rsid w:val="2BBC5A39"/>
    <w:rsid w:val="2C676719"/>
    <w:rsid w:val="2D882D51"/>
    <w:rsid w:val="32873F95"/>
    <w:rsid w:val="3CD7502C"/>
    <w:rsid w:val="43FB61F5"/>
    <w:rsid w:val="4EF25252"/>
    <w:rsid w:val="68274E6C"/>
    <w:rsid w:val="705F080C"/>
    <w:rsid w:val="7420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279</Words>
  <Characters>1593</Characters>
  <Lines>13</Lines>
  <Paragraphs>3</Paragraphs>
  <TotalTime>45</TotalTime>
  <ScaleCrop>false</ScaleCrop>
  <LinksUpToDate>false</LinksUpToDate>
  <CharactersWithSpaces>1869</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wuzhiqiao</dc:creator>
  <cp:lastModifiedBy>桥</cp:lastModifiedBy>
  <cp:lastPrinted>2021-08-31T06:08:00Z</cp:lastPrinted>
  <dcterms:modified xsi:type="dcterms:W3CDTF">2022-09-01T01:13:37Z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8F528055EDCC458F89ADE18C966DEAFD</vt:lpwstr>
  </property>
</Properties>
</file>