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D084C5">
      <w:pPr>
        <w:jc w:val="center"/>
        <w:rPr>
          <w:rFonts w:ascii="华文中宋" w:hAnsi="华文中宋" w:eastAsia="华文中宋" w:cs="宋体"/>
          <w:b/>
          <w:color w:val="000000" w:themeColor="text1"/>
          <w:sz w:val="32"/>
          <w:szCs w:val="32"/>
          <w14:textFill>
            <w14:solidFill>
              <w14:schemeClr w14:val="tx1"/>
            </w14:solidFill>
          </w14:textFill>
        </w:rPr>
      </w:pPr>
      <w:r>
        <w:rPr>
          <w:rFonts w:hint="eastAsia" w:ascii="华文中宋" w:hAnsi="华文中宋" w:eastAsia="华文中宋" w:cs="宋体"/>
          <w:b/>
          <w:color w:val="000000" w:themeColor="text1"/>
          <w:sz w:val="32"/>
          <w:szCs w:val="32"/>
          <w14:textFill>
            <w14:solidFill>
              <w14:schemeClr w14:val="tx1"/>
            </w14:solidFill>
          </w14:textFill>
        </w:rPr>
        <w:t>仪器科学与电气工程学院202</w:t>
      </w:r>
      <w:r>
        <w:rPr>
          <w:rFonts w:hint="eastAsia" w:ascii="华文中宋" w:hAnsi="华文中宋" w:eastAsia="华文中宋" w:cs="宋体"/>
          <w:b/>
          <w:color w:val="000000" w:themeColor="text1"/>
          <w:sz w:val="32"/>
          <w:szCs w:val="32"/>
          <w:lang w:val="en-US" w:eastAsia="zh-CN"/>
          <w14:textFill>
            <w14:solidFill>
              <w14:schemeClr w14:val="tx1"/>
            </w14:solidFill>
          </w14:textFill>
        </w:rPr>
        <w:t>7</w:t>
      </w:r>
      <w:r>
        <w:rPr>
          <w:rFonts w:hint="eastAsia" w:ascii="华文中宋" w:hAnsi="华文中宋" w:eastAsia="华文中宋" w:cs="宋体"/>
          <w:b/>
          <w:color w:val="000000" w:themeColor="text1"/>
          <w:sz w:val="32"/>
          <w:szCs w:val="32"/>
          <w14:textFill>
            <w14:solidFill>
              <w14:schemeClr w14:val="tx1"/>
            </w14:solidFill>
          </w14:textFill>
        </w:rPr>
        <w:t>年优秀应届本科毕业生免试攻读研究生工作实施细则及加分标准</w:t>
      </w:r>
    </w:p>
    <w:p w14:paraId="3D01F563">
      <w:pPr>
        <w:rPr>
          <w:rFonts w:ascii="华文中宋" w:hAnsi="华文中宋" w:eastAsia="华文中宋" w:cs="宋体"/>
          <w:b/>
          <w:color w:val="000000" w:themeColor="text1"/>
          <w:sz w:val="32"/>
          <w:szCs w:val="32"/>
          <w14:textFill>
            <w14:solidFill>
              <w14:schemeClr w14:val="tx1"/>
            </w14:solidFill>
          </w14:textFill>
        </w:rPr>
      </w:pPr>
    </w:p>
    <w:p w14:paraId="622C6829">
      <w:pPr>
        <w:rPr>
          <w:rFonts w:ascii="仿宋" w:hAnsi="仿宋" w:eastAsia="仿宋" w:cs="宋体"/>
          <w:color w:val="000000" w:themeColor="text1"/>
          <w:sz w:val="28"/>
          <w:szCs w:val="28"/>
          <w14:textFill>
            <w14:solidFill>
              <w14:schemeClr w14:val="tx1"/>
            </w14:solidFill>
          </w14:textFill>
        </w:rPr>
      </w:pPr>
      <w:r>
        <w:rPr>
          <w:rFonts w:ascii="仿宋" w:hAnsi="仿宋" w:eastAsia="仿宋" w:cs="宋体"/>
          <w:color w:val="000000" w:themeColor="text1"/>
          <w:sz w:val="28"/>
          <w:szCs w:val="28"/>
          <w14:textFill>
            <w14:solidFill>
              <w14:schemeClr w14:val="tx1"/>
            </w14:solidFill>
          </w14:textFill>
        </w:rPr>
        <w:t>研究生教育是为社会主义现代化建设培养高素质、高层次专门人才的重要途径，推免生制度是硕士研究生招生制度的重要组成部分，是激励在校学生勤奋学习、积极创新、全面发展的有效措施。</w:t>
      </w:r>
      <w:r>
        <w:rPr>
          <w:rFonts w:hint="eastAsia" w:ascii="仿宋" w:hAnsi="仿宋" w:eastAsia="仿宋" w:cs="宋体"/>
          <w:color w:val="000000" w:themeColor="text1"/>
          <w:sz w:val="28"/>
          <w:szCs w:val="28"/>
          <w14:textFill>
            <w14:solidFill>
              <w14:schemeClr w14:val="tx1"/>
            </w14:solidFill>
          </w14:textFill>
        </w:rPr>
        <w:t>为做好我院202</w:t>
      </w:r>
      <w:r>
        <w:rPr>
          <w:rFonts w:hint="eastAsia" w:ascii="仿宋" w:hAnsi="仿宋" w:eastAsia="仿宋" w:cs="宋体"/>
          <w:color w:val="000000" w:themeColor="text1"/>
          <w:sz w:val="28"/>
          <w:szCs w:val="28"/>
          <w:lang w:val="en-US" w:eastAsia="zh-CN"/>
          <w14:textFill>
            <w14:solidFill>
              <w14:schemeClr w14:val="tx1"/>
            </w14:solidFill>
          </w14:textFill>
        </w:rPr>
        <w:t>7</w:t>
      </w:r>
      <w:r>
        <w:rPr>
          <w:rFonts w:hint="eastAsia" w:ascii="仿宋" w:hAnsi="仿宋" w:eastAsia="仿宋" w:cs="宋体"/>
          <w:color w:val="000000" w:themeColor="text1"/>
          <w:sz w:val="28"/>
          <w:szCs w:val="28"/>
          <w14:textFill>
            <w14:solidFill>
              <w14:schemeClr w14:val="tx1"/>
            </w14:solidFill>
          </w14:textFill>
        </w:rPr>
        <w:t>年优秀应届本科毕业生推免工作，学院按照《吉林大学推荐优秀应届本科毕业生免试攻读研究生工作管理办法》（校发〔2022〕59号）的要求，</w:t>
      </w:r>
      <w:r>
        <w:rPr>
          <w:rFonts w:ascii="仿宋" w:hAnsi="仿宋" w:eastAsia="仿宋" w:cs="宋体"/>
          <w:color w:val="000000" w:themeColor="text1"/>
          <w:sz w:val="28"/>
          <w:szCs w:val="28"/>
          <w14:textFill>
            <w14:solidFill>
              <w14:schemeClr w14:val="tx1"/>
            </w14:solidFill>
          </w14:textFill>
        </w:rPr>
        <w:t>坚持公开、公正、公平</w:t>
      </w:r>
      <w:r>
        <w:rPr>
          <w:rFonts w:hint="eastAsia" w:ascii="仿宋" w:hAnsi="仿宋" w:eastAsia="仿宋" w:cs="宋体"/>
          <w:color w:val="000000" w:themeColor="text1"/>
          <w:sz w:val="28"/>
          <w:szCs w:val="28"/>
          <w14:textFill>
            <w14:solidFill>
              <w14:schemeClr w14:val="tx1"/>
            </w14:solidFill>
          </w14:textFill>
        </w:rPr>
        <w:t>和</w:t>
      </w:r>
      <w:r>
        <w:rPr>
          <w:rFonts w:ascii="仿宋" w:hAnsi="仿宋" w:eastAsia="仿宋" w:cs="宋体"/>
          <w:color w:val="000000" w:themeColor="text1"/>
          <w:sz w:val="28"/>
          <w:szCs w:val="28"/>
          <w14:textFill>
            <w14:solidFill>
              <w14:schemeClr w14:val="tx1"/>
            </w14:solidFill>
          </w14:textFill>
        </w:rPr>
        <w:t>择优选拔</w:t>
      </w:r>
      <w:r>
        <w:rPr>
          <w:rFonts w:hint="eastAsia" w:ascii="仿宋" w:hAnsi="仿宋" w:eastAsia="仿宋" w:cs="宋体"/>
          <w:color w:val="000000" w:themeColor="text1"/>
          <w:sz w:val="28"/>
          <w:szCs w:val="28"/>
          <w14:textFill>
            <w14:solidFill>
              <w14:schemeClr w14:val="tx1"/>
            </w14:solidFill>
          </w14:textFill>
        </w:rPr>
        <w:t>的基本原则</w:t>
      </w:r>
      <w:r>
        <w:rPr>
          <w:rFonts w:ascii="仿宋" w:hAnsi="仿宋" w:eastAsia="仿宋" w:cs="宋体"/>
          <w:color w:val="000000" w:themeColor="text1"/>
          <w:sz w:val="28"/>
          <w:szCs w:val="28"/>
          <w14:textFill>
            <w14:solidFill>
              <w14:schemeClr w14:val="tx1"/>
            </w14:solidFill>
          </w14:textFill>
        </w:rPr>
        <w:t>，</w:t>
      </w:r>
      <w:r>
        <w:rPr>
          <w:rFonts w:hint="eastAsia" w:ascii="仿宋" w:hAnsi="仿宋" w:eastAsia="仿宋" w:cs="宋体"/>
          <w:color w:val="000000" w:themeColor="text1"/>
          <w:sz w:val="28"/>
          <w:szCs w:val="28"/>
          <w14:textFill>
            <w14:solidFill>
              <w14:schemeClr w14:val="tx1"/>
            </w14:solidFill>
          </w14:textFill>
        </w:rPr>
        <w:t>制定了本推免工作实施细则及加分标准。</w:t>
      </w:r>
    </w:p>
    <w:p w14:paraId="01E33C7A">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一、基本原则</w:t>
      </w:r>
    </w:p>
    <w:p w14:paraId="7368E728">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推免工作坚持公平、公正、公开的工作原则，坚持科学遴选，选拔推荐过程中落实集体议事、集体决策和信息公开等制度，保护学生合法权益。</w:t>
      </w:r>
    </w:p>
    <w:p w14:paraId="763B8873">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注重学生德智体美劳全面衡量，落实立德树人根本任务，把学生思想品德考核作为推免生遴选的重要内容和录取的重要依据，思想品德考核不合格者不予推荐；突出考查学生的一贯学业表现，将本科阶段学业综合成绩作为推免工作最基础的遴选指标，将符合学生全面发展价值导向的因素纳入学校推免生遴选指标体系，综合评价学生的各方面表现。</w:t>
      </w:r>
    </w:p>
    <w:p w14:paraId="301AAF23">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二、组织领导</w:t>
      </w:r>
    </w:p>
    <w:p w14:paraId="47031DFA">
      <w:pP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1.学院推免工作小组</w:t>
      </w:r>
    </w:p>
    <w:p w14:paraId="1DF9D6E9">
      <w:pPr>
        <w:rPr>
          <w:rFonts w:hint="eastAsia" w:ascii="仿宋" w:hAnsi="仿宋" w:eastAsia="仿宋"/>
          <w:color w:val="auto"/>
          <w:sz w:val="28"/>
          <w:szCs w:val="28"/>
          <w:lang w:eastAsia="zh-CN"/>
        </w:rPr>
      </w:pPr>
      <w:r>
        <w:rPr>
          <w:rFonts w:hint="eastAsia" w:ascii="仿宋" w:hAnsi="仿宋" w:eastAsia="仿宋"/>
          <w:color w:val="000000" w:themeColor="text1"/>
          <w:sz w:val="28"/>
          <w:szCs w:val="28"/>
          <w14:textFill>
            <w14:solidFill>
              <w14:schemeClr w14:val="tx1"/>
            </w14:solidFill>
          </w14:textFill>
        </w:rPr>
        <w:t>组长：</w:t>
      </w:r>
      <w:r>
        <w:rPr>
          <w:rFonts w:hint="eastAsia" w:ascii="仿宋" w:hAnsi="仿宋" w:eastAsia="仿宋"/>
          <w:color w:val="auto"/>
          <w:sz w:val="28"/>
          <w:szCs w:val="28"/>
          <w:lang w:val="en-US" w:eastAsia="zh-CN"/>
        </w:rPr>
        <w:t>林婷婷</w:t>
      </w:r>
    </w:p>
    <w:p w14:paraId="0BF1036E">
      <w:pPr>
        <w:rPr>
          <w:rFonts w:hint="eastAsia" w:ascii="仿宋" w:hAnsi="仿宋" w:eastAsia="仿宋"/>
          <w:color w:val="C00000"/>
          <w:sz w:val="28"/>
          <w:szCs w:val="28"/>
          <w:lang w:val="en-US" w:eastAsia="zh-CN"/>
        </w:rPr>
      </w:pPr>
      <w:r>
        <w:rPr>
          <w:rFonts w:hint="eastAsia" w:ascii="仿宋" w:hAnsi="仿宋" w:eastAsia="仿宋"/>
          <w:color w:val="auto"/>
          <w:sz w:val="28"/>
          <w:szCs w:val="28"/>
        </w:rPr>
        <w:t>副组长：</w:t>
      </w:r>
      <w:r>
        <w:rPr>
          <w:rFonts w:hint="eastAsia" w:ascii="仿宋" w:hAnsi="仿宋" w:eastAsia="仿宋"/>
          <w:color w:val="auto"/>
          <w:sz w:val="28"/>
          <w:szCs w:val="28"/>
          <w:lang w:val="en-US" w:eastAsia="zh-CN"/>
        </w:rPr>
        <w:t>李刚</w:t>
      </w:r>
      <w:r>
        <w:rPr>
          <w:rFonts w:hint="eastAsia" w:ascii="仿宋" w:hAnsi="仿宋" w:eastAsia="仿宋"/>
          <w:color w:val="auto"/>
          <w:sz w:val="28"/>
          <w:szCs w:val="28"/>
        </w:rPr>
        <w:t xml:space="preserve"> </w:t>
      </w:r>
      <w:r>
        <w:rPr>
          <w:rFonts w:hint="eastAsia" w:ascii="仿宋" w:hAnsi="仿宋" w:eastAsia="仿宋"/>
          <w:color w:val="auto"/>
          <w:sz w:val="28"/>
          <w:szCs w:val="28"/>
          <w:lang w:val="en-US" w:eastAsia="zh-CN"/>
        </w:rPr>
        <w:t>杨光</w:t>
      </w:r>
    </w:p>
    <w:p w14:paraId="4F43D9AD">
      <w:pPr>
        <w:rPr>
          <w:rFonts w:ascii="仿宋" w:hAnsi="仿宋" w:eastAsia="仿宋"/>
          <w:color w:val="auto"/>
          <w:sz w:val="28"/>
          <w:szCs w:val="28"/>
        </w:rPr>
      </w:pPr>
      <w:r>
        <w:rPr>
          <w:rFonts w:hint="eastAsia" w:ascii="仿宋" w:hAnsi="仿宋" w:eastAsia="仿宋"/>
          <w:color w:val="000000" w:themeColor="text1"/>
          <w:sz w:val="28"/>
          <w:szCs w:val="28"/>
          <w14:textFill>
            <w14:solidFill>
              <w14:schemeClr w14:val="tx1"/>
            </w14:solidFill>
          </w14:textFill>
        </w:rPr>
        <w:t>成员：</w:t>
      </w:r>
      <w:r>
        <w:rPr>
          <w:rFonts w:hint="eastAsia" w:ascii="仿宋" w:hAnsi="仿宋" w:eastAsia="仿宋"/>
          <w:color w:val="auto"/>
          <w:sz w:val="28"/>
          <w:szCs w:val="28"/>
          <w:lang w:val="en-US" w:eastAsia="zh-CN"/>
        </w:rPr>
        <w:t>曲珩</w:t>
      </w:r>
      <w:r>
        <w:rPr>
          <w:rFonts w:hint="eastAsia" w:ascii="仿宋" w:hAnsi="仿宋" w:eastAsia="仿宋"/>
          <w:color w:val="auto"/>
          <w:sz w:val="28"/>
          <w:szCs w:val="28"/>
        </w:rPr>
        <w:t xml:space="preserve"> 赵静 </w:t>
      </w:r>
      <w:r>
        <w:rPr>
          <w:rFonts w:hint="eastAsia" w:ascii="仿宋" w:hAnsi="仿宋" w:eastAsia="仿宋"/>
          <w:color w:val="auto"/>
          <w:sz w:val="28"/>
          <w:szCs w:val="28"/>
          <w:lang w:val="en-US" w:eastAsia="zh-CN"/>
        </w:rPr>
        <w:t>刘光达</w:t>
      </w:r>
      <w:r>
        <w:rPr>
          <w:rFonts w:hint="eastAsia" w:ascii="仿宋" w:hAnsi="仿宋" w:eastAsia="仿宋"/>
          <w:color w:val="auto"/>
          <w:sz w:val="28"/>
          <w:szCs w:val="28"/>
        </w:rPr>
        <w:t xml:space="preserve"> 凌振宝</w:t>
      </w:r>
    </w:p>
    <w:p w14:paraId="1A07BD61">
      <w:pP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2.学院推免工作监督小组</w:t>
      </w:r>
    </w:p>
    <w:p w14:paraId="20D07BD4">
      <w:pP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组长：邱增凯</w:t>
      </w:r>
    </w:p>
    <w:p w14:paraId="714352E0">
      <w:pPr>
        <w:rPr>
          <w:rFonts w:hint="default" w:ascii="仿宋" w:hAnsi="仿宋" w:eastAsia="仿宋"/>
          <w:color w:val="000000" w:themeColor="text1"/>
          <w:sz w:val="28"/>
          <w:szCs w:val="28"/>
          <w:lang w:val="en-US" w:eastAsia="zh-CN"/>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成员：</w:t>
      </w:r>
      <w:r>
        <w:rPr>
          <w:rFonts w:hint="eastAsia" w:ascii="仿宋" w:hAnsi="仿宋" w:eastAsia="仿宋"/>
          <w:color w:val="auto"/>
          <w:sz w:val="28"/>
          <w:szCs w:val="28"/>
        </w:rPr>
        <w:t xml:space="preserve"> </w:t>
      </w:r>
      <w:r>
        <w:rPr>
          <w:rFonts w:hint="eastAsia" w:ascii="仿宋" w:hAnsi="仿宋" w:eastAsia="仿宋"/>
          <w:color w:val="auto"/>
          <w:sz w:val="28"/>
          <w:szCs w:val="28"/>
          <w:lang w:val="en-US" w:eastAsia="zh-CN"/>
        </w:rPr>
        <w:t>陈晨</w:t>
      </w:r>
      <w:r>
        <w:rPr>
          <w:rFonts w:hint="eastAsia" w:ascii="仿宋" w:hAnsi="仿宋" w:eastAsia="仿宋"/>
          <w:color w:val="auto"/>
          <w:sz w:val="28"/>
          <w:szCs w:val="28"/>
        </w:rPr>
        <w:t xml:space="preserve"> </w:t>
      </w:r>
      <w:r>
        <w:rPr>
          <w:rFonts w:hint="eastAsia" w:ascii="仿宋" w:hAnsi="仿宋" w:eastAsia="仿宋"/>
          <w:color w:val="auto"/>
          <w:sz w:val="28"/>
          <w:szCs w:val="28"/>
          <w:lang w:val="en-US" w:eastAsia="zh-CN"/>
        </w:rPr>
        <w:t>田宝凤</w:t>
      </w:r>
      <w:r>
        <w:rPr>
          <w:rFonts w:hint="eastAsia" w:ascii="仿宋" w:hAnsi="仿宋" w:eastAsia="仿宋"/>
          <w:color w:val="auto"/>
          <w:sz w:val="28"/>
          <w:szCs w:val="28"/>
        </w:rPr>
        <w:t xml:space="preserve"> </w:t>
      </w:r>
      <w:r>
        <w:rPr>
          <w:rFonts w:hint="eastAsia" w:ascii="仿宋" w:hAnsi="仿宋" w:eastAsia="仿宋"/>
          <w:color w:val="auto"/>
          <w:sz w:val="28"/>
          <w:szCs w:val="28"/>
          <w:lang w:val="en-US" w:eastAsia="zh-CN"/>
        </w:rPr>
        <w:t>王智宏</w:t>
      </w:r>
      <w:r>
        <w:rPr>
          <w:rFonts w:hint="eastAsia" w:ascii="仿宋" w:hAnsi="仿宋" w:eastAsia="仿宋"/>
          <w:color w:val="000000" w:themeColor="text1"/>
          <w:sz w:val="28"/>
          <w:szCs w:val="28"/>
          <w14:textFill>
            <w14:solidFill>
              <w14:schemeClr w14:val="tx1"/>
            </w14:solidFill>
          </w14:textFill>
        </w:rPr>
        <w:t xml:space="preserve"> 学生代表1（测控）学生代表2（电气）</w:t>
      </w:r>
      <w:r>
        <w:rPr>
          <w:rFonts w:hint="eastAsia" w:ascii="仿宋" w:hAnsi="仿宋" w:eastAsia="仿宋"/>
          <w:color w:val="000000" w:themeColor="text1"/>
          <w:sz w:val="28"/>
          <w:szCs w:val="28"/>
          <w:lang w:val="en-US" w:eastAsia="zh-CN"/>
          <w14:textFill>
            <w14:solidFill>
              <w14:schemeClr w14:val="tx1"/>
            </w14:solidFill>
          </w14:textFill>
        </w:rPr>
        <w:t xml:space="preserve"> 学生代表3（智感）</w:t>
      </w:r>
    </w:p>
    <w:p w14:paraId="3AA27FBF">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三、推荐基本条件</w:t>
      </w:r>
    </w:p>
    <w:p w14:paraId="3E188267">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1.拥护中国共产党的领导，具有高尚的爱国主义情操和集体主义精神，社会主义信念坚定，社会责任感强，遵纪守法，积极向上，身心健康。</w:t>
      </w:r>
    </w:p>
    <w:p w14:paraId="4A73D77F">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2.学校纳入国家普通本科招生计划录取的全日制应届本科毕业生（不含专升本、第二学士学位学生）。</w:t>
      </w:r>
    </w:p>
    <w:p w14:paraId="6AFABD6A">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3.勤奋学习，刻苦钻研，成绩优秀；学术研究兴趣浓厚，有较强的科学精神、创新能力和科研潜质。</w:t>
      </w:r>
    </w:p>
    <w:p w14:paraId="40AF07EA">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4.诚实守信、遵纪守法、学风端正，无学业、学术、品行等方面严重失信行为。曾受过纪律处分的学生，推免工作开始前（日期以学校发布推免通知为准）处分已解除的，申报推免不受影响。</w:t>
      </w:r>
    </w:p>
    <w:p w14:paraId="16A4F176">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5.具备良好的体质健康水平。</w:t>
      </w:r>
    </w:p>
    <w:p w14:paraId="4A224E74">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四、推荐成绩要求</w:t>
      </w:r>
    </w:p>
    <w:p w14:paraId="037608BF">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推免成绩是由学生前三学年《培养方案》要求开设的全部必修课程和限选课程（含实践教学环节）的考核成绩和素质类项目（包括学生在校期间取得科研成果、参加竞赛获奖、参军入伍服兵役、参加志愿服务、到国际组织实习情况）加分成绩构成，要求全部成绩必须通过。</w:t>
      </w:r>
    </w:p>
    <w:p w14:paraId="33148250">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1.申请常规推荐、“直博生”推荐、“专项推免补偿计划”推荐的学生，要求平均学分绩点（GPA）2.5及以上；申请“研究生支教团”推荐的学生，要求平均学分绩点（GPA）2.3及以上。</w:t>
      </w:r>
    </w:p>
    <w:p w14:paraId="2BA7AFA1">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2.申请常规推荐、“直博生”推荐、“专项推免补偿计划”推荐的学生，允许曾有1门必修课程或限选课程不及格，但必须在当年推免工作开始前重修通过。</w:t>
      </w:r>
    </w:p>
    <w:p w14:paraId="2F60E74B">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申请“研究生支教团”推荐的学生，允许曾有2门必修课程或限选课程不及格，但必须在当年推免工作开始前重修通过。</w:t>
      </w:r>
    </w:p>
    <w:p w14:paraId="7F68E4DD">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3.成绩排名以第一次考试成绩为准，重修、加分的成绩不参与排名计算。经教务处批准的缓考、补考成绩，按第一次考试成绩计算排名。</w:t>
      </w:r>
    </w:p>
    <w:p w14:paraId="6F4314A8">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4.校际交流学生的推免成绩必须经教务处进行相应学分认定，且应不少于《培养方案》要求的全部必修课程和限选课程总学分的95%，其课程门数按实际修读课程门数计算。</w:t>
      </w:r>
    </w:p>
    <w:p w14:paraId="26A73785">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5.具备良好的外语能力和水平，校内必修外语课程考试平均成绩达到75分以上或全国大学外语四级考试成绩在425分以上（或托福80分及以上、雅思6.0及以上、日语N2及以上、俄语ТРКИ-2及以上）。</w:t>
      </w:r>
    </w:p>
    <w:p w14:paraId="3EEFE1AB">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五、推荐综合排名要求</w:t>
      </w:r>
    </w:p>
    <w:p w14:paraId="1E4B07B7">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1.综合排名由学业成绩和素质类项目加分组成。</w:t>
      </w:r>
    </w:p>
    <w:p w14:paraId="252111D7">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学业成绩指《培养方案》要求的前三学年开设的全部必修课程和限选课程（含实践教学环节）的平均学分绩点（GPA），大学英语课程中仅英语III、IV计入综合排名，军事教育</w:t>
      </w:r>
      <w:r>
        <w:rPr>
          <w:rFonts w:hint="eastAsia" w:ascii="仿宋" w:hAnsi="仿宋" w:eastAsia="仿宋"/>
          <w:color w:val="000000" w:themeColor="text1"/>
          <w:sz w:val="28"/>
          <w:szCs w:val="28"/>
          <w:lang w:eastAsia="zh-CN"/>
          <w14:textFill>
            <w14:solidFill>
              <w14:schemeClr w14:val="tx1"/>
            </w14:solidFill>
          </w14:textFill>
        </w:rPr>
        <w:t>、</w:t>
      </w:r>
      <w:r>
        <w:rPr>
          <w:rFonts w:hint="eastAsia" w:ascii="仿宋" w:hAnsi="仿宋" w:eastAsia="仿宋"/>
          <w:color w:val="000000" w:themeColor="text1"/>
          <w:sz w:val="28"/>
          <w:szCs w:val="28"/>
          <w:lang w:val="en-US" w:eastAsia="zh-CN"/>
          <w14:textFill>
            <w14:solidFill>
              <w14:schemeClr w14:val="tx1"/>
            </w14:solidFill>
          </w14:textFill>
        </w:rPr>
        <w:t>体育和</w:t>
      </w:r>
      <w:r>
        <w:rPr>
          <w:rFonts w:hint="eastAsia" w:ascii="仿宋" w:hAnsi="仿宋" w:eastAsia="仿宋"/>
          <w:color w:val="000000" w:themeColor="text1"/>
          <w:sz w:val="28"/>
          <w:szCs w:val="28"/>
          <w14:textFill>
            <w14:solidFill>
              <w14:schemeClr w14:val="tx1"/>
            </w14:solidFill>
          </w14:textFill>
        </w:rPr>
        <w:t>新生研讨课不计入综合排名。</w:t>
      </w:r>
    </w:p>
    <w:p w14:paraId="63A48B1B">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综合排名相同的学生，按学业成绩高低排名。</w:t>
      </w:r>
    </w:p>
    <w:p w14:paraId="0F9E34D4">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2.全院所有应届毕业学生均须参加本专业的综合排名，其中：</w:t>
      </w:r>
    </w:p>
    <w:p w14:paraId="642CB7A5">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常规推荐学生综合排名以本专业前25%的学生学业成绩为选拔线，“卓越人才教育计划”所在专业的学生综合排名以本专业前30%的学生学业成绩为线；在计算素质类项目加分后，推免成绩达到选拔线及以上的学生具备推免资格。</w:t>
      </w:r>
    </w:p>
    <w:p w14:paraId="16302A61">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“直博生”推荐、“研究生支教团”推荐、“专项推免补偿计划”推荐的学生综合排名要求与常规推荐的排名要求相同。</w:t>
      </w:r>
    </w:p>
    <w:p w14:paraId="35A56467">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3.综合排名时如有不能被推荐（如：违纪处分未被解除、自愿放弃等）的学生，不将这部分学生剔除后重新排名,不将未进入推荐范围的学生递补入围。</w:t>
      </w:r>
    </w:p>
    <w:p w14:paraId="3B079DAE">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六、素质类项目加分细则和标准</w:t>
      </w:r>
    </w:p>
    <w:p w14:paraId="2C1C5648">
      <w:pPr>
        <w:ind w:firstLine="560" w:firstLineChars="200"/>
        <w:rPr>
          <w:rFonts w:ascii="仿宋" w:hAnsi="仿宋" w:eastAsia="仿宋"/>
          <w:b/>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学院会同相关研究领域权威专家成立专家审核小组，按照年度推免工作实施细则和加分标准，对申请推免资格学生的素质项目进行审核鉴定，排除抄袭、造假、冒名及有名无实等情况，组织相关学生在学院范围内进行公开答辩，审核认定学生的学术专长，确定加分分值，</w:t>
      </w:r>
      <w:r>
        <w:rPr>
          <w:rFonts w:hint="eastAsia" w:ascii="仿宋" w:hAnsi="仿宋" w:eastAsia="仿宋"/>
          <w:b/>
          <w:color w:val="000000" w:themeColor="text1"/>
          <w:sz w:val="28"/>
          <w:szCs w:val="28"/>
          <w14:textFill>
            <w14:solidFill>
              <w14:schemeClr w14:val="tx1"/>
            </w14:solidFill>
          </w14:textFill>
        </w:rPr>
        <w:t>加分最高不超过0.4学分绩点（GPA），具体规则如下表</w:t>
      </w:r>
      <w:r>
        <w:rPr>
          <w:rFonts w:hint="eastAsia" w:ascii="仿宋" w:hAnsi="仿宋" w:eastAsia="仿宋"/>
          <w:color w:val="000000" w:themeColor="text1"/>
          <w:sz w:val="28"/>
          <w:szCs w:val="28"/>
          <w14:textFill>
            <w14:solidFill>
              <w14:schemeClr w14:val="tx1"/>
            </w14:solidFill>
          </w14:textFill>
        </w:rPr>
        <w:t>。</w:t>
      </w:r>
      <w:r>
        <w:rPr>
          <w:rFonts w:hint="eastAsia" w:ascii="仿宋" w:hAnsi="仿宋" w:eastAsia="仿宋"/>
          <w:b/>
          <w:color w:val="000000" w:themeColor="text1"/>
          <w:sz w:val="28"/>
          <w:szCs w:val="28"/>
          <w14:textFill>
            <w14:solidFill>
              <w14:schemeClr w14:val="tx1"/>
            </w14:solidFill>
          </w14:textFill>
        </w:rPr>
        <w:t>所有成果认定时间截止到8月31日。</w:t>
      </w:r>
      <w:r>
        <w:rPr>
          <w:rFonts w:hint="eastAsia" w:ascii="仿宋" w:hAnsi="仿宋" w:eastAsia="仿宋"/>
          <w:color w:val="000000" w:themeColor="text1"/>
          <w:sz w:val="28"/>
          <w:szCs w:val="28"/>
          <w14:textFill>
            <w14:solidFill>
              <w14:schemeClr w14:val="tx1"/>
            </w14:solidFill>
          </w14:textFill>
        </w:rPr>
        <w:t>由学业绩点成绩+素质类加分，计算综合排名，在学院网站公示10个工作日。</w:t>
      </w:r>
      <w:r>
        <w:rPr>
          <w:rFonts w:hint="eastAsia" w:ascii="仿宋" w:hAnsi="仿宋" w:eastAsia="仿宋"/>
          <w:b/>
          <w:color w:val="000000" w:themeColor="text1"/>
          <w:sz w:val="28"/>
          <w:szCs w:val="28"/>
          <w14:textFill>
            <w14:solidFill>
              <w14:schemeClr w14:val="tx1"/>
            </w14:solidFill>
          </w14:textFill>
        </w:rPr>
        <w:t>素质类加分后若有总绩点超过4的，按4计算，然后计算综合排名。如果综合排名中存在总绩点相同的情况，则按学业绩点成绩排序。</w:t>
      </w:r>
    </w:p>
    <w:p w14:paraId="02FA5D29">
      <w:pPr>
        <w:rPr>
          <w:rFonts w:ascii="仿宋" w:hAnsi="仿宋" w:eastAsia="仿宋"/>
          <w:color w:val="000000" w:themeColor="text1"/>
          <w:sz w:val="28"/>
          <w:szCs w:val="28"/>
          <w14:textFill>
            <w14:solidFill>
              <w14:schemeClr w14:val="tx1"/>
            </w14:solidFill>
          </w14:textFill>
        </w:rPr>
        <w:sectPr>
          <w:pgSz w:w="11906" w:h="16838"/>
          <w:pgMar w:top="1440" w:right="1800" w:bottom="1440" w:left="1800" w:header="851" w:footer="992" w:gutter="0"/>
          <w:cols w:space="425" w:num="1"/>
          <w:docGrid w:type="lines" w:linePitch="312" w:charSpace="0"/>
        </w:sectPr>
      </w:pPr>
    </w:p>
    <w:p w14:paraId="43E10511">
      <w:pPr>
        <w:jc w:val="center"/>
        <w:rPr>
          <w:rFonts w:ascii="仿宋" w:hAnsi="仿宋" w:eastAsia="仿宋"/>
          <w:b/>
          <w:color w:val="000000" w:themeColor="text1"/>
          <w:sz w:val="24"/>
          <w:szCs w:val="28"/>
          <w14:textFill>
            <w14:solidFill>
              <w14:schemeClr w14:val="tx1"/>
            </w14:solidFill>
          </w14:textFill>
        </w:rPr>
      </w:pPr>
    </w:p>
    <w:p w14:paraId="556D37D0">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仪器科学与电气工程学院本科生素质类项目加分标准</w:t>
      </w:r>
    </w:p>
    <w:tbl>
      <w:tblPr>
        <w:tblStyle w:val="5"/>
        <w:tblW w:w="140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3"/>
        <w:gridCol w:w="2268"/>
        <w:gridCol w:w="3825"/>
        <w:gridCol w:w="2537"/>
        <w:gridCol w:w="60"/>
        <w:gridCol w:w="795"/>
        <w:gridCol w:w="10"/>
        <w:gridCol w:w="2981"/>
      </w:tblGrid>
      <w:tr w14:paraId="4E69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tcPr>
          <w:p w14:paraId="01448A03">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类别</w:t>
            </w:r>
          </w:p>
        </w:tc>
        <w:tc>
          <w:tcPr>
            <w:tcW w:w="6093" w:type="dxa"/>
            <w:gridSpan w:val="2"/>
            <w:vAlign w:val="center"/>
          </w:tcPr>
          <w:p w14:paraId="42F16B31">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加分项目</w:t>
            </w:r>
          </w:p>
        </w:tc>
        <w:tc>
          <w:tcPr>
            <w:tcW w:w="2537" w:type="dxa"/>
          </w:tcPr>
          <w:p w14:paraId="19E5AED3">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加分对象</w:t>
            </w:r>
          </w:p>
        </w:tc>
        <w:tc>
          <w:tcPr>
            <w:tcW w:w="865" w:type="dxa"/>
            <w:gridSpan w:val="3"/>
          </w:tcPr>
          <w:p w14:paraId="38EE39A3">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加分标准</w:t>
            </w:r>
          </w:p>
        </w:tc>
        <w:tc>
          <w:tcPr>
            <w:tcW w:w="2981" w:type="dxa"/>
          </w:tcPr>
          <w:p w14:paraId="735B467E">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GPA加分上限及认定</w:t>
            </w:r>
          </w:p>
        </w:tc>
      </w:tr>
      <w:tr w14:paraId="7B7BE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restart"/>
            <w:vAlign w:val="center"/>
          </w:tcPr>
          <w:p w14:paraId="44D14E39">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一、科研成果（最高0.4GPA）</w:t>
            </w:r>
          </w:p>
        </w:tc>
        <w:tc>
          <w:tcPr>
            <w:tcW w:w="2268" w:type="dxa"/>
            <w:vMerge w:val="restart"/>
            <w:vAlign w:val="center"/>
          </w:tcPr>
          <w:p w14:paraId="440DF414">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大学生创新创业训练计划项目</w:t>
            </w:r>
          </w:p>
        </w:tc>
        <w:tc>
          <w:tcPr>
            <w:tcW w:w="3825" w:type="dxa"/>
            <w:vMerge w:val="restart"/>
            <w:vAlign w:val="center"/>
          </w:tcPr>
          <w:p w14:paraId="527107E2">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国家级结题优秀项目</w:t>
            </w:r>
          </w:p>
        </w:tc>
        <w:tc>
          <w:tcPr>
            <w:tcW w:w="2537" w:type="dxa"/>
            <w:vAlign w:val="center"/>
          </w:tcPr>
          <w:p w14:paraId="074B3CC3">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负责人</w:t>
            </w:r>
          </w:p>
        </w:tc>
        <w:tc>
          <w:tcPr>
            <w:tcW w:w="865" w:type="dxa"/>
            <w:gridSpan w:val="3"/>
            <w:vMerge w:val="restart"/>
            <w:vAlign w:val="center"/>
          </w:tcPr>
          <w:p w14:paraId="2DF43F7B">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.2</w:t>
            </w:r>
          </w:p>
        </w:tc>
        <w:tc>
          <w:tcPr>
            <w:tcW w:w="2981" w:type="dxa"/>
            <w:vMerge w:val="restart"/>
            <w:vAlign w:val="center"/>
          </w:tcPr>
          <w:p w14:paraId="5795073F">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学院认定加分，每项0.2GPA，中间换人不加分。</w:t>
            </w:r>
          </w:p>
        </w:tc>
      </w:tr>
      <w:tr w14:paraId="6D392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4859C652">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vAlign w:val="center"/>
          </w:tcPr>
          <w:p w14:paraId="051D72CC">
            <w:pPr>
              <w:jc w:val="center"/>
              <w:rPr>
                <w:rFonts w:ascii="仿宋" w:hAnsi="仿宋" w:eastAsia="仿宋"/>
                <w:color w:val="000000" w:themeColor="text1"/>
                <w:sz w:val="24"/>
                <w:szCs w:val="28"/>
                <w14:textFill>
                  <w14:solidFill>
                    <w14:schemeClr w14:val="tx1"/>
                  </w14:solidFill>
                </w14:textFill>
              </w:rPr>
            </w:pPr>
          </w:p>
        </w:tc>
        <w:tc>
          <w:tcPr>
            <w:tcW w:w="3825" w:type="dxa"/>
            <w:vMerge w:val="continue"/>
            <w:vAlign w:val="center"/>
          </w:tcPr>
          <w:p w14:paraId="3170ABB8">
            <w:pPr>
              <w:jc w:val="center"/>
              <w:rPr>
                <w:rFonts w:ascii="仿宋" w:hAnsi="仿宋" w:eastAsia="仿宋"/>
                <w:color w:val="000000" w:themeColor="text1"/>
                <w:sz w:val="24"/>
                <w:szCs w:val="28"/>
                <w14:textFill>
                  <w14:solidFill>
                    <w14:schemeClr w14:val="tx1"/>
                  </w14:solidFill>
                </w14:textFill>
              </w:rPr>
            </w:pPr>
          </w:p>
        </w:tc>
        <w:tc>
          <w:tcPr>
            <w:tcW w:w="2537" w:type="dxa"/>
            <w:vAlign w:val="center"/>
          </w:tcPr>
          <w:p w14:paraId="47252C0C">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第二</w:t>
            </w:r>
          </w:p>
        </w:tc>
        <w:tc>
          <w:tcPr>
            <w:tcW w:w="865" w:type="dxa"/>
            <w:gridSpan w:val="3"/>
            <w:vMerge w:val="continue"/>
            <w:vAlign w:val="center"/>
          </w:tcPr>
          <w:p w14:paraId="1BC4EAE9">
            <w:pPr>
              <w:jc w:val="center"/>
              <w:rPr>
                <w:rFonts w:ascii="仿宋" w:hAnsi="仿宋" w:eastAsia="仿宋"/>
                <w:color w:val="000000" w:themeColor="text1"/>
                <w:sz w:val="24"/>
                <w:szCs w:val="28"/>
                <w14:textFill>
                  <w14:solidFill>
                    <w14:schemeClr w14:val="tx1"/>
                  </w14:solidFill>
                </w14:textFill>
              </w:rPr>
            </w:pPr>
          </w:p>
        </w:tc>
        <w:tc>
          <w:tcPr>
            <w:tcW w:w="2981" w:type="dxa"/>
            <w:vMerge w:val="continue"/>
          </w:tcPr>
          <w:p w14:paraId="2CA182E4">
            <w:pPr>
              <w:rPr>
                <w:rFonts w:ascii="仿宋" w:hAnsi="仿宋" w:eastAsia="仿宋"/>
                <w:color w:val="000000" w:themeColor="text1"/>
                <w:sz w:val="24"/>
                <w:szCs w:val="28"/>
                <w14:textFill>
                  <w14:solidFill>
                    <w14:schemeClr w14:val="tx1"/>
                  </w14:solidFill>
                </w14:textFill>
              </w:rPr>
            </w:pPr>
          </w:p>
        </w:tc>
      </w:tr>
      <w:tr w14:paraId="083B1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2424CC87">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vAlign w:val="center"/>
          </w:tcPr>
          <w:p w14:paraId="67A829CB">
            <w:pPr>
              <w:jc w:val="center"/>
              <w:rPr>
                <w:rFonts w:ascii="仿宋" w:hAnsi="仿宋" w:eastAsia="仿宋"/>
                <w:color w:val="000000" w:themeColor="text1"/>
                <w:sz w:val="24"/>
                <w:szCs w:val="28"/>
                <w14:textFill>
                  <w14:solidFill>
                    <w14:schemeClr w14:val="tx1"/>
                  </w14:solidFill>
                </w14:textFill>
              </w:rPr>
            </w:pPr>
          </w:p>
        </w:tc>
        <w:tc>
          <w:tcPr>
            <w:tcW w:w="10208" w:type="dxa"/>
            <w:gridSpan w:val="6"/>
            <w:vAlign w:val="center"/>
          </w:tcPr>
          <w:p w14:paraId="40AEE045">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认定办法：项目负责人加0</w:t>
            </w:r>
            <w:r>
              <w:rPr>
                <w:rFonts w:ascii="仿宋" w:hAnsi="仿宋" w:eastAsia="仿宋"/>
                <w:color w:val="000000" w:themeColor="text1"/>
                <w:sz w:val="24"/>
                <w:szCs w:val="28"/>
                <w14:textFill>
                  <w14:solidFill>
                    <w14:schemeClr w14:val="tx1"/>
                  </w14:solidFill>
                </w14:textFill>
              </w:rPr>
              <w:t>.1</w:t>
            </w:r>
            <w:r>
              <w:rPr>
                <w:rFonts w:hint="eastAsia" w:ascii="仿宋" w:hAnsi="仿宋" w:eastAsia="仿宋"/>
                <w:color w:val="000000" w:themeColor="text1"/>
                <w:sz w:val="24"/>
                <w:szCs w:val="28"/>
                <w14:textFill>
                  <w14:solidFill>
                    <w14:schemeClr w14:val="tx1"/>
                  </w14:solidFill>
                </w14:textFill>
              </w:rPr>
              <w:t>2GPA，第二名队员0</w:t>
            </w:r>
            <w:r>
              <w:rPr>
                <w:rFonts w:ascii="仿宋" w:hAnsi="仿宋" w:eastAsia="仿宋"/>
                <w:color w:val="000000" w:themeColor="text1"/>
                <w:sz w:val="24"/>
                <w:szCs w:val="28"/>
                <w14:textFill>
                  <w14:solidFill>
                    <w14:schemeClr w14:val="tx1"/>
                  </w14:solidFill>
                </w14:textFill>
              </w:rPr>
              <w:t>.</w:t>
            </w:r>
            <w:r>
              <w:rPr>
                <w:rFonts w:hint="eastAsia" w:ascii="仿宋" w:hAnsi="仿宋" w:eastAsia="仿宋"/>
                <w:color w:val="000000" w:themeColor="text1"/>
                <w:sz w:val="24"/>
                <w:szCs w:val="28"/>
                <w14:textFill>
                  <w14:solidFill>
                    <w14:schemeClr w14:val="tx1"/>
                  </w14:solidFill>
                </w14:textFill>
              </w:rPr>
              <w:t>08GPA。成员排序以优秀结题证书或结题通知为准。与外学院联合承担的大创项目，我院学生加分方法以此为准，由本学院认定。不能提供规定截止时间以内优秀结题证明的项目，不予认定。</w:t>
            </w:r>
          </w:p>
        </w:tc>
      </w:tr>
      <w:tr w14:paraId="6CBC3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0EF50ACA">
            <w:pPr>
              <w:jc w:val="center"/>
              <w:rPr>
                <w:rFonts w:ascii="仿宋" w:hAnsi="仿宋" w:eastAsia="仿宋"/>
                <w:b/>
                <w:color w:val="000000" w:themeColor="text1"/>
                <w:sz w:val="24"/>
                <w:szCs w:val="28"/>
                <w14:textFill>
                  <w14:solidFill>
                    <w14:schemeClr w14:val="tx1"/>
                  </w14:solidFill>
                </w14:textFill>
              </w:rPr>
            </w:pPr>
          </w:p>
        </w:tc>
        <w:tc>
          <w:tcPr>
            <w:tcW w:w="2268" w:type="dxa"/>
            <w:vMerge w:val="restart"/>
            <w:vAlign w:val="center"/>
          </w:tcPr>
          <w:p w14:paraId="71CC50D0">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学术论文</w:t>
            </w:r>
          </w:p>
          <w:p w14:paraId="56FBBB0C">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（本专业领域）</w:t>
            </w:r>
          </w:p>
        </w:tc>
        <w:tc>
          <w:tcPr>
            <w:tcW w:w="3825" w:type="dxa"/>
            <w:vMerge w:val="restart"/>
            <w:vAlign w:val="center"/>
          </w:tcPr>
          <w:p w14:paraId="3043EE27">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中国科学院文献情报中心期刊分区；论文发表当年适用的</w:t>
            </w:r>
          </w:p>
          <w:p w14:paraId="7EF7915E">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北大核心期刊目录</w:t>
            </w:r>
          </w:p>
        </w:tc>
        <w:tc>
          <w:tcPr>
            <w:tcW w:w="2537" w:type="dxa"/>
          </w:tcPr>
          <w:p w14:paraId="222BF0E2">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一区SCI 第一作者</w:t>
            </w:r>
          </w:p>
        </w:tc>
        <w:tc>
          <w:tcPr>
            <w:tcW w:w="865" w:type="dxa"/>
            <w:gridSpan w:val="3"/>
          </w:tcPr>
          <w:p w14:paraId="774D2F61">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.4</w:t>
            </w:r>
          </w:p>
        </w:tc>
        <w:tc>
          <w:tcPr>
            <w:tcW w:w="2981" w:type="dxa"/>
            <w:vMerge w:val="restart"/>
            <w:vAlign w:val="center"/>
          </w:tcPr>
          <w:p w14:paraId="4BF6208B">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学院认定加分（最高0.4GPA），中间换人不加分</w:t>
            </w:r>
          </w:p>
        </w:tc>
      </w:tr>
      <w:tr w14:paraId="77865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58A5F3CA">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14:paraId="1C44A873">
            <w:pPr>
              <w:rPr>
                <w:rFonts w:ascii="仿宋" w:hAnsi="仿宋" w:eastAsia="仿宋"/>
                <w:color w:val="000000" w:themeColor="text1"/>
                <w:sz w:val="24"/>
                <w:szCs w:val="28"/>
                <w14:textFill>
                  <w14:solidFill>
                    <w14:schemeClr w14:val="tx1"/>
                  </w14:solidFill>
                </w14:textFill>
              </w:rPr>
            </w:pPr>
          </w:p>
        </w:tc>
        <w:tc>
          <w:tcPr>
            <w:tcW w:w="3825" w:type="dxa"/>
            <w:vMerge w:val="continue"/>
          </w:tcPr>
          <w:p w14:paraId="545BAFC9">
            <w:pPr>
              <w:rPr>
                <w:rFonts w:ascii="仿宋" w:hAnsi="仿宋" w:eastAsia="仿宋"/>
                <w:color w:val="000000" w:themeColor="text1"/>
                <w:sz w:val="24"/>
                <w:szCs w:val="28"/>
                <w14:textFill>
                  <w14:solidFill>
                    <w14:schemeClr w14:val="tx1"/>
                  </w14:solidFill>
                </w14:textFill>
              </w:rPr>
            </w:pPr>
          </w:p>
        </w:tc>
        <w:tc>
          <w:tcPr>
            <w:tcW w:w="2537" w:type="dxa"/>
          </w:tcPr>
          <w:p w14:paraId="4E89E919">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二区SCI 第一作者</w:t>
            </w:r>
          </w:p>
        </w:tc>
        <w:tc>
          <w:tcPr>
            <w:tcW w:w="865" w:type="dxa"/>
            <w:gridSpan w:val="3"/>
          </w:tcPr>
          <w:p w14:paraId="0F0656B1">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.3</w:t>
            </w:r>
          </w:p>
        </w:tc>
        <w:tc>
          <w:tcPr>
            <w:tcW w:w="2981" w:type="dxa"/>
            <w:vMerge w:val="continue"/>
            <w:vAlign w:val="center"/>
          </w:tcPr>
          <w:p w14:paraId="5A76C1F4">
            <w:pPr>
              <w:rPr>
                <w:rFonts w:ascii="仿宋" w:hAnsi="仿宋" w:eastAsia="仿宋"/>
                <w:color w:val="000000" w:themeColor="text1"/>
                <w:sz w:val="24"/>
                <w:szCs w:val="28"/>
                <w14:textFill>
                  <w14:solidFill>
                    <w14:schemeClr w14:val="tx1"/>
                  </w14:solidFill>
                </w14:textFill>
              </w:rPr>
            </w:pPr>
          </w:p>
        </w:tc>
      </w:tr>
      <w:tr w14:paraId="3BF53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2B89705D">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14:paraId="0CE4152C">
            <w:pPr>
              <w:rPr>
                <w:rFonts w:ascii="仿宋" w:hAnsi="仿宋" w:eastAsia="仿宋"/>
                <w:color w:val="000000" w:themeColor="text1"/>
                <w:sz w:val="24"/>
                <w:szCs w:val="28"/>
                <w14:textFill>
                  <w14:solidFill>
                    <w14:schemeClr w14:val="tx1"/>
                  </w14:solidFill>
                </w14:textFill>
              </w:rPr>
            </w:pPr>
          </w:p>
        </w:tc>
        <w:tc>
          <w:tcPr>
            <w:tcW w:w="3825" w:type="dxa"/>
            <w:vMerge w:val="continue"/>
          </w:tcPr>
          <w:p w14:paraId="78CB0EF4">
            <w:pPr>
              <w:rPr>
                <w:rFonts w:ascii="仿宋" w:hAnsi="仿宋" w:eastAsia="仿宋"/>
                <w:color w:val="000000" w:themeColor="text1"/>
                <w:sz w:val="24"/>
                <w:szCs w:val="28"/>
                <w14:textFill>
                  <w14:solidFill>
                    <w14:schemeClr w14:val="tx1"/>
                  </w14:solidFill>
                </w14:textFill>
              </w:rPr>
            </w:pPr>
          </w:p>
        </w:tc>
        <w:tc>
          <w:tcPr>
            <w:tcW w:w="2537" w:type="dxa"/>
          </w:tcPr>
          <w:p w14:paraId="315A12ED">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三区SCI 第一作者</w:t>
            </w:r>
          </w:p>
        </w:tc>
        <w:tc>
          <w:tcPr>
            <w:tcW w:w="865" w:type="dxa"/>
            <w:gridSpan w:val="3"/>
          </w:tcPr>
          <w:p w14:paraId="74E7A26F">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.2</w:t>
            </w:r>
          </w:p>
        </w:tc>
        <w:tc>
          <w:tcPr>
            <w:tcW w:w="2981" w:type="dxa"/>
            <w:vMerge w:val="continue"/>
            <w:vAlign w:val="center"/>
          </w:tcPr>
          <w:p w14:paraId="0D061CF2">
            <w:pPr>
              <w:rPr>
                <w:rFonts w:ascii="仿宋" w:hAnsi="仿宋" w:eastAsia="仿宋"/>
                <w:color w:val="000000" w:themeColor="text1"/>
                <w:sz w:val="24"/>
                <w:szCs w:val="28"/>
                <w14:textFill>
                  <w14:solidFill>
                    <w14:schemeClr w14:val="tx1"/>
                  </w14:solidFill>
                </w14:textFill>
              </w:rPr>
            </w:pPr>
          </w:p>
        </w:tc>
      </w:tr>
      <w:tr w14:paraId="202D0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5628E143">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14:paraId="18CC27F5">
            <w:pPr>
              <w:rPr>
                <w:rFonts w:ascii="仿宋" w:hAnsi="仿宋" w:eastAsia="仿宋"/>
                <w:color w:val="000000" w:themeColor="text1"/>
                <w:sz w:val="24"/>
                <w:szCs w:val="28"/>
                <w14:textFill>
                  <w14:solidFill>
                    <w14:schemeClr w14:val="tx1"/>
                  </w14:solidFill>
                </w14:textFill>
              </w:rPr>
            </w:pPr>
          </w:p>
        </w:tc>
        <w:tc>
          <w:tcPr>
            <w:tcW w:w="3825" w:type="dxa"/>
            <w:vMerge w:val="continue"/>
          </w:tcPr>
          <w:p w14:paraId="45F332BD">
            <w:pPr>
              <w:rPr>
                <w:rFonts w:ascii="仿宋" w:hAnsi="仿宋" w:eastAsia="仿宋"/>
                <w:color w:val="000000" w:themeColor="text1"/>
                <w:sz w:val="24"/>
                <w:szCs w:val="28"/>
                <w14:textFill>
                  <w14:solidFill>
                    <w14:schemeClr w14:val="tx1"/>
                  </w14:solidFill>
                </w14:textFill>
              </w:rPr>
            </w:pPr>
          </w:p>
        </w:tc>
        <w:tc>
          <w:tcPr>
            <w:tcW w:w="2537" w:type="dxa"/>
          </w:tcPr>
          <w:p w14:paraId="11B27A81">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四区SCI/</w:t>
            </w:r>
            <w:r>
              <w:rPr>
                <w:rFonts w:ascii="仿宋" w:hAnsi="仿宋" w:eastAsia="仿宋"/>
                <w:color w:val="000000" w:themeColor="text1"/>
                <w:sz w:val="24"/>
                <w:szCs w:val="28"/>
                <w14:textFill>
                  <w14:solidFill>
                    <w14:schemeClr w14:val="tx1"/>
                  </w14:solidFill>
                </w14:textFill>
              </w:rPr>
              <w:t>EI</w:t>
            </w:r>
            <w:r>
              <w:rPr>
                <w:rFonts w:hint="eastAsia" w:ascii="仿宋" w:hAnsi="仿宋" w:eastAsia="仿宋"/>
                <w:color w:val="000000" w:themeColor="text1"/>
                <w:sz w:val="24"/>
                <w:szCs w:val="28"/>
                <w14:textFill>
                  <w14:solidFill>
                    <w14:schemeClr w14:val="tx1"/>
                  </w14:solidFill>
                </w14:textFill>
              </w:rPr>
              <w:t xml:space="preserve"> 第一作者</w:t>
            </w:r>
          </w:p>
        </w:tc>
        <w:tc>
          <w:tcPr>
            <w:tcW w:w="865" w:type="dxa"/>
            <w:gridSpan w:val="3"/>
          </w:tcPr>
          <w:p w14:paraId="52D4F13A">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.15</w:t>
            </w:r>
          </w:p>
        </w:tc>
        <w:tc>
          <w:tcPr>
            <w:tcW w:w="2981" w:type="dxa"/>
            <w:vMerge w:val="continue"/>
            <w:vAlign w:val="center"/>
          </w:tcPr>
          <w:p w14:paraId="214703B0">
            <w:pPr>
              <w:rPr>
                <w:rFonts w:ascii="仿宋" w:hAnsi="仿宋" w:eastAsia="仿宋"/>
                <w:color w:val="000000" w:themeColor="text1"/>
                <w:sz w:val="24"/>
                <w:szCs w:val="28"/>
                <w14:textFill>
                  <w14:solidFill>
                    <w14:schemeClr w14:val="tx1"/>
                  </w14:solidFill>
                </w14:textFill>
              </w:rPr>
            </w:pPr>
          </w:p>
        </w:tc>
      </w:tr>
      <w:tr w14:paraId="2D3F4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6375FFC4">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14:paraId="1F1E88CB">
            <w:pPr>
              <w:rPr>
                <w:rFonts w:ascii="仿宋" w:hAnsi="仿宋" w:eastAsia="仿宋"/>
                <w:color w:val="000000" w:themeColor="text1"/>
                <w:sz w:val="24"/>
                <w:szCs w:val="28"/>
                <w14:textFill>
                  <w14:solidFill>
                    <w14:schemeClr w14:val="tx1"/>
                  </w14:solidFill>
                </w14:textFill>
              </w:rPr>
            </w:pPr>
          </w:p>
        </w:tc>
        <w:tc>
          <w:tcPr>
            <w:tcW w:w="3825" w:type="dxa"/>
            <w:vMerge w:val="continue"/>
          </w:tcPr>
          <w:p w14:paraId="7867AD96">
            <w:pPr>
              <w:rPr>
                <w:rFonts w:ascii="仿宋" w:hAnsi="仿宋" w:eastAsia="仿宋"/>
                <w:color w:val="000000" w:themeColor="text1"/>
                <w:sz w:val="24"/>
                <w:szCs w:val="28"/>
                <w14:textFill>
                  <w14:solidFill>
                    <w14:schemeClr w14:val="tx1"/>
                  </w14:solidFill>
                </w14:textFill>
              </w:rPr>
            </w:pPr>
          </w:p>
        </w:tc>
        <w:tc>
          <w:tcPr>
            <w:tcW w:w="2537" w:type="dxa"/>
          </w:tcPr>
          <w:p w14:paraId="57767B2E">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北大核心期刊 第一作者</w:t>
            </w:r>
          </w:p>
        </w:tc>
        <w:tc>
          <w:tcPr>
            <w:tcW w:w="865" w:type="dxa"/>
            <w:gridSpan w:val="3"/>
          </w:tcPr>
          <w:p w14:paraId="4645E382">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.1</w:t>
            </w:r>
          </w:p>
        </w:tc>
        <w:tc>
          <w:tcPr>
            <w:tcW w:w="2981" w:type="dxa"/>
            <w:vMerge w:val="continue"/>
            <w:vAlign w:val="center"/>
          </w:tcPr>
          <w:p w14:paraId="1B8D8B3D">
            <w:pPr>
              <w:rPr>
                <w:rFonts w:ascii="仿宋" w:hAnsi="仿宋" w:eastAsia="仿宋"/>
                <w:color w:val="000000" w:themeColor="text1"/>
                <w:sz w:val="24"/>
                <w:szCs w:val="28"/>
                <w14:textFill>
                  <w14:solidFill>
                    <w14:schemeClr w14:val="tx1"/>
                  </w14:solidFill>
                </w14:textFill>
              </w:rPr>
            </w:pPr>
          </w:p>
        </w:tc>
      </w:tr>
      <w:tr w14:paraId="097F3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17A0AE2D">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14:paraId="707DBFE1">
            <w:pPr>
              <w:rPr>
                <w:rFonts w:ascii="仿宋" w:hAnsi="仿宋" w:eastAsia="仿宋"/>
                <w:color w:val="000000" w:themeColor="text1"/>
                <w:sz w:val="24"/>
                <w:szCs w:val="28"/>
                <w14:textFill>
                  <w14:solidFill>
                    <w14:schemeClr w14:val="tx1"/>
                  </w14:solidFill>
                </w14:textFill>
              </w:rPr>
            </w:pPr>
          </w:p>
        </w:tc>
        <w:tc>
          <w:tcPr>
            <w:tcW w:w="10208" w:type="dxa"/>
            <w:gridSpan w:val="6"/>
          </w:tcPr>
          <w:p w14:paraId="10EB3DC8">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认定办法：（1）只认定学生大学前三年专业实践项目密切相关的论文，且第一署名作者为我院本科生，第一署名单位为吉林大学仪器科学与电气工程学院及所属科研平台，</w:t>
            </w:r>
            <w:r>
              <w:rPr>
                <w:rFonts w:hint="eastAsia" w:ascii="仿宋" w:hAnsi="仿宋" w:eastAsia="仿宋"/>
                <w:b/>
                <w:color w:val="000000" w:themeColor="text1"/>
                <w:sz w:val="24"/>
                <w:szCs w:val="28"/>
                <w14:textFill>
                  <w14:solidFill>
                    <w14:schemeClr w14:val="tx1"/>
                  </w14:solidFill>
                </w14:textFill>
              </w:rPr>
              <w:t>并在规定截止时间前见刊（含网上发表）和提交检索报告</w:t>
            </w:r>
            <w:r>
              <w:rPr>
                <w:rFonts w:hint="eastAsia" w:ascii="仿宋" w:hAnsi="仿宋" w:eastAsia="仿宋"/>
                <w:color w:val="000000" w:themeColor="text1"/>
                <w:sz w:val="24"/>
                <w:szCs w:val="28"/>
                <w14:textFill>
                  <w14:solidFill>
                    <w14:schemeClr w14:val="tx1"/>
                  </w14:solidFill>
                </w14:textFill>
              </w:rPr>
              <w:t>。（2）符合前一条条件下，如果本科生为唯一第一作者（自然排序），获得该论文全部分值；如果有多个同等第一作者（期刊明确标注，不含通讯作者）且同等第一作者不包含除本科生及项目指导教师以外人员，同等第一作者可以取论文绩点的1</w:t>
            </w:r>
            <w:r>
              <w:rPr>
                <w:rFonts w:ascii="仿宋" w:hAnsi="仿宋" w:eastAsia="仿宋"/>
                <w:color w:val="000000" w:themeColor="text1"/>
                <w:sz w:val="24"/>
                <w:szCs w:val="28"/>
                <w14:textFill>
                  <w14:solidFill>
                    <w14:schemeClr w14:val="tx1"/>
                  </w14:solidFill>
                </w14:textFill>
              </w:rPr>
              <w:t>/N</w:t>
            </w:r>
            <w:r>
              <w:rPr>
                <w:rFonts w:hint="eastAsia" w:ascii="仿宋" w:hAnsi="仿宋" w:eastAsia="仿宋"/>
                <w:color w:val="000000" w:themeColor="text1"/>
                <w:sz w:val="24"/>
                <w:szCs w:val="28"/>
                <w14:textFill>
                  <w14:solidFill>
                    <w14:schemeClr w14:val="tx1"/>
                  </w14:solidFill>
                </w14:textFill>
              </w:rPr>
              <w:t>，N指论文所有同等第一作者人数（包含导师）。不符合以上条件的论文，不予加分。论文标注通讯作者，但通讯作者不是指导教师的，该论文不予加分。</w:t>
            </w:r>
          </w:p>
        </w:tc>
      </w:tr>
      <w:tr w14:paraId="29514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2BB7D959">
            <w:pPr>
              <w:jc w:val="center"/>
              <w:rPr>
                <w:rFonts w:ascii="仿宋" w:hAnsi="仿宋" w:eastAsia="仿宋"/>
                <w:b/>
                <w:color w:val="000000" w:themeColor="text1"/>
                <w:sz w:val="24"/>
                <w:szCs w:val="28"/>
                <w14:textFill>
                  <w14:solidFill>
                    <w14:schemeClr w14:val="tx1"/>
                  </w14:solidFill>
                </w14:textFill>
              </w:rPr>
            </w:pPr>
          </w:p>
        </w:tc>
        <w:tc>
          <w:tcPr>
            <w:tcW w:w="2268" w:type="dxa"/>
            <w:vMerge w:val="restart"/>
          </w:tcPr>
          <w:p w14:paraId="1EDD7316">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发明专利</w:t>
            </w:r>
          </w:p>
          <w:p w14:paraId="06E07A83">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（本专业领域）</w:t>
            </w:r>
          </w:p>
        </w:tc>
        <w:tc>
          <w:tcPr>
            <w:tcW w:w="3825" w:type="dxa"/>
          </w:tcPr>
          <w:p w14:paraId="02F35516">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授权发明专利</w:t>
            </w:r>
          </w:p>
        </w:tc>
        <w:tc>
          <w:tcPr>
            <w:tcW w:w="2597" w:type="dxa"/>
            <w:gridSpan w:val="2"/>
          </w:tcPr>
          <w:p w14:paraId="1870E24F">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第一发明人</w:t>
            </w:r>
          </w:p>
        </w:tc>
        <w:tc>
          <w:tcPr>
            <w:tcW w:w="795" w:type="dxa"/>
          </w:tcPr>
          <w:p w14:paraId="249017F4">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0.15</w:t>
            </w:r>
          </w:p>
        </w:tc>
        <w:tc>
          <w:tcPr>
            <w:tcW w:w="2991" w:type="dxa"/>
            <w:gridSpan w:val="2"/>
          </w:tcPr>
          <w:p w14:paraId="1FA053B7">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学院认定加分（最高0.15GPA）</w:t>
            </w:r>
          </w:p>
        </w:tc>
      </w:tr>
      <w:tr w14:paraId="1296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4E3507EB">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14:paraId="159F6918">
            <w:pPr>
              <w:jc w:val="center"/>
              <w:rPr>
                <w:rFonts w:ascii="仿宋" w:hAnsi="仿宋" w:eastAsia="仿宋"/>
                <w:color w:val="000000" w:themeColor="text1"/>
                <w:sz w:val="24"/>
                <w:szCs w:val="28"/>
                <w14:textFill>
                  <w14:solidFill>
                    <w14:schemeClr w14:val="tx1"/>
                  </w14:solidFill>
                </w14:textFill>
              </w:rPr>
            </w:pPr>
          </w:p>
        </w:tc>
        <w:tc>
          <w:tcPr>
            <w:tcW w:w="10208" w:type="dxa"/>
            <w:gridSpan w:val="6"/>
          </w:tcPr>
          <w:p w14:paraId="1F252D23">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认定办法：只认定学生大学前三年专业实践项目密切相关的发明专利，专利发明人应为我院本科生（及指导教师、项目组成员），要求专利在规定截止时间前授权并且专利权人为吉林大学，提交专利授权证书。符合条件的，我院本科生作为专利第一发明人，加0.15GPA。无授权证书的专利不予认定。</w:t>
            </w:r>
          </w:p>
        </w:tc>
      </w:tr>
      <w:tr w14:paraId="1D059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restart"/>
            <w:vAlign w:val="center"/>
          </w:tcPr>
          <w:p w14:paraId="74DADEB4">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二、竞赛获奖</w:t>
            </w:r>
          </w:p>
        </w:tc>
        <w:tc>
          <w:tcPr>
            <w:tcW w:w="2268" w:type="dxa"/>
            <w:vMerge w:val="restart"/>
          </w:tcPr>
          <w:p w14:paraId="381640CC">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吉林大学本科学生学科竞赛体系（最高0.4GPA）</w:t>
            </w:r>
          </w:p>
        </w:tc>
        <w:tc>
          <w:tcPr>
            <w:tcW w:w="3825" w:type="dxa"/>
          </w:tcPr>
          <w:p w14:paraId="151C4503">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A类获得国家级奖项一等奖（金奖）</w:t>
            </w:r>
          </w:p>
        </w:tc>
        <w:tc>
          <w:tcPr>
            <w:tcW w:w="2597" w:type="dxa"/>
            <w:gridSpan w:val="2"/>
            <w:vMerge w:val="restart"/>
            <w:vAlign w:val="center"/>
          </w:tcPr>
          <w:p w14:paraId="5AB31567">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主力队员（限前六名）</w:t>
            </w:r>
          </w:p>
        </w:tc>
        <w:tc>
          <w:tcPr>
            <w:tcW w:w="805" w:type="dxa"/>
            <w:gridSpan w:val="2"/>
            <w:vAlign w:val="center"/>
          </w:tcPr>
          <w:p w14:paraId="2FD63871">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.4</w:t>
            </w:r>
          </w:p>
        </w:tc>
        <w:tc>
          <w:tcPr>
            <w:tcW w:w="2981" w:type="dxa"/>
            <w:vMerge w:val="restart"/>
            <w:vAlign w:val="center"/>
          </w:tcPr>
          <w:p w14:paraId="49D56DF6">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学院认定加分（最高0.4GPA），中间换人不加分。</w:t>
            </w:r>
          </w:p>
        </w:tc>
      </w:tr>
      <w:tr w14:paraId="481EF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5B33C88B">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14:paraId="213CE5C4">
            <w:pPr>
              <w:rPr>
                <w:rFonts w:ascii="仿宋" w:hAnsi="仿宋" w:eastAsia="仿宋"/>
                <w:color w:val="000000" w:themeColor="text1"/>
                <w:sz w:val="24"/>
                <w:szCs w:val="28"/>
                <w14:textFill>
                  <w14:solidFill>
                    <w14:schemeClr w14:val="tx1"/>
                  </w14:solidFill>
                </w14:textFill>
              </w:rPr>
            </w:pPr>
          </w:p>
        </w:tc>
        <w:tc>
          <w:tcPr>
            <w:tcW w:w="3825" w:type="dxa"/>
          </w:tcPr>
          <w:p w14:paraId="55604D9E">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A类获得国家级奖项二等奖（银奖）</w:t>
            </w:r>
          </w:p>
        </w:tc>
        <w:tc>
          <w:tcPr>
            <w:tcW w:w="2597" w:type="dxa"/>
            <w:gridSpan w:val="2"/>
            <w:vMerge w:val="continue"/>
            <w:vAlign w:val="center"/>
          </w:tcPr>
          <w:p w14:paraId="5560BB43">
            <w:pPr>
              <w:jc w:val="center"/>
              <w:rPr>
                <w:rFonts w:ascii="仿宋" w:hAnsi="仿宋" w:eastAsia="仿宋"/>
                <w:color w:val="000000" w:themeColor="text1"/>
                <w:sz w:val="24"/>
                <w:szCs w:val="28"/>
                <w14:textFill>
                  <w14:solidFill>
                    <w14:schemeClr w14:val="tx1"/>
                  </w14:solidFill>
                </w14:textFill>
              </w:rPr>
            </w:pPr>
          </w:p>
        </w:tc>
        <w:tc>
          <w:tcPr>
            <w:tcW w:w="805" w:type="dxa"/>
            <w:gridSpan w:val="2"/>
            <w:vAlign w:val="center"/>
          </w:tcPr>
          <w:p w14:paraId="6A814501">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.3</w:t>
            </w:r>
          </w:p>
        </w:tc>
        <w:tc>
          <w:tcPr>
            <w:tcW w:w="2981" w:type="dxa"/>
            <w:vMerge w:val="continue"/>
          </w:tcPr>
          <w:p w14:paraId="707DC381">
            <w:pPr>
              <w:rPr>
                <w:rFonts w:ascii="仿宋" w:hAnsi="仿宋" w:eastAsia="仿宋"/>
                <w:color w:val="000000" w:themeColor="text1"/>
                <w:sz w:val="24"/>
                <w:szCs w:val="28"/>
                <w14:textFill>
                  <w14:solidFill>
                    <w14:schemeClr w14:val="tx1"/>
                  </w14:solidFill>
                </w14:textFill>
              </w:rPr>
            </w:pPr>
          </w:p>
        </w:tc>
      </w:tr>
      <w:tr w14:paraId="7B94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4183C099">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14:paraId="63BF2D25">
            <w:pPr>
              <w:rPr>
                <w:rFonts w:ascii="仿宋" w:hAnsi="仿宋" w:eastAsia="仿宋"/>
                <w:color w:val="000000" w:themeColor="text1"/>
                <w:sz w:val="24"/>
                <w:szCs w:val="28"/>
                <w14:textFill>
                  <w14:solidFill>
                    <w14:schemeClr w14:val="tx1"/>
                  </w14:solidFill>
                </w14:textFill>
              </w:rPr>
            </w:pPr>
          </w:p>
        </w:tc>
        <w:tc>
          <w:tcPr>
            <w:tcW w:w="3825" w:type="dxa"/>
          </w:tcPr>
          <w:p w14:paraId="2F9A12D7">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A类获得国家级奖项三等奖（铜奖）</w:t>
            </w:r>
          </w:p>
        </w:tc>
        <w:tc>
          <w:tcPr>
            <w:tcW w:w="2597" w:type="dxa"/>
            <w:gridSpan w:val="2"/>
            <w:vMerge w:val="continue"/>
            <w:vAlign w:val="center"/>
          </w:tcPr>
          <w:p w14:paraId="3E59EC66">
            <w:pPr>
              <w:jc w:val="center"/>
              <w:rPr>
                <w:rFonts w:ascii="仿宋" w:hAnsi="仿宋" w:eastAsia="仿宋"/>
                <w:color w:val="000000" w:themeColor="text1"/>
                <w:sz w:val="24"/>
                <w:szCs w:val="28"/>
                <w14:textFill>
                  <w14:solidFill>
                    <w14:schemeClr w14:val="tx1"/>
                  </w14:solidFill>
                </w14:textFill>
              </w:rPr>
            </w:pPr>
          </w:p>
        </w:tc>
        <w:tc>
          <w:tcPr>
            <w:tcW w:w="805" w:type="dxa"/>
            <w:gridSpan w:val="2"/>
            <w:vAlign w:val="center"/>
          </w:tcPr>
          <w:p w14:paraId="4BB9CA32">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.2</w:t>
            </w:r>
          </w:p>
        </w:tc>
        <w:tc>
          <w:tcPr>
            <w:tcW w:w="2981" w:type="dxa"/>
            <w:vMerge w:val="continue"/>
          </w:tcPr>
          <w:p w14:paraId="4AB2C27B">
            <w:pPr>
              <w:rPr>
                <w:rFonts w:ascii="仿宋" w:hAnsi="仿宋" w:eastAsia="仿宋"/>
                <w:color w:val="000000" w:themeColor="text1"/>
                <w:sz w:val="24"/>
                <w:szCs w:val="28"/>
                <w14:textFill>
                  <w14:solidFill>
                    <w14:schemeClr w14:val="tx1"/>
                  </w14:solidFill>
                </w14:textFill>
              </w:rPr>
            </w:pPr>
          </w:p>
        </w:tc>
      </w:tr>
      <w:tr w14:paraId="14FB7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3D20EE12">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14:paraId="60D0477E">
            <w:pPr>
              <w:rPr>
                <w:rFonts w:ascii="仿宋" w:hAnsi="仿宋" w:eastAsia="仿宋"/>
                <w:color w:val="000000" w:themeColor="text1"/>
                <w:sz w:val="24"/>
                <w:szCs w:val="28"/>
                <w14:textFill>
                  <w14:solidFill>
                    <w14:schemeClr w14:val="tx1"/>
                  </w14:solidFill>
                </w14:textFill>
              </w:rPr>
            </w:pPr>
          </w:p>
        </w:tc>
        <w:tc>
          <w:tcPr>
            <w:tcW w:w="3825" w:type="dxa"/>
          </w:tcPr>
          <w:p w14:paraId="15AC5CC4">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B类获得国家级奖项一等奖（金奖）</w:t>
            </w:r>
          </w:p>
        </w:tc>
        <w:tc>
          <w:tcPr>
            <w:tcW w:w="2597" w:type="dxa"/>
            <w:gridSpan w:val="2"/>
            <w:vMerge w:val="continue"/>
            <w:vAlign w:val="center"/>
          </w:tcPr>
          <w:p w14:paraId="6189CD3C">
            <w:pPr>
              <w:jc w:val="center"/>
              <w:rPr>
                <w:rFonts w:ascii="仿宋" w:hAnsi="仿宋" w:eastAsia="仿宋"/>
                <w:color w:val="000000" w:themeColor="text1"/>
                <w:sz w:val="24"/>
                <w:szCs w:val="28"/>
                <w14:textFill>
                  <w14:solidFill>
                    <w14:schemeClr w14:val="tx1"/>
                  </w14:solidFill>
                </w14:textFill>
              </w:rPr>
            </w:pPr>
          </w:p>
        </w:tc>
        <w:tc>
          <w:tcPr>
            <w:tcW w:w="805" w:type="dxa"/>
            <w:gridSpan w:val="2"/>
            <w:vAlign w:val="center"/>
          </w:tcPr>
          <w:p w14:paraId="2133E21C">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.3</w:t>
            </w:r>
          </w:p>
        </w:tc>
        <w:tc>
          <w:tcPr>
            <w:tcW w:w="2981" w:type="dxa"/>
            <w:vMerge w:val="continue"/>
          </w:tcPr>
          <w:p w14:paraId="039F5D1B">
            <w:pPr>
              <w:rPr>
                <w:rFonts w:ascii="仿宋" w:hAnsi="仿宋" w:eastAsia="仿宋"/>
                <w:color w:val="000000" w:themeColor="text1"/>
                <w:sz w:val="24"/>
                <w:szCs w:val="28"/>
                <w14:textFill>
                  <w14:solidFill>
                    <w14:schemeClr w14:val="tx1"/>
                  </w14:solidFill>
                </w14:textFill>
              </w:rPr>
            </w:pPr>
          </w:p>
        </w:tc>
      </w:tr>
      <w:tr w14:paraId="0B9E3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6644E287">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14:paraId="22BE905B">
            <w:pPr>
              <w:rPr>
                <w:rFonts w:ascii="仿宋" w:hAnsi="仿宋" w:eastAsia="仿宋"/>
                <w:color w:val="000000" w:themeColor="text1"/>
                <w:sz w:val="24"/>
                <w:szCs w:val="28"/>
                <w14:textFill>
                  <w14:solidFill>
                    <w14:schemeClr w14:val="tx1"/>
                  </w14:solidFill>
                </w14:textFill>
              </w:rPr>
            </w:pPr>
          </w:p>
        </w:tc>
        <w:tc>
          <w:tcPr>
            <w:tcW w:w="3825" w:type="dxa"/>
          </w:tcPr>
          <w:p w14:paraId="6B6CE921">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B类获得国家级奖项二等奖（银奖）</w:t>
            </w:r>
          </w:p>
        </w:tc>
        <w:tc>
          <w:tcPr>
            <w:tcW w:w="2597" w:type="dxa"/>
            <w:gridSpan w:val="2"/>
            <w:vMerge w:val="continue"/>
            <w:vAlign w:val="center"/>
          </w:tcPr>
          <w:p w14:paraId="6EC59C23">
            <w:pPr>
              <w:jc w:val="center"/>
              <w:rPr>
                <w:rFonts w:ascii="仿宋" w:hAnsi="仿宋" w:eastAsia="仿宋"/>
                <w:color w:val="000000" w:themeColor="text1"/>
                <w:sz w:val="24"/>
                <w:szCs w:val="28"/>
                <w14:textFill>
                  <w14:solidFill>
                    <w14:schemeClr w14:val="tx1"/>
                  </w14:solidFill>
                </w14:textFill>
              </w:rPr>
            </w:pPr>
          </w:p>
        </w:tc>
        <w:tc>
          <w:tcPr>
            <w:tcW w:w="805" w:type="dxa"/>
            <w:gridSpan w:val="2"/>
            <w:vAlign w:val="center"/>
          </w:tcPr>
          <w:p w14:paraId="60F81E54">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.2</w:t>
            </w:r>
          </w:p>
        </w:tc>
        <w:tc>
          <w:tcPr>
            <w:tcW w:w="2981" w:type="dxa"/>
            <w:vMerge w:val="continue"/>
          </w:tcPr>
          <w:p w14:paraId="54E4881E">
            <w:pPr>
              <w:rPr>
                <w:rFonts w:ascii="仿宋" w:hAnsi="仿宋" w:eastAsia="仿宋"/>
                <w:color w:val="000000" w:themeColor="text1"/>
                <w:sz w:val="24"/>
                <w:szCs w:val="28"/>
                <w14:textFill>
                  <w14:solidFill>
                    <w14:schemeClr w14:val="tx1"/>
                  </w14:solidFill>
                </w14:textFill>
              </w:rPr>
            </w:pPr>
          </w:p>
        </w:tc>
      </w:tr>
      <w:tr w14:paraId="2A984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3093FEFA">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14:paraId="132DA661">
            <w:pPr>
              <w:rPr>
                <w:rFonts w:ascii="仿宋" w:hAnsi="仿宋" w:eastAsia="仿宋"/>
                <w:color w:val="000000" w:themeColor="text1"/>
                <w:sz w:val="24"/>
                <w:szCs w:val="28"/>
                <w14:textFill>
                  <w14:solidFill>
                    <w14:schemeClr w14:val="tx1"/>
                  </w14:solidFill>
                </w14:textFill>
              </w:rPr>
            </w:pPr>
          </w:p>
        </w:tc>
        <w:tc>
          <w:tcPr>
            <w:tcW w:w="3825" w:type="dxa"/>
          </w:tcPr>
          <w:p w14:paraId="37B69233">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B类获得国家级奖项三等奖（铜奖）</w:t>
            </w:r>
          </w:p>
        </w:tc>
        <w:tc>
          <w:tcPr>
            <w:tcW w:w="2597" w:type="dxa"/>
            <w:gridSpan w:val="2"/>
            <w:vMerge w:val="continue"/>
            <w:vAlign w:val="center"/>
          </w:tcPr>
          <w:p w14:paraId="75B84334">
            <w:pPr>
              <w:jc w:val="center"/>
              <w:rPr>
                <w:rFonts w:ascii="仿宋" w:hAnsi="仿宋" w:eastAsia="仿宋"/>
                <w:color w:val="000000" w:themeColor="text1"/>
                <w:sz w:val="24"/>
                <w:szCs w:val="28"/>
                <w14:textFill>
                  <w14:solidFill>
                    <w14:schemeClr w14:val="tx1"/>
                  </w14:solidFill>
                </w14:textFill>
              </w:rPr>
            </w:pPr>
          </w:p>
        </w:tc>
        <w:tc>
          <w:tcPr>
            <w:tcW w:w="805" w:type="dxa"/>
            <w:gridSpan w:val="2"/>
            <w:vAlign w:val="center"/>
          </w:tcPr>
          <w:p w14:paraId="5C72F5D4">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.1</w:t>
            </w:r>
          </w:p>
        </w:tc>
        <w:tc>
          <w:tcPr>
            <w:tcW w:w="2981" w:type="dxa"/>
            <w:vMerge w:val="continue"/>
          </w:tcPr>
          <w:p w14:paraId="49F62FA3">
            <w:pPr>
              <w:rPr>
                <w:rFonts w:ascii="仿宋" w:hAnsi="仿宋" w:eastAsia="仿宋"/>
                <w:color w:val="000000" w:themeColor="text1"/>
                <w:sz w:val="24"/>
                <w:szCs w:val="28"/>
                <w14:textFill>
                  <w14:solidFill>
                    <w14:schemeClr w14:val="tx1"/>
                  </w14:solidFill>
                </w14:textFill>
              </w:rPr>
            </w:pPr>
          </w:p>
        </w:tc>
      </w:tr>
      <w:tr w14:paraId="02CEB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77C3903C">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14:paraId="69511298">
            <w:pPr>
              <w:rPr>
                <w:rFonts w:ascii="仿宋" w:hAnsi="仿宋" w:eastAsia="仿宋"/>
                <w:color w:val="000000" w:themeColor="text1"/>
                <w:sz w:val="24"/>
                <w:szCs w:val="28"/>
                <w14:textFill>
                  <w14:solidFill>
                    <w14:schemeClr w14:val="tx1"/>
                  </w14:solidFill>
                </w14:textFill>
              </w:rPr>
            </w:pPr>
          </w:p>
        </w:tc>
        <w:tc>
          <w:tcPr>
            <w:tcW w:w="3825" w:type="dxa"/>
          </w:tcPr>
          <w:p w14:paraId="2027BA56">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C类获得国家级奖项一等奖（金奖）</w:t>
            </w:r>
          </w:p>
        </w:tc>
        <w:tc>
          <w:tcPr>
            <w:tcW w:w="2597" w:type="dxa"/>
            <w:gridSpan w:val="2"/>
            <w:vMerge w:val="continue"/>
            <w:vAlign w:val="center"/>
          </w:tcPr>
          <w:p w14:paraId="46A660DD">
            <w:pPr>
              <w:jc w:val="center"/>
              <w:rPr>
                <w:rFonts w:ascii="仿宋" w:hAnsi="仿宋" w:eastAsia="仿宋"/>
                <w:color w:val="000000" w:themeColor="text1"/>
                <w:sz w:val="24"/>
                <w:szCs w:val="28"/>
                <w14:textFill>
                  <w14:solidFill>
                    <w14:schemeClr w14:val="tx1"/>
                  </w14:solidFill>
                </w14:textFill>
              </w:rPr>
            </w:pPr>
          </w:p>
        </w:tc>
        <w:tc>
          <w:tcPr>
            <w:tcW w:w="805" w:type="dxa"/>
            <w:gridSpan w:val="2"/>
            <w:vAlign w:val="center"/>
          </w:tcPr>
          <w:p w14:paraId="5E8AE274">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.2</w:t>
            </w:r>
          </w:p>
        </w:tc>
        <w:tc>
          <w:tcPr>
            <w:tcW w:w="2981" w:type="dxa"/>
            <w:vMerge w:val="continue"/>
          </w:tcPr>
          <w:p w14:paraId="15AD9372">
            <w:pPr>
              <w:rPr>
                <w:rFonts w:ascii="仿宋" w:hAnsi="仿宋" w:eastAsia="仿宋"/>
                <w:color w:val="000000" w:themeColor="text1"/>
                <w:sz w:val="24"/>
                <w:szCs w:val="28"/>
                <w14:textFill>
                  <w14:solidFill>
                    <w14:schemeClr w14:val="tx1"/>
                  </w14:solidFill>
                </w14:textFill>
              </w:rPr>
            </w:pPr>
          </w:p>
        </w:tc>
      </w:tr>
      <w:tr w14:paraId="1BCF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3EDC47EF">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14:paraId="077C2596">
            <w:pPr>
              <w:rPr>
                <w:rFonts w:ascii="仿宋" w:hAnsi="仿宋" w:eastAsia="仿宋"/>
                <w:color w:val="000000" w:themeColor="text1"/>
                <w:sz w:val="24"/>
                <w:szCs w:val="28"/>
                <w14:textFill>
                  <w14:solidFill>
                    <w14:schemeClr w14:val="tx1"/>
                  </w14:solidFill>
                </w14:textFill>
              </w:rPr>
            </w:pPr>
          </w:p>
        </w:tc>
        <w:tc>
          <w:tcPr>
            <w:tcW w:w="3825" w:type="dxa"/>
          </w:tcPr>
          <w:p w14:paraId="3EBE04BF">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C类获得国家级奖项二等奖（银奖）</w:t>
            </w:r>
          </w:p>
        </w:tc>
        <w:tc>
          <w:tcPr>
            <w:tcW w:w="2597" w:type="dxa"/>
            <w:gridSpan w:val="2"/>
            <w:vMerge w:val="continue"/>
            <w:vAlign w:val="center"/>
          </w:tcPr>
          <w:p w14:paraId="4226B0F0">
            <w:pPr>
              <w:jc w:val="center"/>
              <w:rPr>
                <w:rFonts w:ascii="仿宋" w:hAnsi="仿宋" w:eastAsia="仿宋"/>
                <w:color w:val="000000" w:themeColor="text1"/>
                <w:sz w:val="24"/>
                <w:szCs w:val="28"/>
                <w14:textFill>
                  <w14:solidFill>
                    <w14:schemeClr w14:val="tx1"/>
                  </w14:solidFill>
                </w14:textFill>
              </w:rPr>
            </w:pPr>
          </w:p>
        </w:tc>
        <w:tc>
          <w:tcPr>
            <w:tcW w:w="805" w:type="dxa"/>
            <w:gridSpan w:val="2"/>
            <w:vAlign w:val="center"/>
          </w:tcPr>
          <w:p w14:paraId="1A9A1D5E">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.1</w:t>
            </w:r>
          </w:p>
        </w:tc>
        <w:tc>
          <w:tcPr>
            <w:tcW w:w="2981" w:type="dxa"/>
            <w:vMerge w:val="restart"/>
          </w:tcPr>
          <w:p w14:paraId="539D1E7B">
            <w:pPr>
              <w:rPr>
                <w:rFonts w:ascii="仿宋" w:hAnsi="仿宋" w:eastAsia="仿宋"/>
                <w:color w:val="000000" w:themeColor="text1"/>
                <w:sz w:val="24"/>
                <w:szCs w:val="28"/>
                <w14:textFill>
                  <w14:solidFill>
                    <w14:schemeClr w14:val="tx1"/>
                  </w14:solidFill>
                </w14:textFill>
              </w:rPr>
            </w:pPr>
          </w:p>
        </w:tc>
      </w:tr>
      <w:tr w14:paraId="316D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0740DE99">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14:paraId="6EFEBB39">
            <w:pPr>
              <w:rPr>
                <w:rFonts w:ascii="仿宋" w:hAnsi="仿宋" w:eastAsia="仿宋"/>
                <w:color w:val="000000" w:themeColor="text1"/>
                <w:sz w:val="24"/>
                <w:szCs w:val="28"/>
                <w14:textFill>
                  <w14:solidFill>
                    <w14:schemeClr w14:val="tx1"/>
                  </w14:solidFill>
                </w14:textFill>
              </w:rPr>
            </w:pPr>
          </w:p>
        </w:tc>
        <w:tc>
          <w:tcPr>
            <w:tcW w:w="3825" w:type="dxa"/>
          </w:tcPr>
          <w:p w14:paraId="51C1B6C2">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C类获得国家级奖项三等奖（铜奖）</w:t>
            </w:r>
          </w:p>
        </w:tc>
        <w:tc>
          <w:tcPr>
            <w:tcW w:w="2597" w:type="dxa"/>
            <w:gridSpan w:val="2"/>
            <w:vMerge w:val="continue"/>
            <w:vAlign w:val="center"/>
          </w:tcPr>
          <w:p w14:paraId="7B01185F">
            <w:pPr>
              <w:jc w:val="center"/>
              <w:rPr>
                <w:rFonts w:ascii="仿宋" w:hAnsi="仿宋" w:eastAsia="仿宋"/>
                <w:color w:val="000000" w:themeColor="text1"/>
                <w:sz w:val="24"/>
                <w:szCs w:val="28"/>
                <w14:textFill>
                  <w14:solidFill>
                    <w14:schemeClr w14:val="tx1"/>
                  </w14:solidFill>
                </w14:textFill>
              </w:rPr>
            </w:pPr>
          </w:p>
        </w:tc>
        <w:tc>
          <w:tcPr>
            <w:tcW w:w="805" w:type="dxa"/>
            <w:gridSpan w:val="2"/>
            <w:vAlign w:val="center"/>
          </w:tcPr>
          <w:p w14:paraId="61257D67">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.05</w:t>
            </w:r>
          </w:p>
        </w:tc>
        <w:tc>
          <w:tcPr>
            <w:tcW w:w="2981" w:type="dxa"/>
            <w:vMerge w:val="continue"/>
          </w:tcPr>
          <w:p w14:paraId="74699474">
            <w:pPr>
              <w:rPr>
                <w:rFonts w:ascii="仿宋" w:hAnsi="仿宋" w:eastAsia="仿宋"/>
                <w:color w:val="000000" w:themeColor="text1"/>
                <w:sz w:val="24"/>
                <w:szCs w:val="28"/>
                <w14:textFill>
                  <w14:solidFill>
                    <w14:schemeClr w14:val="tx1"/>
                  </w14:solidFill>
                </w14:textFill>
              </w:rPr>
            </w:pPr>
          </w:p>
        </w:tc>
      </w:tr>
      <w:tr w14:paraId="53EB4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27627706">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14:paraId="600C950B">
            <w:pPr>
              <w:rPr>
                <w:rFonts w:ascii="仿宋" w:hAnsi="仿宋" w:eastAsia="仿宋"/>
                <w:color w:val="000000" w:themeColor="text1"/>
                <w:sz w:val="24"/>
                <w:szCs w:val="28"/>
                <w14:textFill>
                  <w14:solidFill>
                    <w14:schemeClr w14:val="tx1"/>
                  </w14:solidFill>
                </w14:textFill>
              </w:rPr>
            </w:pPr>
          </w:p>
        </w:tc>
        <w:tc>
          <w:tcPr>
            <w:tcW w:w="10208" w:type="dxa"/>
            <w:gridSpan w:val="6"/>
          </w:tcPr>
          <w:p w14:paraId="1717A36C">
            <w:pPr>
              <w:rPr>
                <w:rFonts w:hint="default" w:ascii="仿宋" w:hAnsi="仿宋" w:eastAsia="仿宋"/>
                <w:color w:val="000000" w:themeColor="text1"/>
                <w:sz w:val="24"/>
                <w:szCs w:val="28"/>
                <w:lang w:val="en-US" w:eastAsia="zh-CN"/>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认定办法：（1）针对有明确负责人（队长，排名第1）的竞赛，负责人额外获得该项奖励GPA的1</w:t>
            </w:r>
            <w:r>
              <w:rPr>
                <w:rFonts w:ascii="仿宋" w:hAnsi="仿宋" w:eastAsia="仿宋"/>
                <w:color w:val="000000" w:themeColor="text1"/>
                <w:sz w:val="24"/>
                <w:szCs w:val="28"/>
                <w14:textFill>
                  <w14:solidFill>
                    <w14:schemeClr w14:val="tx1"/>
                  </w14:solidFill>
                </w14:textFill>
              </w:rPr>
              <w:t>0</w:t>
            </w:r>
            <w:r>
              <w:rPr>
                <w:rFonts w:hint="eastAsia" w:ascii="仿宋" w:hAnsi="仿宋" w:eastAsia="仿宋"/>
                <w:color w:val="000000" w:themeColor="text1"/>
                <w:sz w:val="24"/>
                <w:szCs w:val="28"/>
                <w14:textFill>
                  <w14:solidFill>
                    <w14:schemeClr w14:val="tx1"/>
                  </w14:solidFill>
                </w14:textFill>
              </w:rPr>
              <w:t>%，其余9</w:t>
            </w:r>
            <w:r>
              <w:rPr>
                <w:rFonts w:ascii="仿宋" w:hAnsi="仿宋" w:eastAsia="仿宋"/>
                <w:color w:val="000000" w:themeColor="text1"/>
                <w:sz w:val="24"/>
                <w:szCs w:val="28"/>
                <w14:textFill>
                  <w14:solidFill>
                    <w14:schemeClr w14:val="tx1"/>
                  </w14:solidFill>
                </w14:textFill>
              </w:rPr>
              <w:t>0</w:t>
            </w:r>
            <w:r>
              <w:rPr>
                <w:rFonts w:hint="eastAsia" w:ascii="仿宋" w:hAnsi="仿宋" w:eastAsia="仿宋"/>
                <w:color w:val="000000" w:themeColor="text1"/>
                <w:sz w:val="24"/>
                <w:szCs w:val="28"/>
                <w14:textFill>
                  <w14:solidFill>
                    <w14:schemeClr w14:val="tx1"/>
                  </w14:solidFill>
                </w14:textFill>
              </w:rPr>
              <w:t>%的绩点由前六名队员（包含负责人）均分。（2）针对没有明确负责人的竞赛，竞赛获奖排序前6名成员，平均分配该项奖励的GPA。竞赛分类以保研当年吉林大学教务处的竞赛分类体系为准，需在规定时间内提交获奖证书。</w:t>
            </w:r>
            <w:r>
              <w:rPr>
                <w:rFonts w:hint="eastAsia" w:ascii="仿宋" w:hAnsi="仿宋" w:eastAsia="仿宋"/>
                <w:color w:val="000000" w:themeColor="text1"/>
                <w:sz w:val="24"/>
                <w:szCs w:val="28"/>
                <w:lang w:val="en-US" w:eastAsia="zh-CN"/>
                <w14:textFill>
                  <w14:solidFill>
                    <w14:schemeClr w14:val="tx1"/>
                  </w14:solidFill>
                </w14:textFill>
              </w:rPr>
              <w:t>注：在学校规定成果认定时间前公示但未取得正式获奖通知和证书的，需在保研名单公示前提交正式获奖通知或证书，否则取消前期认定的相应加分。</w:t>
            </w:r>
          </w:p>
        </w:tc>
      </w:tr>
      <w:tr w14:paraId="405D2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553" w:type="dxa"/>
            <w:vMerge w:val="continue"/>
            <w:tcBorders>
              <w:bottom w:val="single" w:color="auto" w:sz="4" w:space="0"/>
            </w:tcBorders>
            <w:vAlign w:val="center"/>
          </w:tcPr>
          <w:p w14:paraId="35D1C376">
            <w:pPr>
              <w:jc w:val="center"/>
              <w:rPr>
                <w:rFonts w:ascii="仿宋" w:hAnsi="仿宋" w:eastAsia="仿宋"/>
                <w:b/>
                <w:color w:val="000000" w:themeColor="text1"/>
                <w:sz w:val="24"/>
                <w:szCs w:val="28"/>
                <w14:textFill>
                  <w14:solidFill>
                    <w14:schemeClr w14:val="tx1"/>
                  </w14:solidFill>
                </w14:textFill>
              </w:rPr>
            </w:pPr>
          </w:p>
        </w:tc>
        <w:tc>
          <w:tcPr>
            <w:tcW w:w="2268" w:type="dxa"/>
            <w:vMerge w:val="restart"/>
            <w:tcBorders>
              <w:bottom w:val="single" w:color="auto" w:sz="4" w:space="0"/>
            </w:tcBorders>
            <w:vAlign w:val="center"/>
          </w:tcPr>
          <w:p w14:paraId="40AD3E62">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吉林大学本科学生体育竞赛体系（高水平运动员、体育学院运动训练专业学生）（最高1.0GPA）</w:t>
            </w:r>
          </w:p>
        </w:tc>
        <w:tc>
          <w:tcPr>
            <w:tcW w:w="3825" w:type="dxa"/>
            <w:tcBorders>
              <w:bottom w:val="single" w:color="auto" w:sz="4" w:space="0"/>
            </w:tcBorders>
            <w:vAlign w:val="center"/>
          </w:tcPr>
          <w:p w14:paraId="18BE8513">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中国大学生体协专项锦标赛或联赛</w:t>
            </w:r>
          </w:p>
        </w:tc>
        <w:tc>
          <w:tcPr>
            <w:tcW w:w="6383" w:type="dxa"/>
            <w:gridSpan w:val="5"/>
            <w:vMerge w:val="restart"/>
            <w:vAlign w:val="center"/>
          </w:tcPr>
          <w:p w14:paraId="39561C90">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体育学院认定加分（最高1.0GPA）</w:t>
            </w:r>
          </w:p>
        </w:tc>
      </w:tr>
      <w:tr w14:paraId="1A4D9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7643879A">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14:paraId="62AEDEB6">
            <w:pPr>
              <w:rPr>
                <w:rFonts w:ascii="仿宋" w:hAnsi="仿宋" w:eastAsia="仿宋"/>
                <w:color w:val="000000" w:themeColor="text1"/>
                <w:sz w:val="24"/>
                <w:szCs w:val="28"/>
                <w14:textFill>
                  <w14:solidFill>
                    <w14:schemeClr w14:val="tx1"/>
                  </w14:solidFill>
                </w14:textFill>
              </w:rPr>
            </w:pPr>
          </w:p>
        </w:tc>
        <w:tc>
          <w:tcPr>
            <w:tcW w:w="3825" w:type="dxa"/>
            <w:vAlign w:val="center"/>
          </w:tcPr>
          <w:p w14:paraId="4FC7FA4C">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吉林省学生体育协会组织的</w:t>
            </w:r>
          </w:p>
          <w:p w14:paraId="65CF2D63">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专项锦标赛或联赛</w:t>
            </w:r>
          </w:p>
        </w:tc>
        <w:tc>
          <w:tcPr>
            <w:tcW w:w="6383" w:type="dxa"/>
            <w:gridSpan w:val="5"/>
            <w:vMerge w:val="continue"/>
            <w:vAlign w:val="center"/>
          </w:tcPr>
          <w:p w14:paraId="707DD528">
            <w:pPr>
              <w:rPr>
                <w:rFonts w:ascii="仿宋" w:hAnsi="仿宋" w:eastAsia="仿宋"/>
                <w:color w:val="000000" w:themeColor="text1"/>
                <w:sz w:val="24"/>
                <w:szCs w:val="28"/>
                <w14:textFill>
                  <w14:solidFill>
                    <w14:schemeClr w14:val="tx1"/>
                  </w14:solidFill>
                </w14:textFill>
              </w:rPr>
            </w:pPr>
          </w:p>
        </w:tc>
      </w:tr>
      <w:tr w14:paraId="602CF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6D788190">
            <w:pPr>
              <w:jc w:val="center"/>
              <w:rPr>
                <w:rFonts w:ascii="仿宋" w:hAnsi="仿宋" w:eastAsia="仿宋"/>
                <w:b/>
                <w:color w:val="000000" w:themeColor="text1"/>
                <w:sz w:val="24"/>
                <w:szCs w:val="28"/>
                <w14:textFill>
                  <w14:solidFill>
                    <w14:schemeClr w14:val="tx1"/>
                  </w14:solidFill>
                </w14:textFill>
              </w:rPr>
            </w:pPr>
          </w:p>
        </w:tc>
        <w:tc>
          <w:tcPr>
            <w:tcW w:w="2268" w:type="dxa"/>
            <w:vAlign w:val="center"/>
          </w:tcPr>
          <w:p w14:paraId="6C1FFDF5">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吉林大学本科学生艺术竞赛体系（最高0.4GPA）</w:t>
            </w:r>
          </w:p>
        </w:tc>
        <w:tc>
          <w:tcPr>
            <w:tcW w:w="3825" w:type="dxa"/>
            <w:vAlign w:val="center"/>
          </w:tcPr>
          <w:p w14:paraId="5A1C77CB">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代表学生参加经认证的</w:t>
            </w:r>
          </w:p>
          <w:p w14:paraId="495EB6E4">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国家或省级专业类大赛</w:t>
            </w:r>
          </w:p>
        </w:tc>
        <w:tc>
          <w:tcPr>
            <w:tcW w:w="6383" w:type="dxa"/>
            <w:gridSpan w:val="5"/>
            <w:vAlign w:val="center"/>
          </w:tcPr>
          <w:p w14:paraId="79C14875">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团委认定加分（最高0.4GPA）</w:t>
            </w:r>
          </w:p>
        </w:tc>
      </w:tr>
      <w:tr w14:paraId="32E3C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restart"/>
            <w:vAlign w:val="center"/>
          </w:tcPr>
          <w:p w14:paraId="5150044E">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三、入伍服兵役</w:t>
            </w:r>
          </w:p>
        </w:tc>
        <w:tc>
          <w:tcPr>
            <w:tcW w:w="2268" w:type="dxa"/>
            <w:vMerge w:val="restart"/>
            <w:vAlign w:val="center"/>
          </w:tcPr>
          <w:p w14:paraId="50FB2BC7">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入伍服兵役退役复学</w:t>
            </w:r>
          </w:p>
        </w:tc>
        <w:tc>
          <w:tcPr>
            <w:tcW w:w="3825" w:type="dxa"/>
            <w:vAlign w:val="center"/>
          </w:tcPr>
          <w:p w14:paraId="5AC11EC1">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退役复学</w:t>
            </w:r>
          </w:p>
        </w:tc>
        <w:tc>
          <w:tcPr>
            <w:tcW w:w="3402" w:type="dxa"/>
            <w:gridSpan w:val="4"/>
            <w:vAlign w:val="center"/>
          </w:tcPr>
          <w:p w14:paraId="70B95C5B">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最高0.2（GPA）</w:t>
            </w:r>
          </w:p>
        </w:tc>
        <w:tc>
          <w:tcPr>
            <w:tcW w:w="2981" w:type="dxa"/>
            <w:vMerge w:val="restart"/>
            <w:vAlign w:val="center"/>
          </w:tcPr>
          <w:p w14:paraId="56734D19">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党委学生工作部、党委武装部认定加分</w:t>
            </w:r>
          </w:p>
        </w:tc>
      </w:tr>
      <w:tr w14:paraId="3144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072DA457">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vAlign w:val="center"/>
          </w:tcPr>
          <w:p w14:paraId="42D9B374">
            <w:pPr>
              <w:jc w:val="center"/>
              <w:rPr>
                <w:rFonts w:ascii="仿宋" w:hAnsi="仿宋" w:eastAsia="仿宋"/>
                <w:color w:val="000000" w:themeColor="text1"/>
                <w:sz w:val="24"/>
                <w:szCs w:val="28"/>
                <w14:textFill>
                  <w14:solidFill>
                    <w14:schemeClr w14:val="tx1"/>
                  </w14:solidFill>
                </w14:textFill>
              </w:rPr>
            </w:pPr>
          </w:p>
        </w:tc>
        <w:tc>
          <w:tcPr>
            <w:tcW w:w="3825" w:type="dxa"/>
            <w:vAlign w:val="center"/>
          </w:tcPr>
          <w:p w14:paraId="7E0F2404">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优秀义务兵</w:t>
            </w:r>
          </w:p>
        </w:tc>
        <w:tc>
          <w:tcPr>
            <w:tcW w:w="3402" w:type="dxa"/>
            <w:gridSpan w:val="4"/>
            <w:vAlign w:val="center"/>
          </w:tcPr>
          <w:p w14:paraId="0D7E7C7F">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最高0.4（GPA）</w:t>
            </w:r>
          </w:p>
        </w:tc>
        <w:tc>
          <w:tcPr>
            <w:tcW w:w="2981" w:type="dxa"/>
            <w:vMerge w:val="continue"/>
            <w:vAlign w:val="center"/>
          </w:tcPr>
          <w:p w14:paraId="0512216A">
            <w:pPr>
              <w:jc w:val="center"/>
              <w:rPr>
                <w:rFonts w:ascii="仿宋" w:hAnsi="仿宋" w:eastAsia="仿宋"/>
                <w:color w:val="000000" w:themeColor="text1"/>
                <w:sz w:val="24"/>
                <w:szCs w:val="28"/>
                <w14:textFill>
                  <w14:solidFill>
                    <w14:schemeClr w14:val="tx1"/>
                  </w14:solidFill>
                </w14:textFill>
              </w:rPr>
            </w:pPr>
          </w:p>
        </w:tc>
      </w:tr>
      <w:tr w14:paraId="4F21D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1D92C51A">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vAlign w:val="center"/>
          </w:tcPr>
          <w:p w14:paraId="586730FB">
            <w:pPr>
              <w:jc w:val="center"/>
              <w:rPr>
                <w:rFonts w:ascii="仿宋" w:hAnsi="仿宋" w:eastAsia="仿宋"/>
                <w:color w:val="000000" w:themeColor="text1"/>
                <w:sz w:val="24"/>
                <w:szCs w:val="28"/>
                <w14:textFill>
                  <w14:solidFill>
                    <w14:schemeClr w14:val="tx1"/>
                  </w14:solidFill>
                </w14:textFill>
              </w:rPr>
            </w:pPr>
          </w:p>
        </w:tc>
        <w:tc>
          <w:tcPr>
            <w:tcW w:w="3825" w:type="dxa"/>
            <w:vAlign w:val="center"/>
          </w:tcPr>
          <w:p w14:paraId="6BFF336C">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三等功以上</w:t>
            </w:r>
          </w:p>
        </w:tc>
        <w:tc>
          <w:tcPr>
            <w:tcW w:w="3402" w:type="dxa"/>
            <w:gridSpan w:val="4"/>
            <w:vAlign w:val="center"/>
          </w:tcPr>
          <w:p w14:paraId="1E1CF9BE">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直接获得推免资格</w:t>
            </w:r>
          </w:p>
        </w:tc>
        <w:tc>
          <w:tcPr>
            <w:tcW w:w="2981" w:type="dxa"/>
            <w:vMerge w:val="continue"/>
            <w:vAlign w:val="center"/>
          </w:tcPr>
          <w:p w14:paraId="4FA6B350">
            <w:pPr>
              <w:jc w:val="center"/>
              <w:rPr>
                <w:rFonts w:ascii="仿宋" w:hAnsi="仿宋" w:eastAsia="仿宋"/>
                <w:color w:val="000000" w:themeColor="text1"/>
                <w:sz w:val="24"/>
                <w:szCs w:val="28"/>
                <w14:textFill>
                  <w14:solidFill>
                    <w14:schemeClr w14:val="tx1"/>
                  </w14:solidFill>
                </w14:textFill>
              </w:rPr>
            </w:pPr>
          </w:p>
        </w:tc>
      </w:tr>
      <w:tr w14:paraId="258ED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553" w:type="dxa"/>
            <w:vMerge w:val="restart"/>
            <w:tcBorders>
              <w:bottom w:val="single" w:color="auto" w:sz="4" w:space="0"/>
            </w:tcBorders>
            <w:vAlign w:val="center"/>
          </w:tcPr>
          <w:p w14:paraId="0BA440A2">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四、志愿服务（最高0.4GPA）</w:t>
            </w:r>
          </w:p>
        </w:tc>
        <w:tc>
          <w:tcPr>
            <w:tcW w:w="2268" w:type="dxa"/>
            <w:vMerge w:val="restart"/>
            <w:tcBorders>
              <w:bottom w:val="single" w:color="auto" w:sz="4" w:space="0"/>
            </w:tcBorders>
            <w:vAlign w:val="center"/>
          </w:tcPr>
          <w:p w14:paraId="7201DB4C">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志愿服务</w:t>
            </w:r>
          </w:p>
        </w:tc>
        <w:tc>
          <w:tcPr>
            <w:tcW w:w="3825" w:type="dxa"/>
            <w:tcBorders>
              <w:bottom w:val="single" w:color="auto" w:sz="4" w:space="0"/>
            </w:tcBorders>
            <w:vAlign w:val="center"/>
          </w:tcPr>
          <w:p w14:paraId="7742EAF2">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中国青年志愿服务大赛（国家级）金奖</w:t>
            </w:r>
          </w:p>
        </w:tc>
        <w:tc>
          <w:tcPr>
            <w:tcW w:w="6383" w:type="dxa"/>
            <w:gridSpan w:val="5"/>
            <w:vMerge w:val="restart"/>
            <w:vAlign w:val="center"/>
          </w:tcPr>
          <w:p w14:paraId="25CCAF3B">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团委认定加分（最高0.2GPA）</w:t>
            </w:r>
          </w:p>
        </w:tc>
      </w:tr>
      <w:tr w14:paraId="297C8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553" w:type="dxa"/>
            <w:vMerge w:val="continue"/>
            <w:tcBorders>
              <w:bottom w:val="single" w:color="auto" w:sz="4" w:space="0"/>
            </w:tcBorders>
            <w:vAlign w:val="center"/>
          </w:tcPr>
          <w:p w14:paraId="4E329A3D">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Borders>
              <w:bottom w:val="single" w:color="auto" w:sz="4" w:space="0"/>
            </w:tcBorders>
            <w:vAlign w:val="center"/>
          </w:tcPr>
          <w:p w14:paraId="58CF85C1">
            <w:pPr>
              <w:jc w:val="center"/>
              <w:rPr>
                <w:rFonts w:ascii="仿宋" w:hAnsi="仿宋" w:eastAsia="仿宋"/>
                <w:color w:val="000000" w:themeColor="text1"/>
                <w:sz w:val="24"/>
                <w:szCs w:val="28"/>
                <w14:textFill>
                  <w14:solidFill>
                    <w14:schemeClr w14:val="tx1"/>
                  </w14:solidFill>
                </w14:textFill>
              </w:rPr>
            </w:pPr>
          </w:p>
        </w:tc>
        <w:tc>
          <w:tcPr>
            <w:tcW w:w="3825" w:type="dxa"/>
            <w:tcBorders>
              <w:bottom w:val="single" w:color="auto" w:sz="4" w:space="0"/>
            </w:tcBorders>
            <w:vAlign w:val="center"/>
          </w:tcPr>
          <w:p w14:paraId="6F1DB32A">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中国青年志愿服务大赛（国家级）银奖</w:t>
            </w:r>
          </w:p>
        </w:tc>
        <w:tc>
          <w:tcPr>
            <w:tcW w:w="6383" w:type="dxa"/>
            <w:gridSpan w:val="5"/>
            <w:vMerge w:val="continue"/>
            <w:vAlign w:val="center"/>
          </w:tcPr>
          <w:p w14:paraId="1DD5E17D">
            <w:pPr>
              <w:jc w:val="center"/>
              <w:rPr>
                <w:rFonts w:ascii="仿宋" w:hAnsi="仿宋" w:eastAsia="仿宋"/>
                <w:color w:val="000000" w:themeColor="text1"/>
                <w:sz w:val="24"/>
                <w:szCs w:val="28"/>
                <w14:textFill>
                  <w14:solidFill>
                    <w14:schemeClr w14:val="tx1"/>
                  </w14:solidFill>
                </w14:textFill>
              </w:rPr>
            </w:pPr>
          </w:p>
        </w:tc>
      </w:tr>
      <w:tr w14:paraId="37135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553" w:type="dxa"/>
            <w:vMerge w:val="continue"/>
            <w:tcBorders>
              <w:bottom w:val="single" w:color="auto" w:sz="4" w:space="0"/>
            </w:tcBorders>
            <w:vAlign w:val="center"/>
          </w:tcPr>
          <w:p w14:paraId="75A67B0A">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Borders>
              <w:bottom w:val="single" w:color="auto" w:sz="4" w:space="0"/>
            </w:tcBorders>
            <w:vAlign w:val="center"/>
          </w:tcPr>
          <w:p w14:paraId="57FE96BB">
            <w:pPr>
              <w:jc w:val="center"/>
              <w:rPr>
                <w:rFonts w:ascii="仿宋" w:hAnsi="仿宋" w:eastAsia="仿宋"/>
                <w:color w:val="000000" w:themeColor="text1"/>
                <w:sz w:val="24"/>
                <w:szCs w:val="28"/>
                <w14:textFill>
                  <w14:solidFill>
                    <w14:schemeClr w14:val="tx1"/>
                  </w14:solidFill>
                </w14:textFill>
              </w:rPr>
            </w:pPr>
          </w:p>
        </w:tc>
        <w:tc>
          <w:tcPr>
            <w:tcW w:w="3825" w:type="dxa"/>
            <w:tcBorders>
              <w:bottom w:val="single" w:color="auto" w:sz="4" w:space="0"/>
            </w:tcBorders>
            <w:vAlign w:val="center"/>
          </w:tcPr>
          <w:p w14:paraId="59F64C22">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中国青年志愿服务大赛（省级）金奖</w:t>
            </w:r>
          </w:p>
        </w:tc>
        <w:tc>
          <w:tcPr>
            <w:tcW w:w="6383" w:type="dxa"/>
            <w:gridSpan w:val="5"/>
            <w:vMerge w:val="continue"/>
            <w:tcBorders>
              <w:bottom w:val="single" w:color="auto" w:sz="4" w:space="0"/>
            </w:tcBorders>
            <w:vAlign w:val="center"/>
          </w:tcPr>
          <w:p w14:paraId="1565AFB2">
            <w:pPr>
              <w:jc w:val="center"/>
              <w:rPr>
                <w:rFonts w:ascii="仿宋" w:hAnsi="仿宋" w:eastAsia="仿宋"/>
                <w:color w:val="000000" w:themeColor="text1"/>
                <w:sz w:val="24"/>
                <w:szCs w:val="28"/>
                <w14:textFill>
                  <w14:solidFill>
                    <w14:schemeClr w14:val="tx1"/>
                  </w14:solidFill>
                </w14:textFill>
              </w:rPr>
            </w:pPr>
          </w:p>
        </w:tc>
      </w:tr>
      <w:tr w14:paraId="2562D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14:paraId="3FEFF247">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vAlign w:val="center"/>
          </w:tcPr>
          <w:p w14:paraId="46E56ECE">
            <w:pPr>
              <w:jc w:val="center"/>
              <w:rPr>
                <w:rFonts w:ascii="仿宋" w:hAnsi="仿宋" w:eastAsia="仿宋"/>
                <w:color w:val="000000" w:themeColor="text1"/>
                <w:sz w:val="24"/>
                <w:szCs w:val="28"/>
                <w14:textFill>
                  <w14:solidFill>
                    <w14:schemeClr w14:val="tx1"/>
                  </w14:solidFill>
                </w14:textFill>
              </w:rPr>
            </w:pPr>
          </w:p>
        </w:tc>
        <w:tc>
          <w:tcPr>
            <w:tcW w:w="3825" w:type="dxa"/>
            <w:vAlign w:val="center"/>
          </w:tcPr>
          <w:p w14:paraId="56923B92">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社会工作（思想政治志愿服务）</w:t>
            </w:r>
          </w:p>
        </w:tc>
        <w:tc>
          <w:tcPr>
            <w:tcW w:w="6383" w:type="dxa"/>
            <w:gridSpan w:val="5"/>
            <w:vAlign w:val="center"/>
          </w:tcPr>
          <w:p w14:paraId="78AB38ED">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党委学生工作部认定加分（最高0.4GPA）</w:t>
            </w:r>
          </w:p>
        </w:tc>
      </w:tr>
      <w:tr w14:paraId="607EE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Align w:val="center"/>
          </w:tcPr>
          <w:p w14:paraId="296B087F">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五、国际组织实习</w:t>
            </w:r>
          </w:p>
        </w:tc>
        <w:tc>
          <w:tcPr>
            <w:tcW w:w="2268" w:type="dxa"/>
            <w:vAlign w:val="center"/>
          </w:tcPr>
          <w:p w14:paraId="35898A24">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国际组织实习</w:t>
            </w:r>
          </w:p>
        </w:tc>
        <w:tc>
          <w:tcPr>
            <w:tcW w:w="3825" w:type="dxa"/>
            <w:vAlign w:val="center"/>
          </w:tcPr>
          <w:p w14:paraId="24CF12C2">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国际组织实习（实习的国际组织认定以人力资源和社会保障部公布的主要国际组织名录为准）</w:t>
            </w:r>
          </w:p>
        </w:tc>
        <w:tc>
          <w:tcPr>
            <w:tcW w:w="6383" w:type="dxa"/>
            <w:gridSpan w:val="5"/>
            <w:vAlign w:val="center"/>
          </w:tcPr>
          <w:p w14:paraId="503D4872">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国际合作与交流处、学生就业创业指导与服务中心认定加分（最高0.2GPA）</w:t>
            </w:r>
          </w:p>
          <w:p w14:paraId="1AACEC37">
            <w:pPr>
              <w:jc w:val="center"/>
              <w:rPr>
                <w:rFonts w:ascii="仿宋" w:hAnsi="仿宋" w:eastAsia="仿宋"/>
                <w:color w:val="000000" w:themeColor="text1"/>
                <w:sz w:val="24"/>
                <w:szCs w:val="28"/>
                <w14:textFill>
                  <w14:solidFill>
                    <w14:schemeClr w14:val="tx1"/>
                  </w14:solidFill>
                </w14:textFill>
              </w:rPr>
            </w:pPr>
          </w:p>
        </w:tc>
      </w:tr>
    </w:tbl>
    <w:p w14:paraId="0EB23EAD">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说明：1.同类成果中不累计加分，取代表作的最高加分计入推免综合成绩；</w:t>
      </w:r>
    </w:p>
    <w:p w14:paraId="0D777BB9">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 xml:space="preserve">      2.五大类别间的加分允许累加，但体育竞赛体系学生累计加分最高不超过1.0GPA，其他学生累计加分最高不超过0.4GPA；</w:t>
      </w:r>
    </w:p>
    <w:p w14:paraId="7790F90E">
      <w:pPr>
        <w:rPr>
          <w:rFonts w:ascii="仿宋" w:hAnsi="仿宋" w:eastAsia="仿宋"/>
          <w:color w:val="000000" w:themeColor="text1"/>
          <w:sz w:val="24"/>
          <w:szCs w:val="28"/>
          <w14:textFill>
            <w14:solidFill>
              <w14:schemeClr w14:val="tx1"/>
            </w14:solidFill>
          </w14:textFill>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000000" w:themeColor="text1"/>
          <w:sz w:val="24"/>
          <w:szCs w:val="28"/>
          <w14:textFill>
            <w14:solidFill>
              <w14:schemeClr w14:val="tx1"/>
            </w14:solidFill>
          </w14:textFill>
        </w:rPr>
        <w:t xml:space="preserve">      3.加分后综合排名相同的学生，按学业成绩高低排名。</w:t>
      </w:r>
    </w:p>
    <w:p w14:paraId="39BA2EBC">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七、推荐程序</w:t>
      </w:r>
    </w:p>
    <w:p w14:paraId="240B6008">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1.成立学院推免工作小组和监督小组，制订年度推免工作实施细则及加分标准，报教务处备案并公示。</w:t>
      </w:r>
    </w:p>
    <w:p w14:paraId="22431856">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2.符合素质类项目加分申请条件的学生，在规定的时间内向所在学院提出申请，提交素质类项目相关证明材料。</w:t>
      </w:r>
    </w:p>
    <w:p w14:paraId="7EBD5336">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3.学院成立专家审核小组，审核学生提交的素质类加分申请材料，并组织学生进行公开答辩，审核认定学生的学术专长，确定素质类项目加分分值。</w:t>
      </w:r>
    </w:p>
    <w:p w14:paraId="56E04C89">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4.在计算素质类项目加分后，在学院网站公示各专业学生的综合排名，公示期1</w:t>
      </w:r>
      <w:r>
        <w:rPr>
          <w:rFonts w:ascii="仿宋" w:hAnsi="仿宋" w:eastAsia="仿宋"/>
          <w:color w:val="000000" w:themeColor="text1"/>
          <w:sz w:val="28"/>
          <w:szCs w:val="28"/>
          <w14:textFill>
            <w14:solidFill>
              <w14:schemeClr w14:val="tx1"/>
            </w14:solidFill>
          </w14:textFill>
        </w:rPr>
        <w:t>0</w:t>
      </w:r>
      <w:r>
        <w:rPr>
          <w:rFonts w:hint="eastAsia" w:ascii="仿宋" w:hAnsi="仿宋" w:eastAsia="仿宋"/>
          <w:color w:val="000000" w:themeColor="text1"/>
          <w:sz w:val="28"/>
          <w:szCs w:val="28"/>
          <w14:textFill>
            <w14:solidFill>
              <w14:schemeClr w14:val="tx1"/>
            </w14:solidFill>
          </w14:textFill>
        </w:rPr>
        <w:t>个工作日。</w:t>
      </w:r>
    </w:p>
    <w:p w14:paraId="1CD082A7">
      <w:pPr>
        <w:ind w:firstLine="560" w:firstLineChars="200"/>
        <w:rPr>
          <w:color w:val="000000" w:themeColor="text1"/>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5.具备常规推免资格的学生在规定的时间内向学院提出申请，填写相关报名材料。学生只能申报普通推荐、 “专项推免补偿计划”推荐其中一项，不可兼报。</w:t>
      </w:r>
    </w:p>
    <w:p w14:paraId="27A8E5CA">
      <w:pPr>
        <w:ind w:firstLine="560" w:firstLineChars="200"/>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6.</w:t>
      </w:r>
      <w:r>
        <w:rPr>
          <w:rFonts w:hint="eastAsia" w:ascii="仿宋" w:hAnsi="仿宋" w:eastAsia="仿宋"/>
          <w:color w:val="000000" w:themeColor="text1"/>
          <w:sz w:val="28"/>
          <w:szCs w:val="28"/>
          <w14:textFill>
            <w14:solidFill>
              <w14:schemeClr w14:val="tx1"/>
            </w14:solidFill>
          </w14:textFill>
        </w:rPr>
        <w:t>学院依据学校下达推荐名额不低于120%，不高于150%的比例，确定申报常规推荐方式的人选，由学院工作小组组织专家组，通过面试等相关考核方式择优确定最终推荐人选名单，同时在学院网站公示1</w:t>
      </w:r>
      <w:r>
        <w:rPr>
          <w:rFonts w:ascii="仿宋" w:hAnsi="仿宋" w:eastAsia="仿宋"/>
          <w:color w:val="000000" w:themeColor="text1"/>
          <w:sz w:val="28"/>
          <w:szCs w:val="28"/>
          <w14:textFill>
            <w14:solidFill>
              <w14:schemeClr w14:val="tx1"/>
            </w14:solidFill>
          </w14:textFill>
        </w:rPr>
        <w:t>0</w:t>
      </w:r>
      <w:r>
        <w:rPr>
          <w:rFonts w:hint="eastAsia" w:ascii="仿宋" w:hAnsi="仿宋" w:eastAsia="仿宋"/>
          <w:color w:val="000000" w:themeColor="text1"/>
          <w:sz w:val="28"/>
          <w:szCs w:val="28"/>
          <w14:textFill>
            <w14:solidFill>
              <w14:schemeClr w14:val="tx1"/>
            </w14:solidFill>
          </w14:textFill>
        </w:rPr>
        <w:t>个工作日。对于有异议的学生，学院将查明情况并公布处理结果。</w:t>
      </w:r>
    </w:p>
    <w:p w14:paraId="2CA93C45">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八、管理与监督</w:t>
      </w:r>
    </w:p>
    <w:p w14:paraId="2A193AD5">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1.涉及推免工作的原则、标准、方法、程序、名额和结果等重要事项在学校领导小组的领导下，由学院工作小组会议讨论决定。</w:t>
      </w:r>
    </w:p>
    <w:p w14:paraId="73079C11">
      <w:pPr>
        <w:ind w:firstLine="560" w:firstLineChars="200"/>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2.</w:t>
      </w:r>
      <w:r>
        <w:rPr>
          <w:rFonts w:hint="eastAsia" w:ascii="仿宋" w:hAnsi="仿宋" w:eastAsia="仿宋"/>
          <w:color w:val="000000" w:themeColor="text1"/>
          <w:sz w:val="28"/>
          <w:szCs w:val="28"/>
          <w14:textFill>
            <w14:solidFill>
              <w14:schemeClr w14:val="tx1"/>
            </w14:solidFill>
          </w14:textFill>
        </w:rPr>
        <w:t>推免工作的参与人员如有直系亲属或利益相关人员参加选拔推荐的，相关工作人员应回避当年的推免工作。</w:t>
      </w:r>
    </w:p>
    <w:p w14:paraId="61182FCF">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3.对在申请和参加选拔推荐过程中弄虚作假的学生，一经发现，即取消其推免资格；对已录取的学生取消其录取资格和学籍，按有关规定对其做出相应处理。</w:t>
      </w:r>
    </w:p>
    <w:p w14:paraId="23316B47">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未尽事宜，以学校通知为准。本办法由学院推免工作小组负责解释。</w:t>
      </w:r>
    </w:p>
    <w:p w14:paraId="729A2983">
      <w:pPr>
        <w:ind w:firstLine="560" w:firstLineChars="200"/>
        <w:rPr>
          <w:rFonts w:ascii="仿宋" w:hAnsi="仿宋" w:eastAsia="仿宋"/>
          <w:color w:val="000000" w:themeColor="text1"/>
          <w:sz w:val="28"/>
          <w:szCs w:val="28"/>
          <w14:textFill>
            <w14:solidFill>
              <w14:schemeClr w14:val="tx1"/>
            </w14:solidFill>
          </w14:textFill>
        </w:rPr>
      </w:pPr>
    </w:p>
    <w:p w14:paraId="2B4B6AB1">
      <w:pPr>
        <w:ind w:firstLine="560" w:firstLineChars="200"/>
        <w:jc w:val="righ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仪器科学与电气工程学院</w:t>
      </w:r>
    </w:p>
    <w:p w14:paraId="3CA3AA1B">
      <w:pPr>
        <w:ind w:firstLine="560" w:firstLineChars="200"/>
        <w:jc w:val="righ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202</w:t>
      </w:r>
      <w:r>
        <w:rPr>
          <w:rFonts w:hint="eastAsia" w:ascii="仿宋" w:hAnsi="仿宋" w:eastAsia="仿宋"/>
          <w:color w:val="000000" w:themeColor="text1"/>
          <w:sz w:val="28"/>
          <w:szCs w:val="28"/>
          <w:lang w:val="en-US" w:eastAsia="zh-CN"/>
          <w14:textFill>
            <w14:solidFill>
              <w14:schemeClr w14:val="tx1"/>
            </w14:solidFill>
          </w14:textFill>
        </w:rPr>
        <w:t>6</w:t>
      </w:r>
      <w:r>
        <w:rPr>
          <w:rFonts w:hint="eastAsia" w:ascii="仿宋" w:hAnsi="仿宋" w:eastAsia="仿宋"/>
          <w:color w:val="000000" w:themeColor="text1"/>
          <w:sz w:val="28"/>
          <w:szCs w:val="28"/>
          <w14:textFill>
            <w14:solidFill>
              <w14:schemeClr w14:val="tx1"/>
            </w14:solidFill>
          </w14:textFill>
        </w:rPr>
        <w:t>年</w:t>
      </w:r>
      <w:r>
        <w:rPr>
          <w:rFonts w:hint="eastAsia" w:ascii="仿宋" w:hAnsi="仿宋" w:eastAsia="仿宋"/>
          <w:color w:val="000000" w:themeColor="text1"/>
          <w:sz w:val="28"/>
          <w:szCs w:val="28"/>
          <w:lang w:val="en-US" w:eastAsia="zh-CN"/>
          <w14:textFill>
            <w14:solidFill>
              <w14:schemeClr w14:val="tx1"/>
            </w14:solidFill>
          </w14:textFill>
        </w:rPr>
        <w:t>8</w:t>
      </w:r>
      <w:r>
        <w:rPr>
          <w:rFonts w:hint="eastAsia" w:ascii="仿宋" w:hAnsi="仿宋" w:eastAsia="仿宋"/>
          <w:color w:val="000000" w:themeColor="text1"/>
          <w:sz w:val="28"/>
          <w:szCs w:val="28"/>
          <w14:textFill>
            <w14:solidFill>
              <w14:schemeClr w14:val="tx1"/>
            </w14:solidFill>
          </w14:textFill>
        </w:rPr>
        <w:t>月</w:t>
      </w:r>
      <w:r>
        <w:rPr>
          <w:rFonts w:hint="eastAsia" w:ascii="仿宋" w:hAnsi="仿宋" w:eastAsia="仿宋"/>
          <w:color w:val="000000" w:themeColor="text1"/>
          <w:sz w:val="28"/>
          <w:szCs w:val="28"/>
          <w:lang w:val="en-US" w:eastAsia="zh-CN"/>
          <w14:textFill>
            <w14:solidFill>
              <w14:schemeClr w14:val="tx1"/>
            </w14:solidFill>
          </w14:textFill>
        </w:rPr>
        <w:t>31</w:t>
      </w:r>
      <w:r>
        <w:rPr>
          <w:rFonts w:hint="eastAsia" w:ascii="仿宋" w:hAnsi="仿宋" w:eastAsia="仿宋"/>
          <w:color w:val="000000" w:themeColor="text1"/>
          <w:sz w:val="28"/>
          <w:szCs w:val="28"/>
          <w14:textFill>
            <w14:solidFill>
              <w14:schemeClr w14:val="tx1"/>
            </w14:solidFill>
          </w14:textFill>
        </w:rPr>
        <w:t>日</w:t>
      </w:r>
    </w:p>
    <w:p w14:paraId="399F662E">
      <w:pPr>
        <w:rPr>
          <w:rFonts w:ascii="仿宋" w:hAnsi="仿宋" w:eastAsia="仿宋"/>
          <w:color w:val="000000" w:themeColor="text1"/>
          <w:sz w:val="28"/>
          <w:szCs w:val="28"/>
          <w14:textFill>
            <w14:solidFill>
              <w14:schemeClr w14:val="tx1"/>
            </w14:solidFill>
          </w14:textFill>
        </w:rPr>
      </w:pPr>
    </w:p>
    <w:p w14:paraId="4749F601">
      <w:pPr>
        <w:rPr>
          <w:rFonts w:ascii="仿宋" w:hAnsi="仿宋" w:eastAsia="仿宋"/>
          <w:color w:val="000000" w:themeColor="text1"/>
          <w:sz w:val="28"/>
          <w:szCs w:val="28"/>
          <w14:textFill>
            <w14:solidFill>
              <w14:schemeClr w14:val="tx1"/>
            </w14:solidFill>
          </w14:textFill>
        </w:rPr>
      </w:pPr>
      <w:bookmarkStart w:id="0" w:name="_GoBack"/>
      <w:bookmarkEnd w:id="0"/>
    </w:p>
    <w:p w14:paraId="17FEC0E3">
      <w:pPr>
        <w:rPr>
          <w:rFonts w:ascii="仿宋" w:hAnsi="仿宋" w:eastAsia="仿宋"/>
          <w:color w:val="000000" w:themeColor="text1"/>
          <w:sz w:val="24"/>
          <w:szCs w:val="28"/>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dlOGZiZDQ1ZGIxZTRkZjg4YTI4MWI5ODY4MTY3OTEifQ=="/>
  </w:docVars>
  <w:rsids>
    <w:rsidRoot w:val="00000000"/>
    <w:rsid w:val="06227951"/>
    <w:rsid w:val="2A4D02A1"/>
    <w:rsid w:val="2C2F340C"/>
    <w:rsid w:val="2FDC3E8D"/>
    <w:rsid w:val="32A16834"/>
    <w:rsid w:val="366D30B1"/>
    <w:rsid w:val="394D196C"/>
    <w:rsid w:val="3CCF5999"/>
    <w:rsid w:val="59537F27"/>
    <w:rsid w:val="5A8B3D7C"/>
    <w:rsid w:val="5FAA73EA"/>
    <w:rsid w:val="717047FE"/>
    <w:rsid w:val="7EB667B7"/>
    <w:rsid w:val="7F410A4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semiHidden/>
    <w:qFormat/>
    <w:uiPriority w:val="99"/>
    <w:rPr>
      <w:sz w:val="18"/>
      <w:szCs w:val="18"/>
    </w:rPr>
  </w:style>
  <w:style w:type="character" w:customStyle="1" w:styleId="8">
    <w:name w:val="页脚 字符"/>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a</Company>
  <Pages>10</Pages>
  <Words>2014</Words>
  <Characters>2077</Characters>
  <Lines>33</Lines>
  <Paragraphs>9</Paragraphs>
  <TotalTime>309</TotalTime>
  <ScaleCrop>false</ScaleCrop>
  <LinksUpToDate>false</LinksUpToDate>
  <CharactersWithSpaces>2086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2021-08-27T03:20:00Z</dcterms:created>
  <dc:creator>asus</dc:creator>
  <cp:lastModifiedBy>烧烤男</cp:lastModifiedBy>
  <dcterms:modified xsi:type="dcterms:W3CDTF">2026-08-31T07:14:53Z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7CF3D6A0896F45C8A00417EB5A41AA71_13</vt:lpwstr>
  </property>
  <property fmtid="{D5CDD505-2E9C-101B-9397-08002B2CF9AE}" pid="4" name="KSOTemplateDocerSaveRecord">
    <vt:lpwstr>eyJoZGlkIjoiNjJjMTg5ZDhmNDg2Y2M3NzNlOTk2NjBhYWNkNzZmYjIiLCJ1c2VySWQiOiIxMTUwNTkzODgzIn0=</vt:lpwstr>
  </property>
</Properties>
</file>