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F535">
      <w:pPr>
        <w:spacing w:line="620" w:lineRule="exact"/>
        <w:rPr>
          <w:rFonts w:eastAsia="长城小标宋体"/>
          <w:spacing w:val="120"/>
          <w:sz w:val="50"/>
        </w:rPr>
      </w:pPr>
    </w:p>
    <w:p w14:paraId="0AF15A82">
      <w:pPr>
        <w:spacing w:line="620" w:lineRule="exact"/>
        <w:jc w:val="center"/>
        <w:rPr>
          <w:rFonts w:eastAsia="创艺简标宋"/>
          <w:bCs/>
          <w:spacing w:val="30"/>
          <w:w w:val="90"/>
          <w:sz w:val="80"/>
        </w:rPr>
      </w:pPr>
    </w:p>
    <w:p w14:paraId="160A5105">
      <w:pPr>
        <w:spacing w:line="500" w:lineRule="exact"/>
        <w:rPr>
          <w:rFonts w:ascii="仿宋_GB2312" w:eastAsia="仿宋_GB2312"/>
          <w:sz w:val="32"/>
          <w:szCs w:val="32"/>
        </w:rPr>
      </w:pPr>
    </w:p>
    <w:p w14:paraId="07209918">
      <w:pPr>
        <w:spacing w:line="500" w:lineRule="exact"/>
        <w:rPr>
          <w:rFonts w:ascii="仿宋_GB2312" w:eastAsia="仿宋_GB2312"/>
          <w:sz w:val="32"/>
          <w:szCs w:val="32"/>
        </w:rPr>
      </w:pPr>
      <w:r>
        <w:rPr>
          <w:rFonts w:eastAsia="创艺简标宋"/>
          <w:bCs/>
          <w:spacing w:val="30"/>
          <w:sz w:val="20"/>
        </w:rPr>
        <w:pict>
          <v:shape id="_x0000_s1026" o:spid="_x0000_s1026" o:spt="136" type="#_x0000_t136" style="position:absolute;left:0pt;margin-left:36.65pt;margin-top:19.15pt;height:38.25pt;width:351.2pt;rotation:23597339f;z-index:251661312;mso-width-relative:page;mso-height-relative:page;" fillcolor="#FF0000" filled="t" stroked="t" coordsize="21600,21600">
            <v:path/>
            <v:fill on="t" focussize="0,0"/>
            <v:stroke weight="1.25pt" color="#FF0000"/>
            <v:imagedata o:title=""/>
            <o:lock v:ext="edit"/>
            <v:textpath on="t" fitshape="t" fitpath="t" trim="t" xscale="f" string="北京建筑大学文件" style="font-family:方正小标宋简体;font-size:32pt;v-text-align:center;"/>
          </v:shape>
        </w:pict>
      </w:r>
    </w:p>
    <w:p w14:paraId="5FACD9E0">
      <w:pPr>
        <w:spacing w:line="500" w:lineRule="exact"/>
        <w:jc w:val="center"/>
        <w:rPr>
          <w:rFonts w:ascii="仿宋_GB2312" w:eastAsia="仿宋_GB2312"/>
          <w:sz w:val="32"/>
          <w:szCs w:val="32"/>
        </w:rPr>
      </w:pPr>
    </w:p>
    <w:p w14:paraId="6CE36321">
      <w:pPr>
        <w:spacing w:line="500" w:lineRule="exact"/>
        <w:jc w:val="center"/>
        <w:rPr>
          <w:rFonts w:ascii="仿宋_GB2312" w:eastAsia="仿宋_GB2312"/>
          <w:sz w:val="32"/>
          <w:szCs w:val="32"/>
        </w:rPr>
      </w:pPr>
    </w:p>
    <w:p w14:paraId="4664E166">
      <w:pPr>
        <w:spacing w:line="500" w:lineRule="exact"/>
        <w:rPr>
          <w:rFonts w:ascii="仿宋_GB2312" w:eastAsia="仿宋_GB2312"/>
          <w:sz w:val="32"/>
          <w:szCs w:val="32"/>
        </w:rPr>
      </w:pPr>
    </w:p>
    <w:p w14:paraId="2E1A2F90">
      <w:pPr>
        <w:spacing w:line="500" w:lineRule="exact"/>
        <w:jc w:val="center"/>
        <w:rPr>
          <w:rFonts w:ascii="仿宋_GB2312" w:eastAsia="仿宋_GB2312"/>
          <w:sz w:val="32"/>
          <w:szCs w:val="32"/>
        </w:rPr>
      </w:pPr>
      <w:r>
        <w:rPr>
          <w:rFonts w:hint="eastAsia" w:ascii="仿宋_GB2312" w:eastAsia="仿宋_GB2312"/>
          <w:sz w:val="32"/>
          <w:szCs w:val="32"/>
        </w:rPr>
        <w:t>北建大教发〔202</w:t>
      </w:r>
      <w:r>
        <w:rPr>
          <w:rFonts w:ascii="仿宋_GB2312" w:eastAsia="仿宋_GB2312"/>
          <w:sz w:val="32"/>
          <w:szCs w:val="32"/>
        </w:rPr>
        <w:t>5</w:t>
      </w:r>
      <w:r>
        <w:rPr>
          <w:rFonts w:hint="eastAsia" w:ascii="仿宋_GB2312" w:eastAsia="仿宋_GB2312"/>
          <w:sz w:val="32"/>
          <w:szCs w:val="32"/>
        </w:rPr>
        <w:t>〕</w:t>
      </w:r>
      <w:r>
        <w:rPr>
          <w:rFonts w:hint="default" w:ascii="仿宋_GB2312" w:eastAsia="仿宋_GB2312"/>
          <w:sz w:val="32"/>
          <w:szCs w:val="32"/>
          <w:lang w:val="en-US"/>
        </w:rPr>
        <w:t>2</w:t>
      </w:r>
      <w:r>
        <w:rPr>
          <w:rFonts w:hint="eastAsia" w:ascii="仿宋_GB2312" w:eastAsia="仿宋_GB2312"/>
          <w:sz w:val="32"/>
          <w:szCs w:val="32"/>
        </w:rPr>
        <w:t>号</w:t>
      </w:r>
    </w:p>
    <w:p w14:paraId="698D792C">
      <w:pPr>
        <w:spacing w:line="620" w:lineRule="exact"/>
      </w:pPr>
      <w:r>
        <w:rPr>
          <w:rFonts w:hint="eastAsia" w:eastAsia="长城小标宋体"/>
          <w:spacing w:val="120"/>
          <w:sz w:val="44"/>
          <w:szCs w:val="4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187960</wp:posOffset>
                </wp:positionV>
                <wp:extent cx="5600700" cy="0"/>
                <wp:effectExtent l="0" t="9525" r="0" b="952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FF0000"/>
                          </a:solidFill>
                          <a:round/>
                        </a:ln>
                      </wps:spPr>
                      <wps:bodyPr/>
                    </wps:wsp>
                  </a:graphicData>
                </a:graphic>
              </wp:anchor>
            </w:drawing>
          </mc:Choice>
          <mc:Fallback>
            <w:pict>
              <v:line id="_x0000_s1026" o:spid="_x0000_s1026" o:spt="20" style="position:absolute;left:0pt;margin-left:0pt;margin-top:14.8pt;height:0pt;width:441pt;z-index:251660288;mso-width-relative:page;mso-height-relative:page;" filled="f" stroked="t" coordsize="21600,21600" o:gfxdata="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BtmUg1AAAAAYB&#10;AAAPAAAAAAAAAAEAIAAAACIAAABkcnMvZG93bnJldi54bWxQSwECFAAUAAAACACHTuJAd/aW2+YB&#10;AACrAwAADgAAAAAAAAABACAAAAAjAQAAZHJzL2Uyb0RvYy54bWxQSwUGAAAAAAYABgBZAQAAewUA&#10;AAAA&#10;">
                <v:fill on="f" focussize="0,0"/>
                <v:stroke weight="1.5pt" color="#FF0000" joinstyle="round"/>
                <v:imagedata o:title=""/>
                <o:lock v:ext="edit" aspectratio="f"/>
              </v:line>
            </w:pict>
          </mc:Fallback>
        </mc:AlternateContent>
      </w:r>
      <w:r>
        <w:rPr>
          <w:rFonts w:hint="eastAsia" w:eastAsia="长城小标宋体"/>
          <w:spacing w:val="120"/>
          <w:sz w:val="44"/>
          <w:szCs w:val="44"/>
        </w:rPr>
        <w:t xml:space="preserve">          </w:t>
      </w:r>
      <w:r>
        <w:rPr>
          <w:rFonts w:hint="eastAsia"/>
        </w:rPr>
        <w:t xml:space="preserve">                             </w:t>
      </w:r>
    </w:p>
    <w:p w14:paraId="58A19D4A">
      <w:pPr>
        <w:spacing w:line="620" w:lineRule="exact"/>
      </w:pPr>
    </w:p>
    <w:p w14:paraId="5306377B">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关于印发《北京建筑大学推荐优秀应届</w:t>
      </w:r>
    </w:p>
    <w:p w14:paraId="0300BB9C">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本科毕业生免试攻读研究生工作</w:t>
      </w:r>
    </w:p>
    <w:p w14:paraId="63722603">
      <w:pPr>
        <w:spacing w:line="560" w:lineRule="exact"/>
        <w:jc w:val="center"/>
        <w:rPr>
          <w:rFonts w:ascii="微软雅黑" w:eastAsia="微软雅黑"/>
          <w:b/>
          <w:sz w:val="44"/>
          <w:szCs w:val="44"/>
        </w:rPr>
      </w:pPr>
      <w:r>
        <w:rPr>
          <w:rFonts w:hint="eastAsia" w:ascii="方正小标宋简体" w:hAnsi="方正小标宋简体" w:eastAsia="方正小标宋简体" w:cs="方正小标宋简体"/>
          <w:b/>
          <w:sz w:val="44"/>
          <w:szCs w:val="44"/>
        </w:rPr>
        <w:t>实施办法》的通知</w:t>
      </w:r>
    </w:p>
    <w:p w14:paraId="22A7D4F9">
      <w:pPr>
        <w:spacing w:line="560" w:lineRule="exact"/>
        <w:jc w:val="left"/>
        <w:rPr>
          <w:rFonts w:ascii="仿宋_GB2312" w:eastAsia="仿宋_GB2312"/>
          <w:sz w:val="32"/>
          <w:szCs w:val="32"/>
        </w:rPr>
      </w:pPr>
    </w:p>
    <w:p w14:paraId="4FFBC282">
      <w:pPr>
        <w:spacing w:line="560" w:lineRule="exact"/>
        <w:jc w:val="left"/>
        <w:rPr>
          <w:rFonts w:ascii="仿宋_GB2312" w:eastAsia="仿宋_GB2312"/>
          <w:sz w:val="32"/>
          <w:szCs w:val="32"/>
        </w:rPr>
      </w:pPr>
      <w:r>
        <w:rPr>
          <w:rFonts w:hint="eastAsia" w:ascii="仿宋_GB2312" w:eastAsia="仿宋_GB2312"/>
          <w:sz w:val="32"/>
          <w:szCs w:val="32"/>
        </w:rPr>
        <w:t>各部门、各单位：</w:t>
      </w:r>
    </w:p>
    <w:p w14:paraId="33DA82E6">
      <w:pPr>
        <w:spacing w:line="560" w:lineRule="exact"/>
        <w:ind w:firstLine="640" w:firstLineChars="200"/>
        <w:jc w:val="both"/>
        <w:rPr>
          <w:rFonts w:ascii="仿宋_GB2312" w:eastAsia="仿宋_GB2312"/>
          <w:sz w:val="32"/>
          <w:szCs w:val="32"/>
        </w:rPr>
      </w:pPr>
      <w:r>
        <w:rPr>
          <w:rFonts w:hint="eastAsia" w:ascii="仿宋_GB2312" w:eastAsia="仿宋_GB2312"/>
          <w:sz w:val="32"/>
          <w:szCs w:val="32"/>
        </w:rPr>
        <w:t>《北京建筑大学推荐优秀应届本科毕业生免试攻读研究生工作实施办法》已经学校202</w:t>
      </w:r>
      <w:r>
        <w:rPr>
          <w:rFonts w:ascii="仿宋_GB2312" w:eastAsia="仿宋_GB2312"/>
          <w:sz w:val="32"/>
          <w:szCs w:val="32"/>
        </w:rPr>
        <w:t>5</w:t>
      </w:r>
      <w:r>
        <w:rPr>
          <w:rFonts w:hint="eastAsia" w:ascii="仿宋_GB2312" w:eastAsia="仿宋_GB2312"/>
          <w:sz w:val="32"/>
          <w:szCs w:val="32"/>
        </w:rPr>
        <w:t>年</w:t>
      </w:r>
      <w:r>
        <w:rPr>
          <w:rFonts w:hint="default" w:ascii="仿宋_GB2312" w:eastAsia="仿宋_GB2312"/>
          <w:sz w:val="32"/>
          <w:szCs w:val="32"/>
          <w:lang w:val="en-US"/>
        </w:rPr>
        <w:t>5</w:t>
      </w:r>
      <w:r>
        <w:rPr>
          <w:rFonts w:hint="eastAsia" w:ascii="仿宋_GB2312" w:eastAsia="仿宋_GB2312"/>
          <w:sz w:val="32"/>
          <w:szCs w:val="32"/>
        </w:rPr>
        <w:t>月</w:t>
      </w:r>
      <w:r>
        <w:rPr>
          <w:rFonts w:hint="default" w:ascii="仿宋_GB2312" w:eastAsia="仿宋_GB2312"/>
          <w:sz w:val="32"/>
          <w:szCs w:val="32"/>
          <w:lang w:val="en-US"/>
        </w:rPr>
        <w:t>29</w:t>
      </w:r>
      <w:r>
        <w:rPr>
          <w:rFonts w:hint="eastAsia" w:ascii="仿宋_GB2312" w:eastAsia="仿宋_GB2312"/>
          <w:sz w:val="32"/>
          <w:szCs w:val="32"/>
        </w:rPr>
        <w:t>日校长办公会</w:t>
      </w:r>
      <w:r>
        <w:rPr>
          <w:rFonts w:hint="eastAsia" w:ascii="仿宋_GB2312" w:eastAsia="仿宋_GB2312"/>
          <w:sz w:val="32"/>
          <w:szCs w:val="32"/>
          <w:lang w:val="en-US" w:eastAsia="zh-CN"/>
        </w:rPr>
        <w:t>审议</w:t>
      </w:r>
      <w:r>
        <w:rPr>
          <w:rFonts w:hint="eastAsia" w:ascii="仿宋_GB2312" w:eastAsia="仿宋_GB2312"/>
          <w:sz w:val="32"/>
          <w:szCs w:val="32"/>
        </w:rPr>
        <w:t>通过，现印发给你们，请结合实际认真贯彻落实。</w:t>
      </w:r>
    </w:p>
    <w:p w14:paraId="234DBBCE">
      <w:pPr>
        <w:spacing w:line="560" w:lineRule="exact"/>
        <w:jc w:val="left"/>
        <w:rPr>
          <w:rFonts w:ascii="仿宋_GB2312" w:eastAsia="仿宋_GB2312"/>
          <w:sz w:val="32"/>
          <w:szCs w:val="32"/>
        </w:rPr>
      </w:pPr>
    </w:p>
    <w:p w14:paraId="49FA4651">
      <w:pPr>
        <w:spacing w:line="560" w:lineRule="exact"/>
        <w:jc w:val="left"/>
        <w:rPr>
          <w:rFonts w:ascii="仿宋_GB2312" w:eastAsia="仿宋_GB2312"/>
          <w:sz w:val="32"/>
          <w:szCs w:val="32"/>
        </w:rPr>
      </w:pPr>
    </w:p>
    <w:p w14:paraId="59C70E8B">
      <w:pPr>
        <w:spacing w:line="560" w:lineRule="exact"/>
        <w:jc w:val="left"/>
        <w:rPr>
          <w:rFonts w:ascii="仿宋_GB2312" w:eastAsia="仿宋_GB2312"/>
          <w:sz w:val="32"/>
          <w:szCs w:val="32"/>
        </w:rPr>
      </w:pPr>
    </w:p>
    <w:p w14:paraId="144740A4">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 xml:space="preserve">                                  北京建筑大学</w:t>
      </w:r>
    </w:p>
    <w:p w14:paraId="3E5ABC66">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 xml:space="preserve">                                 20</w:t>
      </w:r>
      <w:r>
        <w:rPr>
          <w:rFonts w:ascii="仿宋_GB2312" w:eastAsia="仿宋_GB2312"/>
          <w:sz w:val="32"/>
          <w:szCs w:val="32"/>
        </w:rPr>
        <w:t>25</w:t>
      </w:r>
      <w:r>
        <w:rPr>
          <w:rFonts w:hint="eastAsia" w:ascii="仿宋_GB2312" w:eastAsia="仿宋_GB2312"/>
          <w:sz w:val="32"/>
          <w:szCs w:val="32"/>
        </w:rPr>
        <w:t>年</w:t>
      </w:r>
      <w:r>
        <w:rPr>
          <w:rFonts w:hint="default" w:ascii="仿宋_GB2312" w:eastAsia="仿宋_GB2312"/>
          <w:sz w:val="32"/>
          <w:szCs w:val="32"/>
          <w:lang w:val="en-US"/>
        </w:rPr>
        <w:t>5</w:t>
      </w:r>
      <w:r>
        <w:rPr>
          <w:rFonts w:hint="eastAsia" w:ascii="仿宋_GB2312" w:eastAsia="仿宋_GB2312"/>
          <w:sz w:val="32"/>
          <w:szCs w:val="32"/>
        </w:rPr>
        <w:t>月</w:t>
      </w:r>
      <w:r>
        <w:rPr>
          <w:rFonts w:hint="default" w:ascii="仿宋_GB2312" w:eastAsia="仿宋_GB2312"/>
          <w:sz w:val="32"/>
          <w:szCs w:val="32"/>
          <w:lang w:val="en-US"/>
        </w:rPr>
        <w:t>29</w:t>
      </w:r>
      <w:r>
        <w:rPr>
          <w:rFonts w:hint="eastAsia" w:ascii="仿宋_GB2312" w:eastAsia="仿宋_GB2312"/>
          <w:sz w:val="32"/>
          <w:szCs w:val="32"/>
        </w:rPr>
        <w:t>日</w:t>
      </w:r>
    </w:p>
    <w:p w14:paraId="61ED5577">
      <w:pPr>
        <w:spacing w:line="560" w:lineRule="exact"/>
        <w:ind w:firstLine="640" w:firstLineChars="200"/>
        <w:jc w:val="left"/>
        <w:rPr>
          <w:rFonts w:ascii="仿宋_GB2312" w:eastAsia="仿宋_GB2312"/>
          <w:sz w:val="32"/>
          <w:szCs w:val="32"/>
        </w:rPr>
      </w:pPr>
    </w:p>
    <w:p w14:paraId="5055A095">
      <w:pPr>
        <w:spacing w:line="560" w:lineRule="exact"/>
        <w:ind w:firstLine="640" w:firstLineChars="200"/>
        <w:jc w:val="left"/>
        <w:rPr>
          <w:rFonts w:ascii="仿宋_GB2312" w:eastAsia="仿宋_GB2312"/>
          <w:sz w:val="32"/>
          <w:szCs w:val="32"/>
        </w:rPr>
      </w:pPr>
    </w:p>
    <w:p w14:paraId="70CAC85F">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北京建筑大学推荐优秀应届本科毕业生免试</w:t>
      </w:r>
    </w:p>
    <w:p w14:paraId="7BC997CA">
      <w:pPr>
        <w:spacing w:line="560" w:lineRule="exact"/>
        <w:jc w:val="center"/>
        <w:rPr>
          <w:rFonts w:ascii="微软雅黑" w:eastAsia="微软雅黑"/>
          <w:b/>
          <w:sz w:val="44"/>
          <w:szCs w:val="44"/>
        </w:rPr>
      </w:pPr>
      <w:r>
        <w:rPr>
          <w:rFonts w:hint="eastAsia" w:ascii="方正小标宋简体" w:hAnsi="方正小标宋简体" w:eastAsia="方正小标宋简体" w:cs="方正小标宋简体"/>
          <w:b/>
          <w:sz w:val="44"/>
          <w:szCs w:val="44"/>
        </w:rPr>
        <w:t>攻读研究生工作实施办法</w:t>
      </w:r>
    </w:p>
    <w:p w14:paraId="74B72BEB">
      <w:pPr>
        <w:spacing w:line="560" w:lineRule="exact"/>
        <w:jc w:val="center"/>
        <w:rPr>
          <w:rFonts w:ascii="微软雅黑" w:eastAsia="微软雅黑"/>
          <w:b/>
          <w:sz w:val="44"/>
          <w:szCs w:val="44"/>
        </w:rPr>
      </w:pPr>
    </w:p>
    <w:p w14:paraId="1F0E305A">
      <w:pPr>
        <w:spacing w:line="560" w:lineRule="exact"/>
        <w:jc w:val="center"/>
        <w:rPr>
          <w:rFonts w:hint="eastAsia" w:ascii="黑体" w:hAnsi="黑体" w:eastAsia="黑体"/>
          <w:sz w:val="32"/>
          <w:szCs w:val="32"/>
        </w:rPr>
      </w:pPr>
      <w:r>
        <w:rPr>
          <w:rFonts w:hint="eastAsia" w:ascii="黑体" w:hAnsi="黑体" w:eastAsia="黑体"/>
          <w:sz w:val="32"/>
          <w:szCs w:val="32"/>
        </w:rPr>
        <w:t>第一章  总则</w:t>
      </w:r>
    </w:p>
    <w:p w14:paraId="1BBFD31E">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第一条  </w:t>
      </w:r>
      <w:r>
        <w:rPr>
          <w:rFonts w:hint="eastAsia" w:ascii="仿宋_GB2312" w:eastAsia="仿宋_GB2312"/>
          <w:sz w:val="32"/>
          <w:szCs w:val="32"/>
        </w:rPr>
        <w:t>为规范我校本科生推荐免试攻读研究生工作（以下简称“推免工作”），进一步促进我校高质量内涵发展，发挥高校人才培养的引领和示范效应，根据教育部《</w:t>
      </w:r>
      <w:bookmarkStart w:id="0" w:name="OLE_LINK2"/>
      <w:r>
        <w:rPr>
          <w:rFonts w:hint="eastAsia" w:ascii="仿宋_GB2312" w:eastAsia="仿宋_GB2312"/>
          <w:sz w:val="32"/>
          <w:szCs w:val="32"/>
        </w:rPr>
        <w:t>全国普通高等学校推荐优秀应届本科毕业生免试攻读硕士学位研究生工作管理办法</w:t>
      </w:r>
      <w:bookmarkEnd w:id="0"/>
      <w:r>
        <w:rPr>
          <w:rFonts w:hint="eastAsia" w:ascii="仿宋_GB2312" w:eastAsia="仿宋_GB2312"/>
          <w:sz w:val="32"/>
          <w:szCs w:val="32"/>
        </w:rPr>
        <w:t>（试行）》（教学〔2006〕14号）等文件要求，结合我校工作实际，制定本办法。</w:t>
      </w:r>
    </w:p>
    <w:p w14:paraId="7D8DC24E">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第二条  </w:t>
      </w:r>
      <w:r>
        <w:rPr>
          <w:rFonts w:hint="eastAsia" w:ascii="仿宋_GB2312" w:eastAsia="仿宋_GB2312"/>
          <w:sz w:val="32"/>
          <w:szCs w:val="32"/>
        </w:rPr>
        <w:t>免试是指本科生不参加全国研究生入学统一考试的初试，直接进入复试；推荐是指按照相关文件规定对我校优秀本科生进行遴选，审定后确认其免初试资格，并向招生单位推荐；应届本科毕业生是指当年推免阶段进入本科最后一学年学习的全日制在籍本科生。</w:t>
      </w:r>
    </w:p>
    <w:p w14:paraId="68CD4723">
      <w:pPr>
        <w:spacing w:line="560" w:lineRule="exact"/>
        <w:ind w:firstLine="640" w:firstLineChars="200"/>
        <w:rPr>
          <w:rFonts w:ascii="仿宋_GB2312" w:eastAsia="仿宋_GB2312"/>
          <w:sz w:val="32"/>
          <w:szCs w:val="32"/>
        </w:rPr>
      </w:pPr>
      <w:r>
        <w:rPr>
          <w:rFonts w:hint="eastAsia" w:ascii="黑体" w:hAnsi="黑体" w:eastAsia="黑体"/>
          <w:sz w:val="32"/>
          <w:szCs w:val="32"/>
        </w:rPr>
        <w:t>第三条</w:t>
      </w:r>
      <w:r>
        <w:rPr>
          <w:rFonts w:hint="eastAsia" w:ascii="仿宋_GB2312" w:eastAsia="仿宋_GB2312"/>
          <w:sz w:val="32"/>
          <w:szCs w:val="32"/>
        </w:rPr>
        <w:t xml:space="preserve">  为保证推免生选拔质量，坚持德、智、体、美、劳全面衡量，通过对学生思想政治、道德品质、学习成绩、科研能力和素质拓展情况的全面考察，选拔出综合素质高、创新能力强的优秀应届本科毕业生择优推荐。</w:t>
      </w:r>
    </w:p>
    <w:p w14:paraId="04B04A00">
      <w:pPr>
        <w:spacing w:line="560" w:lineRule="exact"/>
        <w:ind w:firstLine="640" w:firstLineChars="200"/>
        <w:rPr>
          <w:rFonts w:ascii="仿宋_GB2312" w:eastAsia="仿宋_GB2312"/>
          <w:sz w:val="32"/>
          <w:szCs w:val="32"/>
        </w:rPr>
      </w:pPr>
      <w:r>
        <w:rPr>
          <w:rFonts w:hint="eastAsia" w:ascii="黑体" w:hAnsi="黑体" w:eastAsia="黑体"/>
          <w:sz w:val="32"/>
          <w:szCs w:val="32"/>
        </w:rPr>
        <w:t>第四条</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我校具有博士学位和硕士学位授权的学位点招收优秀应届本科毕业推免生。获得推荐免试资格的优秀应届本科毕业生可以申请在我校直接攻读博士或</w:t>
      </w:r>
      <w:r>
        <w:rPr>
          <w:rFonts w:ascii="仿宋_GB2312" w:eastAsia="仿宋_GB2312"/>
          <w:sz w:val="32"/>
          <w:szCs w:val="32"/>
        </w:rPr>
        <w:t>硕士</w:t>
      </w:r>
      <w:r>
        <w:rPr>
          <w:rFonts w:hint="eastAsia" w:ascii="仿宋_GB2312" w:eastAsia="仿宋_GB2312"/>
          <w:sz w:val="32"/>
          <w:szCs w:val="32"/>
        </w:rPr>
        <w:t>学位，具体招生学位点、名额及流程按照学校研究生院当年招生录取文件执行。</w:t>
      </w:r>
    </w:p>
    <w:p w14:paraId="0D9971B6">
      <w:pPr>
        <w:spacing w:line="560" w:lineRule="exact"/>
        <w:ind w:firstLine="640" w:firstLineChars="200"/>
        <w:rPr>
          <w:rFonts w:ascii="仿宋_GB2312" w:eastAsia="仿宋_GB2312"/>
          <w:sz w:val="32"/>
          <w:szCs w:val="32"/>
        </w:rPr>
      </w:pPr>
      <w:r>
        <w:rPr>
          <w:rFonts w:hint="eastAsia" w:ascii="黑体" w:hAnsi="黑体" w:eastAsia="黑体"/>
          <w:sz w:val="32"/>
          <w:szCs w:val="32"/>
        </w:rPr>
        <w:t>第五条</w:t>
      </w:r>
      <w:r>
        <w:rPr>
          <w:rFonts w:hint="eastAsia" w:ascii="仿宋_GB2312" w:eastAsia="仿宋_GB2312"/>
          <w:sz w:val="32"/>
          <w:szCs w:val="32"/>
        </w:rPr>
        <w:t xml:space="preserve">  坚持公正、公平、公开的原则，接受广大师生的监督。</w:t>
      </w:r>
    </w:p>
    <w:p w14:paraId="76A6D14A">
      <w:pPr>
        <w:spacing w:line="560" w:lineRule="exact"/>
        <w:jc w:val="center"/>
        <w:rPr>
          <w:rFonts w:hint="eastAsia" w:ascii="黑体" w:hAnsi="黑体" w:eastAsia="黑体"/>
          <w:sz w:val="32"/>
          <w:szCs w:val="32"/>
        </w:rPr>
      </w:pPr>
      <w:r>
        <w:rPr>
          <w:rFonts w:hint="eastAsia" w:ascii="黑体" w:hAnsi="黑体" w:eastAsia="黑体"/>
          <w:sz w:val="32"/>
          <w:szCs w:val="32"/>
        </w:rPr>
        <w:t>第二章  组织管理</w:t>
      </w:r>
    </w:p>
    <w:p w14:paraId="560AE58D">
      <w:pPr>
        <w:spacing w:line="560" w:lineRule="exact"/>
        <w:ind w:firstLine="640" w:firstLineChars="200"/>
        <w:rPr>
          <w:rFonts w:ascii="仿宋_GB2312" w:eastAsia="仿宋_GB2312"/>
          <w:sz w:val="32"/>
          <w:szCs w:val="32"/>
        </w:rPr>
      </w:pPr>
      <w:r>
        <w:rPr>
          <w:rFonts w:hint="eastAsia" w:ascii="黑体" w:hAnsi="黑体" w:eastAsia="黑体"/>
          <w:sz w:val="32"/>
          <w:szCs w:val="32"/>
        </w:rPr>
        <w:t>第六条</w:t>
      </w:r>
      <w:r>
        <w:rPr>
          <w:rFonts w:hint="eastAsia" w:ascii="仿宋_GB2312" w:eastAsia="仿宋_GB2312"/>
          <w:sz w:val="32"/>
          <w:szCs w:val="32"/>
        </w:rPr>
        <w:t xml:space="preserve">  学校成立推免工作领导小组，由主管本科教育、学生工作</w:t>
      </w:r>
      <w:r>
        <w:rPr>
          <w:rFonts w:ascii="仿宋_GB2312" w:eastAsia="仿宋_GB2312"/>
          <w:sz w:val="32"/>
          <w:szCs w:val="32"/>
        </w:rPr>
        <w:t>校领导</w:t>
      </w:r>
      <w:r>
        <w:rPr>
          <w:rFonts w:hint="eastAsia" w:ascii="仿宋_GB2312" w:eastAsia="仿宋_GB2312"/>
          <w:sz w:val="32"/>
          <w:szCs w:val="32"/>
        </w:rPr>
        <w:t>任组长，教务处负责人任副组长，研究生院、学生工作部（处）、校团委、纪检监察办公室负责人为组员；成立由教务处牵头，教务处、研究生院、学生工作部（处）、校团委、科学技术发展研究院、纪检监察办公室等部门参加的工作小组，统筹领导和协调推免工作。推免日常工作由教务处归口负责。</w:t>
      </w:r>
    </w:p>
    <w:p w14:paraId="4AFAC05F">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第七条</w:t>
      </w:r>
      <w:r>
        <w:rPr>
          <w:rFonts w:hint="eastAsia" w:ascii="仿宋_GB2312" w:eastAsia="仿宋_GB2312"/>
          <w:sz w:val="32"/>
          <w:szCs w:val="32"/>
        </w:rPr>
        <w:t xml:space="preserve">  学院成立推免工作小组，由学院院长任组长，分管本科教学工作副院长、分管研究生工作副院长、分管学生工作党委副书记、系（教研室）主任为组员，一般由5～7人组成。</w:t>
      </w:r>
    </w:p>
    <w:p w14:paraId="526D6BAB">
      <w:pPr>
        <w:spacing w:line="560" w:lineRule="exact"/>
        <w:jc w:val="center"/>
        <w:rPr>
          <w:rFonts w:hint="eastAsia" w:ascii="黑体" w:hAnsi="黑体" w:eastAsia="黑体"/>
          <w:sz w:val="32"/>
          <w:szCs w:val="32"/>
        </w:rPr>
      </w:pPr>
      <w:r>
        <w:rPr>
          <w:rFonts w:hint="eastAsia" w:ascii="黑体" w:hAnsi="黑体" w:eastAsia="黑体"/>
          <w:sz w:val="32"/>
          <w:szCs w:val="32"/>
        </w:rPr>
        <w:t>第三章  申请资格</w:t>
      </w:r>
    </w:p>
    <w:p w14:paraId="140B9561">
      <w:pPr>
        <w:spacing w:line="560" w:lineRule="exact"/>
        <w:ind w:firstLine="640" w:firstLineChars="200"/>
        <w:rPr>
          <w:rFonts w:ascii="仿宋_GB2312" w:eastAsia="仿宋_GB2312"/>
          <w:sz w:val="32"/>
          <w:szCs w:val="32"/>
        </w:rPr>
      </w:pPr>
      <w:r>
        <w:rPr>
          <w:rFonts w:hint="eastAsia" w:ascii="黑体" w:hAnsi="黑体" w:eastAsia="黑体"/>
          <w:sz w:val="32"/>
          <w:szCs w:val="32"/>
        </w:rPr>
        <w:t>第八条</w:t>
      </w:r>
      <w:r>
        <w:rPr>
          <w:rFonts w:hint="eastAsia" w:ascii="仿宋_GB2312" w:eastAsia="仿宋_GB2312"/>
          <w:sz w:val="32"/>
          <w:szCs w:val="32"/>
        </w:rPr>
        <w:t xml:space="preserve">  普通类推免，须具备下列基本条件：</w:t>
      </w:r>
    </w:p>
    <w:p w14:paraId="539FC38E">
      <w:pPr>
        <w:numPr>
          <w:ilvl w:val="0"/>
          <w:numId w:val="1"/>
        </w:numPr>
        <w:spacing w:line="560" w:lineRule="exact"/>
        <w:ind w:firstLine="640" w:firstLineChars="200"/>
        <w:rPr>
          <w:rFonts w:ascii="仿宋_GB2312" w:eastAsia="仿宋_GB2312"/>
          <w:sz w:val="32"/>
          <w:szCs w:val="32"/>
        </w:rPr>
      </w:pPr>
      <w:r>
        <w:rPr>
          <w:rFonts w:hint="eastAsia" w:ascii="仿宋_GB2312" w:eastAsia="仿宋_GB2312"/>
          <w:sz w:val="32"/>
          <w:szCs w:val="32"/>
        </w:rPr>
        <w:t>全日制本科应届毕业生，不包括专升本、第二学位学生及国际学生。</w:t>
      </w:r>
    </w:p>
    <w:p w14:paraId="7C00A4D1">
      <w:pPr>
        <w:numPr>
          <w:ilvl w:val="0"/>
          <w:numId w:val="1"/>
        </w:numPr>
        <w:spacing w:line="560" w:lineRule="exact"/>
        <w:ind w:firstLine="640" w:firstLineChars="200"/>
        <w:rPr>
          <w:rFonts w:ascii="仿宋_GB2312" w:eastAsia="仿宋_GB2312"/>
          <w:sz w:val="32"/>
          <w:szCs w:val="32"/>
        </w:rPr>
      </w:pPr>
      <w:r>
        <w:rPr>
          <w:rFonts w:hint="eastAsia" w:ascii="仿宋_GB2312" w:eastAsia="仿宋_GB2312"/>
          <w:sz w:val="32"/>
          <w:szCs w:val="32"/>
        </w:rPr>
        <w:t>具备良好的思想政治素质，热爱祖国，拥护党的路线方针政策，具有社会责任感和历史使命感，品行端正，在校期间无任何违法违纪受处分记录。</w:t>
      </w:r>
    </w:p>
    <w:p w14:paraId="5749789F">
      <w:pPr>
        <w:numPr>
          <w:ilvl w:val="0"/>
          <w:numId w:val="1"/>
        </w:numPr>
        <w:spacing w:line="560" w:lineRule="exact"/>
        <w:ind w:firstLine="640" w:firstLineChars="200"/>
        <w:rPr>
          <w:rFonts w:ascii="仿宋_GB2312" w:eastAsia="仿宋_GB2312"/>
          <w:sz w:val="32"/>
          <w:szCs w:val="32"/>
        </w:rPr>
      </w:pPr>
      <w:r>
        <w:rPr>
          <w:rFonts w:hint="eastAsia" w:ascii="仿宋_GB2312" w:eastAsia="仿宋_GB2312"/>
          <w:sz w:val="32"/>
          <w:szCs w:val="32"/>
        </w:rPr>
        <w:t>具备健康的身体素质，能够胜任学业，学术研究兴趣浓厚，具有较强的创新意识、创新能力、实践能力和专业能力，因病休学的学生康复返校之前不能申请推免。</w:t>
      </w:r>
    </w:p>
    <w:p w14:paraId="63F4256C">
      <w:pPr>
        <w:numPr>
          <w:ilvl w:val="0"/>
          <w:numId w:val="1"/>
        </w:numPr>
        <w:spacing w:line="560" w:lineRule="exact"/>
        <w:ind w:firstLine="640" w:firstLineChars="200"/>
        <w:rPr>
          <w:rFonts w:ascii="仿宋_GB2312" w:eastAsia="仿宋_GB2312"/>
          <w:sz w:val="32"/>
          <w:szCs w:val="32"/>
        </w:rPr>
      </w:pPr>
      <w:r>
        <w:rPr>
          <w:rFonts w:hint="eastAsia" w:ascii="仿宋_GB2312" w:eastAsia="仿宋_GB2312"/>
          <w:sz w:val="32"/>
          <w:szCs w:val="32"/>
        </w:rPr>
        <w:t>已经取得的学分满足所学专业培养方案进度要求，前三学年（五年制前四学年）已修读必修课课程成绩专业排名前</w:t>
      </w:r>
      <w:r>
        <w:rPr>
          <w:rFonts w:ascii="仿宋_GB2312" w:eastAsia="仿宋_GB2312"/>
          <w:sz w:val="32"/>
          <w:szCs w:val="32"/>
        </w:rPr>
        <w:t>30%</w:t>
      </w:r>
      <w:r>
        <w:rPr>
          <w:rFonts w:hint="eastAsia" w:ascii="仿宋_GB2312" w:eastAsia="仿宋_GB2312"/>
          <w:sz w:val="32"/>
          <w:szCs w:val="32"/>
        </w:rPr>
        <w:t>，各门课程无不及格门次。</w:t>
      </w:r>
    </w:p>
    <w:p w14:paraId="39875C00">
      <w:pPr>
        <w:numPr>
          <w:ilvl w:val="0"/>
          <w:numId w:val="1"/>
        </w:numPr>
        <w:spacing w:line="560" w:lineRule="exact"/>
        <w:ind w:firstLine="640" w:firstLineChars="200"/>
        <w:rPr>
          <w:rFonts w:ascii="仿宋_GB2312" w:eastAsia="仿宋_GB2312"/>
          <w:sz w:val="32"/>
          <w:szCs w:val="32"/>
        </w:rPr>
      </w:pPr>
      <w:r>
        <w:rPr>
          <w:rFonts w:hint="eastAsia" w:ascii="仿宋_GB2312" w:eastAsia="仿宋_GB2312"/>
          <w:sz w:val="32"/>
          <w:szCs w:val="32"/>
        </w:rPr>
        <w:t>英语水平达到</w:t>
      </w:r>
      <w:r>
        <w:rPr>
          <w:rFonts w:hint="eastAsia" w:ascii="仿宋_GB2312" w:hAnsi="宋体" w:eastAsia="仿宋_GB2312" w:cs="黑体"/>
          <w:kern w:val="0"/>
          <w:sz w:val="32"/>
          <w:szCs w:val="32"/>
          <w:lang w:bidi="ar"/>
        </w:rPr>
        <w:t>国家大学英语四级考试425分及以上</w:t>
      </w:r>
      <w:r>
        <w:rPr>
          <w:rFonts w:hint="eastAsia" w:ascii="仿宋_GB2312" w:eastAsia="仿宋_GB2312"/>
          <w:sz w:val="32"/>
          <w:szCs w:val="32"/>
        </w:rPr>
        <w:t>（以申请推免资格前获得的最高成绩为准）。</w:t>
      </w:r>
    </w:p>
    <w:p w14:paraId="552C56A3">
      <w:pPr>
        <w:spacing w:line="560" w:lineRule="exact"/>
        <w:ind w:firstLine="640" w:firstLineChars="200"/>
        <w:rPr>
          <w:rFonts w:hint="eastAsia" w:ascii="仿宋_GB2312" w:hAnsi="黑体" w:eastAsia="仿宋_GB2312"/>
          <w:sz w:val="32"/>
          <w:szCs w:val="32"/>
        </w:rPr>
      </w:pPr>
      <w:r>
        <w:rPr>
          <w:rFonts w:hint="eastAsia" w:ascii="黑体" w:hAnsi="黑体" w:eastAsia="黑体"/>
          <w:sz w:val="32"/>
          <w:szCs w:val="32"/>
        </w:rPr>
        <w:t xml:space="preserve">第九条  </w:t>
      </w:r>
      <w:r>
        <w:rPr>
          <w:rFonts w:hint="eastAsia" w:ascii="仿宋_GB2312" w:hAnsi="黑体" w:eastAsia="仿宋_GB2312"/>
          <w:sz w:val="32"/>
          <w:szCs w:val="32"/>
        </w:rPr>
        <w:t>学生工作类推免的相关安排以学生工作部（处）发布的通知为准。</w:t>
      </w:r>
    </w:p>
    <w:p w14:paraId="1389D0DF">
      <w:pPr>
        <w:spacing w:line="560" w:lineRule="exact"/>
        <w:jc w:val="center"/>
        <w:rPr>
          <w:rFonts w:hint="eastAsia" w:ascii="黑体" w:hAnsi="黑体" w:eastAsia="黑体"/>
          <w:sz w:val="32"/>
          <w:szCs w:val="32"/>
        </w:rPr>
      </w:pPr>
      <w:r>
        <w:rPr>
          <w:rFonts w:hint="eastAsia" w:ascii="黑体" w:hAnsi="黑体" w:eastAsia="黑体"/>
          <w:sz w:val="32"/>
          <w:szCs w:val="32"/>
        </w:rPr>
        <w:t>第四章  名额分配</w:t>
      </w:r>
    </w:p>
    <w:p w14:paraId="4490D158">
      <w:pPr>
        <w:spacing w:line="560" w:lineRule="exact"/>
        <w:ind w:firstLine="640" w:firstLineChars="200"/>
        <w:rPr>
          <w:rFonts w:ascii="仿宋_GB2312" w:eastAsia="仿宋_GB2312"/>
          <w:sz w:val="32"/>
          <w:szCs w:val="32"/>
        </w:rPr>
      </w:pPr>
      <w:r>
        <w:rPr>
          <w:rFonts w:hint="eastAsia" w:ascii="黑体" w:hAnsi="黑体" w:eastAsia="黑体"/>
          <w:sz w:val="32"/>
          <w:szCs w:val="32"/>
        </w:rPr>
        <w:t>第十条</w:t>
      </w:r>
      <w:r>
        <w:rPr>
          <w:rFonts w:hint="eastAsia" w:ascii="仿宋_GB2312" w:eastAsia="仿宋_GB2312"/>
          <w:sz w:val="32"/>
          <w:szCs w:val="32"/>
        </w:rPr>
        <w:t xml:space="preserve">  推免工作一般安排在学生毕业学年第一学期进行，推荐名额由教育部下达至我校，不区分学术学位和专业学位，不设置推免生报考本校限额。</w:t>
      </w:r>
    </w:p>
    <w:p w14:paraId="617B00D3">
      <w:pPr>
        <w:spacing w:line="560" w:lineRule="exact"/>
        <w:ind w:firstLine="640" w:firstLineChars="200"/>
        <w:rPr>
          <w:rFonts w:ascii="仿宋_GB2312" w:eastAsia="仿宋_GB2312"/>
          <w:sz w:val="32"/>
          <w:szCs w:val="32"/>
        </w:rPr>
      </w:pPr>
      <w:r>
        <w:rPr>
          <w:rFonts w:hint="eastAsia" w:ascii="黑体" w:hAnsi="黑体" w:eastAsia="黑体"/>
          <w:sz w:val="32"/>
          <w:szCs w:val="32"/>
        </w:rPr>
        <w:t>第十一条</w:t>
      </w:r>
      <w:r>
        <w:rPr>
          <w:rFonts w:hint="eastAsia" w:ascii="仿宋_GB2312" w:eastAsia="仿宋_GB2312"/>
          <w:sz w:val="32"/>
          <w:szCs w:val="32"/>
        </w:rPr>
        <w:t xml:space="preserve">  学校综合考虑以下因素进行推免名额分配：</w:t>
      </w:r>
    </w:p>
    <w:p w14:paraId="7DCBA297">
      <w:pPr>
        <w:numPr>
          <w:ilvl w:val="0"/>
          <w:numId w:val="2"/>
        </w:numPr>
        <w:spacing w:line="560" w:lineRule="exact"/>
        <w:ind w:firstLine="640" w:firstLineChars="200"/>
        <w:rPr>
          <w:rFonts w:ascii="仿宋_GB2312" w:eastAsia="仿宋_GB2312"/>
          <w:sz w:val="32"/>
          <w:szCs w:val="32"/>
        </w:rPr>
      </w:pPr>
      <w:r>
        <w:rPr>
          <w:rFonts w:hint="eastAsia" w:ascii="仿宋_GB2312" w:eastAsia="仿宋_GB2312"/>
          <w:sz w:val="32"/>
          <w:szCs w:val="32"/>
        </w:rPr>
        <w:t>全日制本科应届毕业生的规模，不含专升本学生、第二学位学生及国际学生</w:t>
      </w:r>
      <w:r>
        <w:rPr>
          <w:rFonts w:hint="eastAsia" w:ascii="仿宋_GB2312" w:eastAsia="仿宋_GB2312"/>
          <w:sz w:val="32"/>
          <w:szCs w:val="32"/>
          <w:lang w:eastAsia="zh-CN"/>
        </w:rPr>
        <w:t>。</w:t>
      </w:r>
    </w:p>
    <w:p w14:paraId="150998FF">
      <w:pPr>
        <w:numPr>
          <w:ilvl w:val="0"/>
          <w:numId w:val="2"/>
        </w:numPr>
        <w:spacing w:line="560" w:lineRule="exact"/>
        <w:ind w:firstLine="640" w:firstLineChars="200"/>
        <w:rPr>
          <w:rFonts w:ascii="仿宋_GB2312" w:eastAsia="仿宋_GB2312"/>
          <w:sz w:val="32"/>
          <w:szCs w:val="32"/>
        </w:rPr>
      </w:pPr>
      <w:r>
        <w:rPr>
          <w:rFonts w:hint="eastAsia" w:ascii="仿宋_GB2312" w:eastAsia="仿宋_GB2312"/>
          <w:sz w:val="32"/>
          <w:szCs w:val="32"/>
        </w:rPr>
        <w:t>上一年度推免指标完成情况</w:t>
      </w:r>
      <w:r>
        <w:rPr>
          <w:rFonts w:hint="eastAsia" w:ascii="仿宋_GB2312" w:eastAsia="仿宋_GB2312"/>
          <w:sz w:val="32"/>
          <w:szCs w:val="32"/>
          <w:lang w:eastAsia="zh-CN"/>
        </w:rPr>
        <w:t>。</w:t>
      </w:r>
    </w:p>
    <w:p w14:paraId="42B0483D">
      <w:pPr>
        <w:numPr>
          <w:ilvl w:val="0"/>
          <w:numId w:val="2"/>
        </w:numPr>
        <w:spacing w:line="560" w:lineRule="exact"/>
        <w:ind w:firstLine="640" w:firstLineChars="200"/>
        <w:rPr>
          <w:rFonts w:ascii="仿宋_GB2312" w:eastAsia="仿宋_GB2312"/>
          <w:sz w:val="32"/>
          <w:szCs w:val="32"/>
        </w:rPr>
      </w:pPr>
      <w:r>
        <w:rPr>
          <w:rFonts w:hint="eastAsia" w:ascii="仿宋_GB2312" w:eastAsia="仿宋_GB2312"/>
          <w:sz w:val="32"/>
          <w:szCs w:val="32"/>
        </w:rPr>
        <w:t>各学院近三年毕业生境内考研录取率和境外升学率</w:t>
      </w:r>
      <w:r>
        <w:rPr>
          <w:rFonts w:hint="eastAsia" w:ascii="仿宋_GB2312" w:eastAsia="仿宋_GB2312"/>
          <w:sz w:val="32"/>
          <w:szCs w:val="32"/>
          <w:lang w:eastAsia="zh-CN"/>
        </w:rPr>
        <w:t>。</w:t>
      </w:r>
    </w:p>
    <w:p w14:paraId="2DFD6862">
      <w:pPr>
        <w:numPr>
          <w:ilvl w:val="255"/>
          <w:numId w:val="0"/>
        </w:numPr>
        <w:spacing w:line="560" w:lineRule="exact"/>
        <w:ind w:firstLine="640"/>
        <w:rPr>
          <w:rFonts w:ascii="仿宋_GB2312" w:eastAsia="仿宋_GB2312"/>
          <w:sz w:val="32"/>
          <w:szCs w:val="32"/>
        </w:rPr>
      </w:pPr>
      <w:r>
        <w:rPr>
          <w:rFonts w:hint="eastAsia" w:ascii="仿宋_GB2312" w:eastAsia="仿宋_GB2312"/>
          <w:sz w:val="32"/>
          <w:szCs w:val="32"/>
        </w:rPr>
        <w:t>由各学院确定各专业名额分配。</w:t>
      </w:r>
      <w:bookmarkStart w:id="1" w:name="_GoBack"/>
      <w:bookmarkEnd w:id="1"/>
    </w:p>
    <w:p w14:paraId="4A7F3B0F">
      <w:pPr>
        <w:numPr>
          <w:ilvl w:val="255"/>
          <w:numId w:val="0"/>
        </w:numPr>
        <w:spacing w:line="560" w:lineRule="exact"/>
        <w:ind w:firstLine="640"/>
        <w:rPr>
          <w:rFonts w:ascii="仿宋_GB2312" w:eastAsia="仿宋_GB2312"/>
          <w:sz w:val="32"/>
          <w:szCs w:val="32"/>
        </w:rPr>
      </w:pPr>
      <w:r>
        <w:rPr>
          <w:rFonts w:hint="eastAsia" w:ascii="仿宋_GB2312" w:eastAsia="仿宋_GB2312"/>
          <w:sz w:val="32"/>
          <w:szCs w:val="32"/>
        </w:rPr>
        <w:t>如存在下达名额超出实际需要情形的，超出名额由学校推免工作领导小组统筹。</w:t>
      </w:r>
    </w:p>
    <w:p w14:paraId="584402F3">
      <w:pPr>
        <w:numPr>
          <w:ilvl w:val="255"/>
          <w:numId w:val="0"/>
        </w:numPr>
        <w:spacing w:line="560" w:lineRule="exact"/>
        <w:ind w:firstLine="640" w:firstLineChars="200"/>
        <w:rPr>
          <w:rFonts w:ascii="仿宋_GB2312" w:eastAsia="仿宋_GB2312"/>
          <w:sz w:val="32"/>
          <w:szCs w:val="32"/>
        </w:rPr>
      </w:pPr>
      <w:r>
        <w:rPr>
          <w:rFonts w:hint="eastAsia" w:ascii="黑体" w:hAnsi="黑体" w:eastAsia="黑体"/>
          <w:sz w:val="32"/>
          <w:szCs w:val="32"/>
        </w:rPr>
        <w:t>第十二条</w:t>
      </w:r>
      <w:r>
        <w:rPr>
          <w:rFonts w:hint="eastAsia" w:ascii="仿宋_GB2312" w:eastAsia="仿宋_GB2312"/>
          <w:sz w:val="32"/>
          <w:szCs w:val="32"/>
        </w:rPr>
        <w:t xml:space="preserve">  对于上年度出现学生放弃推免名额的学院，将等额减少本年度推免名额。</w:t>
      </w:r>
    </w:p>
    <w:p w14:paraId="62457551">
      <w:pPr>
        <w:spacing w:line="560" w:lineRule="exact"/>
        <w:jc w:val="center"/>
        <w:rPr>
          <w:rFonts w:hint="eastAsia" w:ascii="黑体" w:hAnsi="黑体" w:eastAsia="黑体"/>
          <w:sz w:val="32"/>
          <w:szCs w:val="32"/>
        </w:rPr>
      </w:pPr>
      <w:r>
        <w:rPr>
          <w:rFonts w:hint="eastAsia" w:ascii="黑体" w:hAnsi="黑体" w:eastAsia="黑体"/>
          <w:sz w:val="32"/>
          <w:szCs w:val="32"/>
        </w:rPr>
        <w:t>第五章  测评原则</w:t>
      </w:r>
    </w:p>
    <w:p w14:paraId="009FF6E0">
      <w:pPr>
        <w:spacing w:line="560" w:lineRule="exact"/>
        <w:ind w:firstLine="640" w:firstLineChars="200"/>
        <w:rPr>
          <w:rFonts w:ascii="仿宋_GB2312" w:eastAsia="仿宋_GB2312"/>
          <w:sz w:val="32"/>
          <w:szCs w:val="32"/>
        </w:rPr>
      </w:pPr>
      <w:r>
        <w:rPr>
          <w:rFonts w:hint="eastAsia" w:ascii="黑体" w:hAnsi="黑体" w:eastAsia="黑体"/>
          <w:sz w:val="32"/>
          <w:szCs w:val="32"/>
        </w:rPr>
        <w:t>第十三条</w:t>
      </w:r>
      <w:r>
        <w:rPr>
          <w:rFonts w:hint="eastAsia" w:ascii="仿宋_GB2312" w:eastAsia="仿宋_GB2312"/>
          <w:sz w:val="32"/>
          <w:szCs w:val="32"/>
        </w:rPr>
        <w:t xml:space="preserve">  在具备申请资格的条件下，普通类推免生的综合测评成绩为平均学分绩×90%+综合素质奖励分（满分≤10分），综合素质奖励分重点考查学术研究、学科竞赛、科技创新、发明创造等情况，具体计算办法见附件；学生工作类推免生的综合测评成绩以</w:t>
      </w:r>
      <w:r>
        <w:rPr>
          <w:rFonts w:hint="eastAsia" w:ascii="仿宋_GB2312" w:hAnsi="黑体" w:eastAsia="仿宋_GB2312"/>
          <w:sz w:val="32"/>
          <w:szCs w:val="32"/>
        </w:rPr>
        <w:t>学生工作部（处）发布的通知为准。</w:t>
      </w:r>
    </w:p>
    <w:p w14:paraId="392D4CB4">
      <w:pPr>
        <w:spacing w:line="560" w:lineRule="exact"/>
        <w:ind w:firstLine="640" w:firstLineChars="200"/>
        <w:rPr>
          <w:rFonts w:ascii="仿宋_GB2312" w:eastAsia="仿宋_GB2312"/>
          <w:sz w:val="32"/>
          <w:szCs w:val="32"/>
        </w:rPr>
      </w:pPr>
      <w:r>
        <w:rPr>
          <w:rFonts w:hint="eastAsia" w:ascii="黑体" w:hAnsi="黑体" w:eastAsia="黑体"/>
          <w:sz w:val="32"/>
          <w:szCs w:val="32"/>
        </w:rPr>
        <w:t>第十四条</w:t>
      </w:r>
      <w:r>
        <w:rPr>
          <w:rFonts w:hint="eastAsia" w:ascii="仿宋_GB2312" w:eastAsia="仿宋_GB2312"/>
          <w:sz w:val="32"/>
          <w:szCs w:val="32"/>
        </w:rPr>
        <w:t xml:space="preserve">  综合测评成绩计算以培养方案中规定的必修课程为依据，按照加权平均成绩进行统计，课程成绩均以第一次正考的成绩计算。</w:t>
      </w:r>
    </w:p>
    <w:p w14:paraId="4EA76589">
      <w:pPr>
        <w:spacing w:line="560" w:lineRule="exact"/>
        <w:ind w:firstLine="640" w:firstLineChars="200"/>
        <w:rPr>
          <w:rFonts w:ascii="仿宋_GB2312" w:eastAsia="仿宋_GB2312"/>
          <w:sz w:val="32"/>
          <w:szCs w:val="32"/>
        </w:rPr>
      </w:pPr>
      <w:r>
        <w:rPr>
          <w:rFonts w:hint="eastAsia" w:ascii="黑体" w:hAnsi="黑体" w:eastAsia="黑体"/>
          <w:sz w:val="32"/>
          <w:szCs w:val="32"/>
        </w:rPr>
        <w:t>第十五条</w:t>
      </w:r>
      <w:r>
        <w:rPr>
          <w:rFonts w:hint="eastAsia" w:ascii="仿宋_GB2312" w:eastAsia="仿宋_GB2312"/>
          <w:sz w:val="32"/>
          <w:szCs w:val="32"/>
        </w:rPr>
        <w:t xml:space="preserve">  学科竞赛项目类别中的A、B类以学校公布的《北京建筑大学大学生学科竞赛目录》为准，名录由校团委联合各二级学院于每年12月商定更新，用于下一年度推免工作学科竞赛的认定依据。</w:t>
      </w:r>
    </w:p>
    <w:p w14:paraId="443A82B3">
      <w:pPr>
        <w:spacing w:line="560" w:lineRule="exact"/>
        <w:ind w:firstLine="640" w:firstLineChars="200"/>
        <w:rPr>
          <w:rFonts w:ascii="仿宋_GB2312" w:eastAsia="仿宋_GB2312"/>
          <w:sz w:val="32"/>
          <w:szCs w:val="32"/>
        </w:rPr>
      </w:pPr>
      <w:r>
        <w:rPr>
          <w:rFonts w:hint="eastAsia" w:ascii="黑体" w:hAnsi="黑体" w:eastAsia="黑体"/>
          <w:sz w:val="32"/>
          <w:szCs w:val="32"/>
        </w:rPr>
        <w:t>第十六条</w:t>
      </w:r>
      <w:r>
        <w:rPr>
          <w:rFonts w:hint="eastAsia" w:ascii="仿宋_GB2312" w:eastAsia="仿宋_GB2312"/>
          <w:sz w:val="32"/>
          <w:szCs w:val="32"/>
        </w:rPr>
        <w:t xml:space="preserve">  公开发表的论文要求申请人本人为第一作者，或本校师生为第一作者，申请人本人为第二作者，署名单位为北京建筑大学，内容要与所学专业相关，论文必须在推免当年8月31日前正式见刊或被检索到，否则不予承认。公开发表论文的奖励分计算方法见附件。</w:t>
      </w:r>
    </w:p>
    <w:p w14:paraId="0F0EDAB0">
      <w:pPr>
        <w:spacing w:line="560" w:lineRule="exact"/>
        <w:ind w:firstLine="640" w:firstLineChars="200"/>
        <w:rPr>
          <w:rFonts w:ascii="仿宋_GB2312" w:eastAsia="仿宋_GB2312"/>
          <w:sz w:val="32"/>
          <w:szCs w:val="32"/>
        </w:rPr>
      </w:pPr>
      <w:r>
        <w:rPr>
          <w:rFonts w:hint="eastAsia" w:ascii="黑体" w:hAnsi="黑体" w:eastAsia="黑体"/>
          <w:sz w:val="32"/>
          <w:szCs w:val="32"/>
        </w:rPr>
        <w:t>第十七条</w:t>
      </w:r>
      <w:r>
        <w:rPr>
          <w:rFonts w:hint="eastAsia" w:ascii="仿宋_GB2312" w:eastAsia="仿宋_GB2312"/>
          <w:sz w:val="32"/>
          <w:szCs w:val="32"/>
        </w:rPr>
        <w:t xml:space="preserve">  专利或软件著作权必须已获得授权，处于受理阶段的专利和软件著作权不予承认。专利和软件著作权的奖励分计算方法见附件。</w:t>
      </w:r>
    </w:p>
    <w:p w14:paraId="32FD0D0B">
      <w:pPr>
        <w:spacing w:line="560" w:lineRule="exact"/>
        <w:jc w:val="center"/>
        <w:rPr>
          <w:rFonts w:ascii="仿宋_GB2312" w:eastAsia="黑体"/>
          <w:sz w:val="32"/>
          <w:szCs w:val="32"/>
        </w:rPr>
      </w:pPr>
      <w:r>
        <w:rPr>
          <w:rFonts w:hint="eastAsia" w:ascii="黑体" w:hAnsi="黑体" w:eastAsia="黑体"/>
          <w:sz w:val="32"/>
          <w:szCs w:val="32"/>
        </w:rPr>
        <w:t>第六章  推免程序</w:t>
      </w:r>
    </w:p>
    <w:p w14:paraId="63713EC1">
      <w:pPr>
        <w:spacing w:line="560" w:lineRule="exact"/>
        <w:ind w:firstLine="640" w:firstLineChars="200"/>
        <w:rPr>
          <w:rFonts w:ascii="仿宋_GB2312" w:eastAsia="仿宋_GB2312"/>
          <w:sz w:val="32"/>
          <w:szCs w:val="32"/>
        </w:rPr>
      </w:pPr>
      <w:r>
        <w:rPr>
          <w:rFonts w:hint="eastAsia" w:ascii="黑体" w:hAnsi="黑体" w:eastAsia="黑体"/>
          <w:sz w:val="32"/>
          <w:szCs w:val="32"/>
        </w:rPr>
        <w:t>第十八条</w:t>
      </w:r>
      <w:r>
        <w:rPr>
          <w:rFonts w:hint="eastAsia" w:ascii="仿宋_GB2312" w:eastAsia="仿宋_GB2312"/>
          <w:sz w:val="32"/>
          <w:szCs w:val="32"/>
        </w:rPr>
        <w:t xml:space="preserve">  推免工作小组在学校推免工作领导小组的统一安排部署下，做好推免生的推荐组织工作。工作流程如下：</w:t>
      </w:r>
    </w:p>
    <w:p w14:paraId="0FB5A0D0">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学校发布通知，启动推免工作。</w:t>
      </w:r>
    </w:p>
    <w:p w14:paraId="26BD163A">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各学院将本学院的推免工作小组名单、推免名额方案、学生的总成绩和总成绩排名报教务处备案。</w:t>
      </w:r>
    </w:p>
    <w:p w14:paraId="408ADD47">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符合条件的学生提交申请。</w:t>
      </w:r>
    </w:p>
    <w:p w14:paraId="6F109203">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各学院审核、公布、公示学生的相关材料及推免名单，公示期不少于3天。</w:t>
      </w:r>
    </w:p>
    <w:p w14:paraId="1C8D53A0">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各学院向教务处报送确定的推免名单，教务处汇总后组织学生工作部（处）、校团委、科学技术发展研究院等部门对全校拟推荐名单进行资格复核，并将通过资格复核的名单在全校范围内公示，接受监督，受理申诉。</w:t>
      </w:r>
    </w:p>
    <w:p w14:paraId="234B3268">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公示结果没有异议的学生获得推免资格。</w:t>
      </w:r>
    </w:p>
    <w:p w14:paraId="48B5FBAD">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学校将获得推免资格的学生名单及相关信息上报给北京市及教育部相关部门。</w:t>
      </w:r>
    </w:p>
    <w:p w14:paraId="01DA7A10">
      <w:pPr>
        <w:numPr>
          <w:ilvl w:val="0"/>
          <w:numId w:val="3"/>
        </w:numPr>
        <w:spacing w:line="560" w:lineRule="exact"/>
        <w:ind w:firstLine="640" w:firstLineChars="200"/>
        <w:rPr>
          <w:rFonts w:ascii="仿宋_GB2312" w:eastAsia="仿宋_GB2312"/>
          <w:sz w:val="32"/>
          <w:szCs w:val="32"/>
        </w:rPr>
      </w:pPr>
      <w:r>
        <w:rPr>
          <w:rFonts w:hint="eastAsia" w:ascii="仿宋_GB2312" w:eastAsia="仿宋_GB2312"/>
          <w:sz w:val="32"/>
          <w:szCs w:val="32"/>
        </w:rPr>
        <w:t>学生通过推免系统填报志愿，参加校内外各招生单位组织的复试。</w:t>
      </w:r>
    </w:p>
    <w:p w14:paraId="05921E95">
      <w:pPr>
        <w:spacing w:line="560" w:lineRule="exact"/>
        <w:jc w:val="center"/>
        <w:rPr>
          <w:rFonts w:hint="eastAsia" w:ascii="黑体" w:hAnsi="黑体" w:eastAsia="黑体"/>
          <w:sz w:val="32"/>
          <w:szCs w:val="32"/>
        </w:rPr>
      </w:pPr>
      <w:r>
        <w:rPr>
          <w:rFonts w:hint="eastAsia" w:ascii="黑体" w:hAnsi="黑体" w:eastAsia="黑体"/>
          <w:sz w:val="32"/>
          <w:szCs w:val="32"/>
        </w:rPr>
        <w:t>第七章  附则</w:t>
      </w:r>
    </w:p>
    <w:p w14:paraId="03D0A8C3">
      <w:pPr>
        <w:spacing w:line="560" w:lineRule="exact"/>
        <w:ind w:firstLine="640" w:firstLineChars="200"/>
        <w:rPr>
          <w:rFonts w:ascii="仿宋_GB2312" w:eastAsia="仿宋_GB2312"/>
          <w:sz w:val="32"/>
          <w:szCs w:val="32"/>
        </w:rPr>
      </w:pPr>
      <w:r>
        <w:rPr>
          <w:rFonts w:hint="eastAsia" w:ascii="黑体" w:hAnsi="黑体" w:eastAsia="黑体"/>
          <w:sz w:val="32"/>
          <w:szCs w:val="32"/>
        </w:rPr>
        <w:t>第十九条</w:t>
      </w:r>
      <w:r>
        <w:rPr>
          <w:rFonts w:hint="eastAsia" w:ascii="仿宋_GB2312" w:eastAsia="仿宋_GB2312"/>
          <w:sz w:val="32"/>
          <w:szCs w:val="32"/>
        </w:rPr>
        <w:t xml:space="preserve">  获准被推荐的学生，如果在毕业之前出现下列情况之一，学校将取消其推免资格：</w:t>
      </w:r>
    </w:p>
    <w:p w14:paraId="7F27EF0D">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（一）受到校规校纪处分者</w:t>
      </w:r>
      <w:r>
        <w:rPr>
          <w:rFonts w:hint="eastAsia" w:ascii="仿宋_GB2312" w:eastAsia="仿宋_GB2312"/>
          <w:sz w:val="32"/>
          <w:szCs w:val="32"/>
          <w:lang w:eastAsia="zh-CN"/>
        </w:rPr>
        <w:t>。</w:t>
      </w:r>
    </w:p>
    <w:p w14:paraId="0E4C3C5D">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（二）毕业论文（毕业设计）未达到优良者</w:t>
      </w:r>
      <w:r>
        <w:rPr>
          <w:rFonts w:hint="eastAsia" w:ascii="仿宋_GB2312" w:eastAsia="仿宋_GB2312"/>
          <w:sz w:val="32"/>
          <w:szCs w:val="32"/>
          <w:lang w:eastAsia="zh-CN"/>
        </w:rPr>
        <w:t>。</w:t>
      </w:r>
    </w:p>
    <w:p w14:paraId="22DB5A9E">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（三）未能按时取得毕业证书者</w:t>
      </w:r>
      <w:r>
        <w:rPr>
          <w:rFonts w:hint="eastAsia" w:ascii="仿宋_GB2312" w:eastAsia="仿宋_GB2312"/>
          <w:sz w:val="32"/>
          <w:szCs w:val="32"/>
          <w:lang w:eastAsia="zh-CN"/>
        </w:rPr>
        <w:t>。</w:t>
      </w:r>
    </w:p>
    <w:p w14:paraId="4E92F2CF">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（四）体检不合格者</w:t>
      </w:r>
      <w:r>
        <w:rPr>
          <w:rFonts w:hint="eastAsia" w:ascii="仿宋_GB2312" w:eastAsia="仿宋_GB2312"/>
          <w:sz w:val="32"/>
          <w:szCs w:val="32"/>
          <w:lang w:eastAsia="zh-CN"/>
        </w:rPr>
        <w:t>。</w:t>
      </w:r>
    </w:p>
    <w:p w14:paraId="561E0525">
      <w:pPr>
        <w:spacing w:line="560" w:lineRule="exact"/>
        <w:ind w:firstLine="640" w:firstLineChars="200"/>
        <w:rPr>
          <w:rFonts w:ascii="仿宋_GB2312" w:eastAsia="仿宋_GB2312"/>
          <w:sz w:val="32"/>
          <w:szCs w:val="32"/>
        </w:rPr>
      </w:pPr>
      <w:r>
        <w:rPr>
          <w:rFonts w:hint="eastAsia" w:ascii="仿宋_GB2312" w:eastAsia="仿宋_GB2312"/>
          <w:sz w:val="32"/>
          <w:szCs w:val="32"/>
        </w:rPr>
        <w:t>（五）有其他弄虚作假或舞弊行为者。</w:t>
      </w:r>
    </w:p>
    <w:p w14:paraId="1CC4C5C9">
      <w:pPr>
        <w:spacing w:line="560" w:lineRule="exact"/>
        <w:ind w:firstLine="640" w:firstLineChars="200"/>
        <w:rPr>
          <w:rFonts w:ascii="仿宋_GB2312" w:eastAsia="仿宋_GB2312"/>
          <w:sz w:val="32"/>
          <w:szCs w:val="32"/>
        </w:rPr>
      </w:pPr>
      <w:r>
        <w:rPr>
          <w:rFonts w:hint="eastAsia" w:ascii="仿宋_GB2312" w:eastAsia="仿宋_GB2312"/>
          <w:sz w:val="32"/>
          <w:szCs w:val="32"/>
        </w:rPr>
        <w:t>在学生毕业前，各学院对推免生进行最后的审核，如有上述情况及时报教务处。</w:t>
      </w:r>
    </w:p>
    <w:p w14:paraId="24E1209B">
      <w:pPr>
        <w:spacing w:line="560" w:lineRule="exact"/>
        <w:ind w:firstLine="640" w:firstLineChars="200"/>
        <w:rPr>
          <w:rFonts w:ascii="仿宋_GB2312" w:eastAsia="仿宋_GB2312"/>
          <w:sz w:val="32"/>
          <w:szCs w:val="32"/>
        </w:rPr>
      </w:pPr>
      <w:r>
        <w:rPr>
          <w:rFonts w:hint="eastAsia" w:ascii="黑体" w:hAnsi="黑体" w:eastAsia="黑体"/>
          <w:sz w:val="32"/>
          <w:szCs w:val="32"/>
        </w:rPr>
        <w:t>第二十条</w:t>
      </w:r>
      <w:r>
        <w:rPr>
          <w:rFonts w:hint="eastAsia" w:ascii="仿宋_GB2312" w:eastAsia="仿宋_GB2312"/>
          <w:sz w:val="32"/>
          <w:szCs w:val="32"/>
        </w:rPr>
        <w:t xml:space="preserve">  已被接收为推免生的学生，不得再参加研究生统考、就业派遣，不得再申请出国留学，否则违约责任自负。</w:t>
      </w:r>
    </w:p>
    <w:p w14:paraId="0D91CCD1">
      <w:pPr>
        <w:spacing w:line="560" w:lineRule="exact"/>
        <w:ind w:firstLine="640" w:firstLineChars="200"/>
        <w:rPr>
          <w:rFonts w:ascii="仿宋_GB2312" w:eastAsia="仿宋_GB2312"/>
          <w:sz w:val="32"/>
          <w:szCs w:val="32"/>
        </w:rPr>
      </w:pPr>
      <w:r>
        <w:rPr>
          <w:rFonts w:hint="eastAsia" w:ascii="黑体" w:hAnsi="黑体" w:eastAsia="黑体"/>
          <w:sz w:val="32"/>
          <w:szCs w:val="32"/>
        </w:rPr>
        <w:t>第二十一条</w:t>
      </w:r>
      <w:r>
        <w:rPr>
          <w:rFonts w:hint="eastAsia" w:ascii="仿宋_GB2312" w:eastAsia="仿宋_GB2312"/>
          <w:sz w:val="32"/>
          <w:szCs w:val="32"/>
        </w:rPr>
        <w:t xml:space="preserve">  纪检监察办公室对推免工作全程进行监督。凡有亲属为推免对象的工作人员，应采取回避，不得参与相关推免工作；凡推免工作出现弄虚作假、徇私舞弊等现象，一经核实将按相关规定严肃处理。</w:t>
      </w:r>
    </w:p>
    <w:p w14:paraId="61FFCA3A">
      <w:pPr>
        <w:spacing w:line="560" w:lineRule="exact"/>
        <w:ind w:firstLine="640" w:firstLineChars="200"/>
        <w:rPr>
          <w:rFonts w:ascii="仿宋_GB2312" w:eastAsia="仿宋_GB2312"/>
          <w:sz w:val="32"/>
          <w:szCs w:val="32"/>
        </w:rPr>
      </w:pPr>
      <w:r>
        <w:rPr>
          <w:rFonts w:hint="eastAsia" w:ascii="黑体" w:hAnsi="黑体" w:eastAsia="黑体"/>
          <w:sz w:val="32"/>
          <w:szCs w:val="32"/>
        </w:rPr>
        <w:t>第二十二条</w:t>
      </w:r>
      <w:r>
        <w:rPr>
          <w:rFonts w:hint="eastAsia" w:ascii="仿宋_GB2312" w:eastAsia="仿宋_GB2312"/>
          <w:sz w:val="32"/>
          <w:szCs w:val="32"/>
        </w:rPr>
        <w:t xml:space="preserve">  本办法于2025年</w:t>
      </w:r>
      <w:r>
        <w:rPr>
          <w:rFonts w:hint="default" w:ascii="仿宋_GB2312" w:eastAsia="仿宋_GB2312"/>
          <w:sz w:val="32"/>
          <w:szCs w:val="32"/>
          <w:lang w:val="en-US"/>
        </w:rPr>
        <w:t>5</w:t>
      </w:r>
      <w:r>
        <w:rPr>
          <w:rFonts w:hint="eastAsia" w:ascii="仿宋_GB2312" w:eastAsia="仿宋_GB2312"/>
          <w:sz w:val="32"/>
          <w:szCs w:val="32"/>
        </w:rPr>
        <w:t>月</w:t>
      </w:r>
      <w:r>
        <w:rPr>
          <w:rFonts w:hint="default" w:ascii="仿宋_GB2312" w:eastAsia="仿宋_GB2312"/>
          <w:sz w:val="32"/>
          <w:szCs w:val="32"/>
          <w:lang w:val="en-US"/>
        </w:rPr>
        <w:t>29</w:t>
      </w:r>
      <w:r>
        <w:rPr>
          <w:rFonts w:hint="eastAsia" w:ascii="仿宋_GB2312" w:eastAsia="仿宋_GB2312"/>
          <w:sz w:val="32"/>
          <w:szCs w:val="32"/>
        </w:rPr>
        <w:t>日发布，自发布之日起</w:t>
      </w:r>
      <w:r>
        <w:rPr>
          <w:rFonts w:hint="eastAsia" w:ascii="仿宋_GB2312" w:eastAsia="仿宋_GB2312"/>
          <w:sz w:val="32"/>
          <w:szCs w:val="32"/>
          <w:lang w:eastAsia="zh-CN"/>
        </w:rPr>
        <w:t>施行</w:t>
      </w:r>
      <w:r>
        <w:rPr>
          <w:rFonts w:hint="eastAsia" w:ascii="仿宋_GB2312" w:eastAsia="仿宋_GB2312"/>
          <w:sz w:val="32"/>
          <w:szCs w:val="32"/>
        </w:rPr>
        <w:t>。2021级（五年制）、2022级、2023级本科生仍执行《北京建筑大学推荐优秀应届本科毕业生免试攻读研究生工作实施办法》（北建大教发〔2022〕3号）文件；2024级本科生执行《北京建筑大学推荐优秀应届本科毕业生免试攻读研究生工作实施办法》（北建大教发〔2024〕5号）文件；若上述年级本科生在当年推免工作中，出现遴选出的学生数少于分配给该专业名额数的情况，该专业的递补遴选工作按照本办法执行。</w:t>
      </w:r>
    </w:p>
    <w:p w14:paraId="6C1AC1C2">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第二十三条  </w:t>
      </w:r>
      <w:r>
        <w:rPr>
          <w:rFonts w:hint="eastAsia" w:ascii="仿宋_GB2312" w:eastAsia="仿宋_GB2312"/>
          <w:sz w:val="32"/>
          <w:szCs w:val="32"/>
        </w:rPr>
        <w:t>本办法由教务处负责解释。</w:t>
      </w:r>
    </w:p>
    <w:p w14:paraId="170EE0C2">
      <w:pPr>
        <w:spacing w:line="560" w:lineRule="exact"/>
        <w:rPr>
          <w:rFonts w:ascii="仿宋_GB2312" w:eastAsia="仿宋_GB2312"/>
          <w:sz w:val="32"/>
          <w:szCs w:val="32"/>
        </w:rPr>
      </w:pPr>
    </w:p>
    <w:p w14:paraId="11943F85">
      <w:pPr>
        <w:spacing w:line="560" w:lineRule="exact"/>
        <w:ind w:firstLine="640" w:firstLineChars="200"/>
        <w:rPr>
          <w:rFonts w:ascii="仿宋_GB2312" w:eastAsia="仿宋_GB2312"/>
          <w:sz w:val="32"/>
          <w:szCs w:val="32"/>
        </w:rPr>
      </w:pPr>
      <w:r>
        <w:rPr>
          <w:rFonts w:hint="eastAsia" w:ascii="仿宋_GB2312" w:eastAsia="仿宋_GB2312"/>
          <w:sz w:val="32"/>
          <w:szCs w:val="32"/>
        </w:rPr>
        <w:t>附件：推免生综合测评办法</w:t>
      </w:r>
    </w:p>
    <w:p w14:paraId="02FBC8BD">
      <w:pPr>
        <w:spacing w:line="560" w:lineRule="exact"/>
        <w:ind w:firstLine="640" w:firstLineChars="200"/>
        <w:rPr>
          <w:rFonts w:ascii="仿宋_GB2312" w:eastAsia="仿宋_GB2312"/>
          <w:sz w:val="32"/>
          <w:szCs w:val="32"/>
        </w:rPr>
      </w:pPr>
    </w:p>
    <w:p w14:paraId="7B305535">
      <w:pPr>
        <w:spacing w:line="560" w:lineRule="exact"/>
        <w:ind w:firstLine="640" w:firstLineChars="200"/>
        <w:rPr>
          <w:rFonts w:ascii="仿宋_GB2312" w:eastAsia="仿宋_GB2312"/>
          <w:sz w:val="32"/>
          <w:szCs w:val="32"/>
        </w:rPr>
      </w:pPr>
    </w:p>
    <w:p w14:paraId="2774B424">
      <w:pPr>
        <w:spacing w:line="560" w:lineRule="exact"/>
        <w:ind w:firstLine="640" w:firstLineChars="200"/>
        <w:rPr>
          <w:rFonts w:ascii="仿宋_GB2312" w:eastAsia="仿宋_GB2312"/>
          <w:sz w:val="32"/>
          <w:szCs w:val="32"/>
        </w:rPr>
      </w:pPr>
    </w:p>
    <w:p w14:paraId="19628FF8">
      <w:pPr>
        <w:spacing w:line="560" w:lineRule="exact"/>
        <w:ind w:firstLine="640" w:firstLineChars="200"/>
        <w:rPr>
          <w:rFonts w:ascii="仿宋_GB2312" w:eastAsia="仿宋_GB2312"/>
          <w:sz w:val="32"/>
          <w:szCs w:val="32"/>
        </w:rPr>
      </w:pPr>
    </w:p>
    <w:p w14:paraId="14D594F6">
      <w:pPr>
        <w:spacing w:line="560" w:lineRule="exact"/>
        <w:ind w:firstLine="640" w:firstLineChars="200"/>
        <w:rPr>
          <w:rFonts w:ascii="仿宋_GB2312" w:eastAsia="仿宋_GB2312"/>
          <w:sz w:val="32"/>
          <w:szCs w:val="32"/>
        </w:rPr>
      </w:pPr>
    </w:p>
    <w:p w14:paraId="78AC231B">
      <w:pPr>
        <w:spacing w:line="560" w:lineRule="exact"/>
        <w:ind w:firstLine="640" w:firstLineChars="200"/>
        <w:rPr>
          <w:rFonts w:ascii="仿宋_GB2312" w:eastAsia="仿宋_GB2312"/>
          <w:sz w:val="32"/>
          <w:szCs w:val="32"/>
        </w:rPr>
      </w:pPr>
    </w:p>
    <w:p w14:paraId="4A05E198">
      <w:pPr>
        <w:spacing w:line="560" w:lineRule="exact"/>
        <w:ind w:firstLine="640" w:firstLineChars="200"/>
        <w:rPr>
          <w:rFonts w:ascii="仿宋_GB2312" w:eastAsia="仿宋_GB2312"/>
          <w:sz w:val="32"/>
          <w:szCs w:val="32"/>
        </w:rPr>
      </w:pPr>
    </w:p>
    <w:p w14:paraId="720E6CC7">
      <w:pPr>
        <w:spacing w:line="560" w:lineRule="exact"/>
        <w:ind w:firstLine="640" w:firstLineChars="200"/>
        <w:rPr>
          <w:rFonts w:ascii="仿宋_GB2312" w:eastAsia="仿宋_GB2312"/>
          <w:sz w:val="32"/>
          <w:szCs w:val="32"/>
        </w:rPr>
      </w:pPr>
    </w:p>
    <w:p w14:paraId="3643E7DF">
      <w:pPr>
        <w:spacing w:line="560" w:lineRule="exact"/>
        <w:jc w:val="left"/>
        <w:rPr>
          <w:rFonts w:hint="eastAsia" w:ascii="黑体" w:hAnsi="黑体" w:eastAsia="黑体"/>
          <w:sz w:val="32"/>
          <w:szCs w:val="32"/>
        </w:rPr>
      </w:pPr>
      <w:r>
        <w:rPr>
          <w:rFonts w:hint="eastAsia" w:ascii="黑体" w:hAnsi="黑体" w:eastAsia="黑体"/>
          <w:sz w:val="32"/>
          <w:szCs w:val="32"/>
        </w:rPr>
        <w:t>附件</w:t>
      </w:r>
    </w:p>
    <w:p w14:paraId="7E2C90EF">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推免生综合测评办法</w:t>
      </w:r>
    </w:p>
    <w:p w14:paraId="41A58135">
      <w:pPr>
        <w:spacing w:line="560" w:lineRule="exact"/>
        <w:jc w:val="center"/>
        <w:rPr>
          <w:rFonts w:hint="eastAsia" w:ascii="仿宋_GB2312" w:hAnsi="黑体" w:eastAsia="仿宋_GB2312"/>
          <w:sz w:val="32"/>
          <w:szCs w:val="32"/>
        </w:rPr>
      </w:pPr>
    </w:p>
    <w:p w14:paraId="2846342A">
      <w:pPr>
        <w:spacing w:line="560" w:lineRule="exact"/>
        <w:ind w:firstLine="640" w:firstLineChars="200"/>
        <w:rPr>
          <w:rFonts w:ascii="仿宋_GB2312" w:eastAsia="仿宋_GB2312"/>
          <w:sz w:val="32"/>
          <w:szCs w:val="32"/>
        </w:rPr>
      </w:pPr>
      <w:r>
        <w:rPr>
          <w:rFonts w:hint="eastAsia" w:ascii="仿宋_GB2312" w:eastAsia="仿宋_GB2312"/>
          <w:sz w:val="32"/>
          <w:szCs w:val="32"/>
        </w:rPr>
        <w:t>为科学合理地做好学校推荐优秀应届本科毕业生免试攻读研究生工作，激励广大在校学生勤奋学习、勇于创新、全面发展，制定本办法。</w:t>
      </w:r>
    </w:p>
    <w:p w14:paraId="5BD5EE8B">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一、综合测评成绩构成</w:t>
      </w:r>
    </w:p>
    <w:p w14:paraId="5099B622">
      <w:pPr>
        <w:spacing w:line="560" w:lineRule="exact"/>
        <w:ind w:firstLine="640" w:firstLineChars="200"/>
        <w:rPr>
          <w:rFonts w:ascii="仿宋_GB2312" w:eastAsia="仿宋_GB2312"/>
          <w:sz w:val="32"/>
          <w:szCs w:val="32"/>
        </w:rPr>
      </w:pPr>
      <w:r>
        <w:rPr>
          <w:rFonts w:hint="eastAsia" w:ascii="仿宋_GB2312" w:eastAsia="仿宋_GB2312"/>
          <w:sz w:val="32"/>
          <w:szCs w:val="32"/>
        </w:rPr>
        <w:t>推免生综合测评成绩Z由平均学分绩P和综合素质奖励分S两部分构成，计算公式为：Z=P×0.9+S。</w:t>
      </w:r>
    </w:p>
    <w:p w14:paraId="44D91F19">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二、平均学分绩计算</w:t>
      </w:r>
    </w:p>
    <w:p w14:paraId="7A63FC83">
      <w:pPr>
        <w:pStyle w:val="3"/>
        <w:spacing w:before="60" w:line="500" w:lineRule="exact"/>
        <w:ind w:firstLine="640" w:firstLineChars="200"/>
        <w:rPr>
          <w:rFonts w:ascii="仿宋_GB2312" w:eastAsia="仿宋_GB2312"/>
          <w:kern w:val="2"/>
          <w:szCs w:val="32"/>
        </w:rPr>
      </w:pPr>
      <w:r>
        <w:rPr>
          <w:rFonts w:hint="eastAsia" w:ascii="仿宋_GB2312" w:eastAsia="仿宋_GB2312"/>
          <w:kern w:val="2"/>
          <w:szCs w:val="32"/>
        </w:rPr>
        <w:t>平均学分绩的计算公式为：</w:t>
      </w:r>
    </w:p>
    <w:p w14:paraId="1EDCC621">
      <w:pPr>
        <w:jc w:val="center"/>
        <w:rPr>
          <w:rFonts w:ascii="仿宋_GB2312" w:eastAsia="仿宋_GB2312"/>
          <w:sz w:val="32"/>
          <w:szCs w:val="32"/>
        </w:rPr>
      </w:pPr>
      <w:r>
        <w:rPr>
          <w:rFonts w:ascii="仿宋_GB2312" w:eastAsia="仿宋_GB2312"/>
          <w:sz w:val="32"/>
          <w:szCs w:val="32"/>
        </w:rPr>
        <w:object>
          <v:shape id="_x0000_i1025" o:spt="75" type="#_x0000_t75" style="height:65.1pt;width:60.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p>
    <w:p w14:paraId="24E65BB3">
      <w:pPr>
        <w:pStyle w:val="3"/>
        <w:spacing w:before="60" w:line="500" w:lineRule="exact"/>
        <w:ind w:firstLine="640" w:firstLineChars="200"/>
        <w:rPr>
          <w:rFonts w:ascii="仿宋_GB2312" w:eastAsia="仿宋_GB2312"/>
          <w:kern w:val="2"/>
          <w:szCs w:val="32"/>
        </w:rPr>
      </w:pPr>
      <w:r>
        <w:rPr>
          <w:rFonts w:hint="eastAsia" w:ascii="仿宋_GB2312" w:eastAsia="仿宋_GB2312"/>
          <w:kern w:val="2"/>
          <w:szCs w:val="32"/>
        </w:rPr>
        <w:t>其中：</w:t>
      </w:r>
      <w:r>
        <w:rPr>
          <w:rFonts w:ascii="仿宋_GB2312" w:eastAsia="仿宋_GB2312"/>
          <w:kern w:val="2"/>
          <w:szCs w:val="32"/>
        </w:rPr>
        <w:object>
          <v:shape id="_x0000_i1026" o:spt="75" type="#_x0000_t75" style="height:18.4pt;width:15.3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rFonts w:hint="eastAsia" w:ascii="仿宋_GB2312" w:eastAsia="仿宋_GB2312"/>
          <w:kern w:val="2"/>
          <w:szCs w:val="32"/>
        </w:rPr>
        <w:t>表示所修的第</w:t>
      </w:r>
      <w:r>
        <w:rPr>
          <w:rFonts w:ascii="仿宋_GB2312" w:eastAsia="仿宋_GB2312"/>
          <w:kern w:val="2"/>
          <w:szCs w:val="32"/>
        </w:rPr>
        <w:object>
          <v:shape id="_x0000_i1027" o:spt="75" type="#_x0000_t75" style="height:13pt;width:6.9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rFonts w:hint="eastAsia" w:ascii="仿宋_GB2312" w:eastAsia="仿宋_GB2312"/>
          <w:kern w:val="2"/>
          <w:szCs w:val="32"/>
        </w:rPr>
        <w:t>门课程的学分；</w:t>
      </w:r>
    </w:p>
    <w:p w14:paraId="76B72AE7">
      <w:pPr>
        <w:pStyle w:val="3"/>
        <w:spacing w:before="60" w:line="500" w:lineRule="exact"/>
        <w:ind w:firstLine="640" w:firstLineChars="200"/>
        <w:rPr>
          <w:rFonts w:ascii="仿宋_GB2312" w:eastAsia="仿宋_GB2312"/>
          <w:kern w:val="2"/>
          <w:szCs w:val="32"/>
        </w:rPr>
      </w:pPr>
      <w:r>
        <w:rPr>
          <w:rFonts w:ascii="仿宋_GB2312" w:eastAsia="仿宋_GB2312"/>
          <w:kern w:val="2"/>
          <w:szCs w:val="32"/>
        </w:rPr>
        <w:object>
          <v:shape id="_x0000_i1028" o:spt="75" type="#_x0000_t75" style="height:18.4pt;width:13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rFonts w:hint="eastAsia" w:ascii="仿宋_GB2312" w:eastAsia="仿宋_GB2312"/>
          <w:kern w:val="2"/>
          <w:szCs w:val="32"/>
        </w:rPr>
        <w:t>表示所修的第</w:t>
      </w:r>
      <w:r>
        <w:rPr>
          <w:rFonts w:ascii="仿宋_GB2312" w:eastAsia="仿宋_GB2312"/>
          <w:kern w:val="2"/>
          <w:szCs w:val="32"/>
        </w:rPr>
        <w:object>
          <v:shape id="_x0000_i1029" o:spt="75" type="#_x0000_t75" style="height:13pt;width:6.9pt;" o:ole="t" filled="f" o:preferrelative="t" stroked="f" coordsize="21600,21600">
            <v:path/>
            <v:fill on="f" focussize="0,0"/>
            <v:stroke on="f" joinstyle="miter"/>
            <v:imagedata r:id="rId10" o:title=""/>
            <o:lock v:ext="edit" aspectratio="t"/>
            <w10:wrap type="none"/>
            <w10:anchorlock/>
          </v:shape>
          <o:OLEObject Type="Embed" ProgID="Equation.3" ShapeID="_x0000_i1029" DrawAspect="Content" ObjectID="_1468075729" r:id="rId13">
            <o:LockedField>false</o:LockedField>
          </o:OLEObject>
        </w:object>
      </w:r>
      <w:r>
        <w:rPr>
          <w:rFonts w:hint="eastAsia" w:ascii="仿宋_GB2312" w:eastAsia="仿宋_GB2312"/>
          <w:kern w:val="2"/>
          <w:szCs w:val="32"/>
        </w:rPr>
        <w:t>门课程的考试成绩，以百分制计。采用五级分制计分的课程成绩计算时须换算成百分制，换算标准为：优→95，良→85，中→75，及格→65，不及格→0；采用两级制计分的课程换算标准为：通过→65，不通过→0；</w:t>
      </w:r>
    </w:p>
    <w:p w14:paraId="51EFCC4B">
      <w:pPr>
        <w:pStyle w:val="3"/>
        <w:spacing w:before="60" w:line="500" w:lineRule="exact"/>
        <w:ind w:firstLine="640" w:firstLineChars="200"/>
        <w:rPr>
          <w:rFonts w:ascii="仿宋_GB2312" w:eastAsia="仿宋_GB2312"/>
          <w:kern w:val="2"/>
          <w:szCs w:val="32"/>
        </w:rPr>
      </w:pPr>
      <w:r>
        <w:rPr>
          <w:rFonts w:ascii="仿宋_GB2312" w:eastAsia="仿宋_GB2312"/>
          <w:kern w:val="2"/>
          <w:szCs w:val="32"/>
        </w:rPr>
        <w:object>
          <v:shape id="_x0000_i1030" o:spt="75" type="#_x0000_t75" style="height:14.55pt;width:15.3pt;" o:ole="t" filled="f" o:preferrelative="t" stroked="f" coordsize="21600,21600">
            <v:path/>
            <v:fill on="f" focussize="0,0"/>
            <v:stroke on="f" joinstyle="miter"/>
            <v:imagedata r:id="rId15" o:title=""/>
            <o:lock v:ext="edit" aspectratio="t"/>
            <w10:wrap type="none"/>
            <w10:anchorlock/>
          </v:shape>
          <o:OLEObject Type="Embed" ProgID="Equation.3" ShapeID="_x0000_i1030" DrawAspect="Content" ObjectID="_1468075730" r:id="rId14">
            <o:LockedField>false</o:LockedField>
          </o:OLEObject>
        </w:object>
      </w:r>
      <w:r>
        <w:rPr>
          <w:rFonts w:hint="eastAsia" w:ascii="仿宋_GB2312" w:eastAsia="仿宋_GB2312"/>
          <w:kern w:val="2"/>
          <w:szCs w:val="32"/>
        </w:rPr>
        <w:t>（</w:t>
      </w:r>
      <w:r>
        <w:rPr>
          <w:rFonts w:ascii="仿宋_GB2312" w:eastAsia="仿宋_GB2312"/>
          <w:kern w:val="2"/>
          <w:szCs w:val="32"/>
        </w:rPr>
        <w:object>
          <v:shape id="_x0000_i1031" o:spt="75" type="#_x0000_t75" style="height:13pt;width:6.9pt;" o:ole="t" filled="f" o:preferrelative="t" stroked="f" coordsize="21600,21600">
            <v:path/>
            <v:fill on="f" focussize="0,0"/>
            <v:stroke on="f" joinstyle="miter"/>
            <v:imagedata r:id="rId10" o:title=""/>
            <o:lock v:ext="edit" aspectratio="t"/>
            <w10:wrap type="none"/>
            <w10:anchorlock/>
          </v:shape>
          <o:OLEObject Type="Embed" ProgID="Equation.3" ShapeID="_x0000_i1031" DrawAspect="Content" ObjectID="_1468075731" r:id="rId16">
            <o:LockedField>false</o:LockedField>
          </o:OLEObject>
        </w:object>
      </w:r>
      <w:r>
        <w:rPr>
          <w:rFonts w:hint="eastAsia" w:ascii="仿宋_GB2312" w:eastAsia="仿宋_GB2312"/>
          <w:kern w:val="2"/>
          <w:szCs w:val="32"/>
        </w:rPr>
        <w:t>=1，2，3，…，</w:t>
      </w:r>
      <w:r>
        <w:rPr>
          <w:rFonts w:ascii="仿宋_GB2312" w:eastAsia="仿宋_GB2312"/>
          <w:kern w:val="2"/>
          <w:szCs w:val="32"/>
        </w:rPr>
        <w:object>
          <v:shape id="_x0000_i1032" o:spt="75" type="#_x0000_t75" style="height:14.55pt;width:15.3pt;" o:ole="t" filled="f" o:preferrelative="t" stroked="f" coordsize="21600,21600">
            <v:path/>
            <v:fill on="f" focussize="0,0"/>
            <v:stroke on="f" joinstyle="miter"/>
            <v:imagedata r:id="rId18" o:title=""/>
            <o:lock v:ext="edit" aspectratio="t"/>
            <w10:wrap type="none"/>
            <w10:anchorlock/>
          </v:shape>
          <o:OLEObject Type="Embed" ProgID="Equation.3" ShapeID="_x0000_i1032" DrawAspect="Content" ObjectID="_1468075732" r:id="rId17">
            <o:LockedField>false</o:LockedField>
          </o:OLEObject>
        </w:object>
      </w:r>
      <w:r>
        <w:rPr>
          <w:rFonts w:hint="eastAsia" w:ascii="仿宋_GB2312" w:eastAsia="仿宋_GB2312"/>
          <w:kern w:val="2"/>
          <w:szCs w:val="32"/>
        </w:rPr>
        <w:t>）表示</w:t>
      </w:r>
      <w:r>
        <w:rPr>
          <w:rFonts w:ascii="仿宋_GB2312" w:eastAsia="仿宋_GB2312"/>
          <w:kern w:val="2"/>
          <w:szCs w:val="32"/>
        </w:rPr>
        <w:t>前</w:t>
      </w:r>
      <w:r>
        <w:rPr>
          <w:rFonts w:hint="eastAsia" w:ascii="仿宋_GB2312" w:eastAsia="仿宋_GB2312"/>
          <w:kern w:val="2"/>
          <w:szCs w:val="32"/>
        </w:rPr>
        <w:t>三学年（五年制学生为前四学年）本专业培养方案中规定应完成的全部必修课程数。</w:t>
      </w:r>
    </w:p>
    <w:p w14:paraId="0AA64933">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三、综合素质奖励分计算</w:t>
      </w:r>
    </w:p>
    <w:p w14:paraId="5C3CE1A6">
      <w:pPr>
        <w:spacing w:line="560" w:lineRule="exact"/>
        <w:ind w:firstLine="640" w:firstLineChars="200"/>
        <w:rPr>
          <w:rFonts w:ascii="仿宋_GB2312" w:eastAsia="仿宋_GB2312"/>
          <w:sz w:val="32"/>
          <w:szCs w:val="32"/>
        </w:rPr>
      </w:pPr>
      <w:r>
        <w:rPr>
          <w:rFonts w:hint="eastAsia" w:ascii="仿宋_GB2312" w:eastAsia="仿宋_GB2312"/>
          <w:sz w:val="32"/>
          <w:szCs w:val="32"/>
        </w:rPr>
        <w:t>综合素质奖励分的计算公式为：S=S1+S2+S3+S4。（满分≤10分）</w:t>
      </w:r>
    </w:p>
    <w:p w14:paraId="4E608C5E">
      <w:pPr>
        <w:spacing w:line="560" w:lineRule="exact"/>
        <w:ind w:firstLine="640" w:firstLineChars="200"/>
        <w:rPr>
          <w:rFonts w:hint="eastAsia" w:ascii="楷体" w:hAnsi="楷体" w:eastAsia="楷体"/>
          <w:sz w:val="32"/>
          <w:szCs w:val="32"/>
        </w:rPr>
      </w:pPr>
      <w:r>
        <w:rPr>
          <w:rFonts w:hint="eastAsia" w:ascii="楷体_GB2312" w:hAnsi="楷体_GB2312" w:eastAsia="楷体_GB2312" w:cs="楷体_GB2312"/>
          <w:sz w:val="32"/>
          <w:szCs w:val="32"/>
        </w:rPr>
        <w:t>（一）在校学习期间参加学校认定的大学生学科（设计）竞赛获奖及参与科研项目情况：奖励分≤3分。</w:t>
      </w:r>
      <w:r>
        <w:rPr>
          <w:rFonts w:hint="eastAsia" w:ascii="仿宋_GB2312" w:hAnsi="宋体" w:eastAsia="仿宋_GB2312" w:cs="黑体"/>
          <w:kern w:val="0"/>
          <w:sz w:val="32"/>
          <w:szCs w:val="32"/>
          <w:lang w:bidi="ar"/>
        </w:rPr>
        <w:t>（特别说明：A类比赛取得学校历史突破，获特等奖、一等奖、金奖，奖励分为5分）</w:t>
      </w:r>
      <w:r>
        <w:rPr>
          <w:rFonts w:hint="eastAsia" w:ascii="楷体" w:hAnsi="楷体" w:eastAsia="楷体"/>
          <w:sz w:val="32"/>
          <w:szCs w:val="32"/>
        </w:rPr>
        <w:t>（</w:t>
      </w:r>
      <w:r>
        <w:rPr>
          <w:rFonts w:ascii="楷体" w:hAnsi="楷体" w:eastAsia="楷体"/>
          <w:sz w:val="32"/>
          <w:szCs w:val="32"/>
        </w:rPr>
        <w:t>B</w:t>
      </w:r>
      <w:r>
        <w:rPr>
          <w:rFonts w:hint="eastAsia" w:ascii="楷体" w:hAnsi="楷体" w:eastAsia="楷体"/>
          <w:sz w:val="32"/>
          <w:szCs w:val="32"/>
        </w:rPr>
        <w:t>类竞赛分≤</w:t>
      </w:r>
      <w:r>
        <w:rPr>
          <w:rFonts w:ascii="楷体" w:hAnsi="楷体" w:eastAsia="楷体"/>
          <w:sz w:val="32"/>
          <w:szCs w:val="32"/>
        </w:rPr>
        <w:t>2</w:t>
      </w:r>
      <w:r>
        <w:rPr>
          <w:rFonts w:hint="eastAsia" w:ascii="楷体" w:hAnsi="楷体" w:eastAsia="楷体"/>
          <w:sz w:val="32"/>
          <w:szCs w:val="32"/>
        </w:rPr>
        <w:t>.5）。</w:t>
      </w:r>
    </w:p>
    <w:p w14:paraId="1B99B0EE">
      <w:pPr>
        <w:pStyle w:val="3"/>
        <w:spacing w:before="60" w:after="156" w:afterLines="50" w:line="500" w:lineRule="exact"/>
        <w:ind w:firstLine="640" w:firstLineChars="200"/>
        <w:rPr>
          <w:rFonts w:ascii="仿宋_GB2312" w:eastAsia="仿宋_GB2312"/>
          <w:kern w:val="2"/>
          <w:szCs w:val="32"/>
        </w:rPr>
      </w:pPr>
      <w:r>
        <w:rPr>
          <w:rFonts w:hint="eastAsia" w:ascii="仿宋_GB2312" w:eastAsia="仿宋_GB2312"/>
          <w:kern w:val="2"/>
          <w:szCs w:val="32"/>
        </w:rPr>
        <w:t>学科（设计）竞赛奖励分参考表：</w:t>
      </w:r>
    </w:p>
    <w:tbl>
      <w:tblPr>
        <w:tblStyle w:val="8"/>
        <w:tblW w:w="52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924"/>
        <w:gridCol w:w="914"/>
        <w:gridCol w:w="762"/>
        <w:gridCol w:w="924"/>
        <w:gridCol w:w="857"/>
        <w:gridCol w:w="886"/>
        <w:gridCol w:w="895"/>
        <w:gridCol w:w="905"/>
        <w:gridCol w:w="923"/>
      </w:tblGrid>
      <w:tr w14:paraId="0A4450E3">
        <w:trPr>
          <w:trHeight w:val="404" w:hRule="atLeast"/>
        </w:trPr>
        <w:tc>
          <w:tcPr>
            <w:tcW w:w="1110" w:type="dxa"/>
            <w:shd w:val="clear" w:color="auto" w:fill="auto"/>
            <w:vAlign w:val="center"/>
          </w:tcPr>
          <w:p w14:paraId="1324A071">
            <w:pPr>
              <w:jc w:val="center"/>
              <w:rPr>
                <w:rFonts w:hint="eastAsia" w:ascii="仿宋" w:hAnsi="仿宋" w:eastAsia="仿宋"/>
                <w:szCs w:val="21"/>
              </w:rPr>
            </w:pPr>
            <w:r>
              <w:rPr>
                <w:rFonts w:hint="eastAsia" w:ascii="仿宋" w:hAnsi="仿宋" w:eastAsia="仿宋"/>
                <w:szCs w:val="21"/>
              </w:rPr>
              <w:t>类别</w:t>
            </w:r>
          </w:p>
        </w:tc>
        <w:tc>
          <w:tcPr>
            <w:tcW w:w="1838" w:type="dxa"/>
            <w:gridSpan w:val="2"/>
            <w:shd w:val="clear" w:color="auto" w:fill="auto"/>
            <w:vAlign w:val="center"/>
          </w:tcPr>
          <w:p w14:paraId="531D14B3">
            <w:pPr>
              <w:jc w:val="center"/>
              <w:rPr>
                <w:rFonts w:hint="eastAsia" w:ascii="仿宋" w:hAnsi="仿宋" w:eastAsia="仿宋"/>
                <w:szCs w:val="21"/>
              </w:rPr>
            </w:pPr>
            <w:r>
              <w:rPr>
                <w:rFonts w:hint="eastAsia" w:ascii="仿宋" w:hAnsi="仿宋" w:eastAsia="仿宋"/>
                <w:szCs w:val="21"/>
              </w:rPr>
              <w:t>A</w:t>
            </w:r>
          </w:p>
        </w:tc>
        <w:tc>
          <w:tcPr>
            <w:tcW w:w="6152" w:type="dxa"/>
            <w:gridSpan w:val="7"/>
            <w:shd w:val="clear" w:color="auto" w:fill="auto"/>
            <w:vAlign w:val="center"/>
          </w:tcPr>
          <w:p w14:paraId="0FB1873B">
            <w:pPr>
              <w:jc w:val="center"/>
              <w:rPr>
                <w:rFonts w:hint="eastAsia" w:ascii="仿宋" w:hAnsi="仿宋" w:eastAsia="仿宋"/>
                <w:szCs w:val="21"/>
              </w:rPr>
            </w:pPr>
            <w:r>
              <w:rPr>
                <w:rFonts w:hint="eastAsia" w:ascii="仿宋" w:hAnsi="仿宋" w:eastAsia="仿宋"/>
                <w:szCs w:val="21"/>
              </w:rPr>
              <w:t>B</w:t>
            </w:r>
            <w:r>
              <w:rPr>
                <w:rFonts w:hint="eastAsia" w:ascii="微软雅黑" w:hAnsi="微软雅黑" w:eastAsia="微软雅黑" w:cs="微软雅黑"/>
                <w:szCs w:val="21"/>
              </w:rPr>
              <w:t>≤</w:t>
            </w:r>
            <w:r>
              <w:rPr>
                <w:rFonts w:hint="eastAsia" w:ascii="仿宋" w:hAnsi="仿宋" w:eastAsia="仿宋"/>
                <w:szCs w:val="21"/>
              </w:rPr>
              <w:t>2.5</w:t>
            </w:r>
          </w:p>
        </w:tc>
      </w:tr>
      <w:tr w14:paraId="43CAD0EA">
        <w:trPr>
          <w:trHeight w:val="2490" w:hRule="atLeast"/>
        </w:trPr>
        <w:tc>
          <w:tcPr>
            <w:tcW w:w="1110" w:type="dxa"/>
            <w:shd w:val="clear" w:color="auto" w:fill="auto"/>
            <w:vAlign w:val="center"/>
          </w:tcPr>
          <w:p w14:paraId="6A5079A0">
            <w:pPr>
              <w:jc w:val="center"/>
              <w:rPr>
                <w:rFonts w:hint="eastAsia" w:ascii="仿宋" w:hAnsi="仿宋" w:eastAsia="仿宋"/>
                <w:szCs w:val="21"/>
              </w:rPr>
            </w:pPr>
            <w:r>
              <w:rPr>
                <w:rFonts w:hint="eastAsia" w:ascii="仿宋" w:hAnsi="仿宋" w:eastAsia="仿宋"/>
                <w:szCs w:val="21"/>
              </w:rPr>
              <w:t>竞赛名称或类别</w:t>
            </w:r>
          </w:p>
        </w:tc>
        <w:tc>
          <w:tcPr>
            <w:tcW w:w="1838" w:type="dxa"/>
            <w:gridSpan w:val="2"/>
            <w:shd w:val="clear" w:color="auto" w:fill="auto"/>
            <w:vAlign w:val="center"/>
          </w:tcPr>
          <w:p w14:paraId="0F0F45F3">
            <w:pPr>
              <w:jc w:val="center"/>
              <w:rPr>
                <w:rFonts w:hint="eastAsia" w:ascii="仿宋" w:hAnsi="仿宋" w:eastAsia="仿宋"/>
                <w:szCs w:val="21"/>
              </w:rPr>
            </w:pPr>
            <w:r>
              <w:rPr>
                <w:rFonts w:hint="eastAsia" w:ascii="仿宋" w:hAnsi="仿宋" w:eastAsia="仿宋"/>
                <w:szCs w:val="21"/>
              </w:rPr>
              <w:t>“挑战杯”全国大学生课外学术科技作品竞赛、“挑战杯”中国大学生创业计划大赛、中国国际大学生创新大赛（原中国国际“互联网+”大学生创新创业大赛）</w:t>
            </w:r>
          </w:p>
        </w:tc>
        <w:tc>
          <w:tcPr>
            <w:tcW w:w="6152" w:type="dxa"/>
            <w:gridSpan w:val="7"/>
            <w:shd w:val="clear" w:color="auto" w:fill="auto"/>
            <w:vAlign w:val="center"/>
          </w:tcPr>
          <w:p w14:paraId="5558BEC8">
            <w:pPr>
              <w:jc w:val="center"/>
              <w:rPr>
                <w:rFonts w:hint="eastAsia" w:ascii="仿宋" w:hAnsi="仿宋" w:eastAsia="仿宋"/>
                <w:szCs w:val="21"/>
              </w:rPr>
            </w:pPr>
            <w:r>
              <w:rPr>
                <w:rFonts w:hint="eastAsia" w:ascii="仿宋" w:hAnsi="仿宋" w:eastAsia="仿宋"/>
                <w:szCs w:val="21"/>
              </w:rPr>
              <w:t>具有重要影响的国际、国家级、省部级竞赛</w:t>
            </w:r>
          </w:p>
        </w:tc>
      </w:tr>
      <w:tr w14:paraId="440CB639">
        <w:trPr>
          <w:trHeight w:val="612" w:hRule="atLeast"/>
        </w:trPr>
        <w:tc>
          <w:tcPr>
            <w:tcW w:w="1110" w:type="dxa"/>
            <w:vMerge w:val="restart"/>
            <w:shd w:val="clear" w:color="auto" w:fill="auto"/>
            <w:vAlign w:val="center"/>
          </w:tcPr>
          <w:p w14:paraId="3AC963C2">
            <w:pPr>
              <w:jc w:val="center"/>
              <w:rPr>
                <w:rFonts w:hint="eastAsia" w:ascii="仿宋" w:hAnsi="仿宋" w:eastAsia="仿宋"/>
                <w:szCs w:val="21"/>
              </w:rPr>
            </w:pPr>
            <w:r>
              <w:rPr>
                <w:rFonts w:hint="eastAsia" w:ascii="仿宋" w:hAnsi="仿宋" w:eastAsia="仿宋"/>
                <w:szCs w:val="21"/>
              </w:rPr>
              <w:t>奖项等级</w:t>
            </w:r>
          </w:p>
        </w:tc>
        <w:tc>
          <w:tcPr>
            <w:tcW w:w="924" w:type="dxa"/>
            <w:vMerge w:val="restart"/>
            <w:shd w:val="clear" w:color="auto" w:fill="auto"/>
            <w:vAlign w:val="center"/>
          </w:tcPr>
          <w:p w14:paraId="792B8AF2">
            <w:pPr>
              <w:jc w:val="center"/>
              <w:rPr>
                <w:rFonts w:hint="eastAsia" w:ascii="仿宋" w:hAnsi="仿宋" w:eastAsia="仿宋"/>
                <w:szCs w:val="21"/>
              </w:rPr>
            </w:pPr>
            <w:r>
              <w:rPr>
                <w:rFonts w:hint="eastAsia" w:ascii="仿宋" w:hAnsi="仿宋" w:eastAsia="仿宋"/>
                <w:szCs w:val="21"/>
              </w:rPr>
              <w:t>二等奖</w:t>
            </w:r>
          </w:p>
          <w:p w14:paraId="634EDA03">
            <w:pPr>
              <w:jc w:val="center"/>
              <w:rPr>
                <w:rFonts w:hint="eastAsia" w:ascii="仿宋" w:hAnsi="仿宋" w:eastAsia="仿宋"/>
                <w:szCs w:val="21"/>
              </w:rPr>
            </w:pPr>
            <w:r>
              <w:rPr>
                <w:rFonts w:hint="eastAsia" w:ascii="仿宋" w:hAnsi="仿宋" w:eastAsia="仿宋"/>
                <w:szCs w:val="21"/>
              </w:rPr>
              <w:t>/</w:t>
            </w:r>
          </w:p>
          <w:p w14:paraId="54812B61">
            <w:pPr>
              <w:jc w:val="center"/>
              <w:rPr>
                <w:rFonts w:hint="eastAsia" w:ascii="仿宋" w:hAnsi="仿宋" w:eastAsia="仿宋"/>
                <w:szCs w:val="21"/>
              </w:rPr>
            </w:pPr>
            <w:r>
              <w:rPr>
                <w:rFonts w:hint="eastAsia" w:ascii="仿宋" w:hAnsi="仿宋" w:eastAsia="仿宋"/>
                <w:szCs w:val="21"/>
              </w:rPr>
              <w:t>银奖</w:t>
            </w:r>
          </w:p>
        </w:tc>
        <w:tc>
          <w:tcPr>
            <w:tcW w:w="914" w:type="dxa"/>
            <w:vMerge w:val="restart"/>
            <w:shd w:val="clear" w:color="auto" w:fill="auto"/>
            <w:vAlign w:val="center"/>
          </w:tcPr>
          <w:p w14:paraId="7EDAE8CC">
            <w:pPr>
              <w:jc w:val="center"/>
              <w:rPr>
                <w:rFonts w:hint="eastAsia" w:ascii="仿宋" w:hAnsi="仿宋" w:eastAsia="仿宋"/>
                <w:szCs w:val="21"/>
              </w:rPr>
            </w:pPr>
            <w:r>
              <w:rPr>
                <w:rFonts w:hint="eastAsia" w:ascii="仿宋" w:hAnsi="仿宋" w:eastAsia="仿宋"/>
                <w:szCs w:val="21"/>
              </w:rPr>
              <w:t>三等奖</w:t>
            </w:r>
          </w:p>
          <w:p w14:paraId="1CE1D494">
            <w:pPr>
              <w:jc w:val="center"/>
              <w:rPr>
                <w:rFonts w:hint="eastAsia" w:ascii="仿宋" w:hAnsi="仿宋" w:eastAsia="仿宋"/>
                <w:szCs w:val="21"/>
              </w:rPr>
            </w:pPr>
            <w:r>
              <w:rPr>
                <w:rFonts w:hint="eastAsia" w:ascii="仿宋" w:hAnsi="仿宋" w:eastAsia="仿宋"/>
                <w:szCs w:val="21"/>
              </w:rPr>
              <w:t>/</w:t>
            </w:r>
          </w:p>
          <w:p w14:paraId="5E219426">
            <w:pPr>
              <w:jc w:val="center"/>
              <w:rPr>
                <w:rFonts w:hint="eastAsia" w:ascii="仿宋" w:hAnsi="仿宋" w:eastAsia="仿宋"/>
                <w:szCs w:val="21"/>
              </w:rPr>
            </w:pPr>
            <w:r>
              <w:rPr>
                <w:rFonts w:hint="eastAsia" w:ascii="仿宋" w:hAnsi="仿宋" w:eastAsia="仿宋"/>
                <w:szCs w:val="21"/>
              </w:rPr>
              <w:t>铜奖</w:t>
            </w:r>
          </w:p>
        </w:tc>
        <w:tc>
          <w:tcPr>
            <w:tcW w:w="3429" w:type="dxa"/>
            <w:gridSpan w:val="4"/>
            <w:shd w:val="clear" w:color="auto" w:fill="auto"/>
            <w:vAlign w:val="center"/>
          </w:tcPr>
          <w:p w14:paraId="44D0452B">
            <w:pPr>
              <w:jc w:val="center"/>
              <w:rPr>
                <w:rFonts w:hint="eastAsia" w:ascii="仿宋" w:hAnsi="仿宋" w:eastAsia="仿宋"/>
                <w:szCs w:val="21"/>
              </w:rPr>
            </w:pPr>
            <w:r>
              <w:rPr>
                <w:rFonts w:hint="eastAsia" w:ascii="仿宋" w:hAnsi="仿宋" w:eastAsia="仿宋"/>
                <w:szCs w:val="21"/>
              </w:rPr>
              <w:t>国际级/国家级/中国国际大学生创新大赛（原中国国际“互联网+”大学生创新创业大赛）（北京赛区）/“挑战杯”首都大学生课外学术科技作品竞赛/“挑战杯”首都大学生创业计划大赛</w:t>
            </w:r>
          </w:p>
        </w:tc>
        <w:tc>
          <w:tcPr>
            <w:tcW w:w="2723" w:type="dxa"/>
            <w:gridSpan w:val="3"/>
            <w:shd w:val="clear" w:color="auto" w:fill="auto"/>
            <w:vAlign w:val="center"/>
          </w:tcPr>
          <w:p w14:paraId="781E1ED6">
            <w:pPr>
              <w:jc w:val="center"/>
              <w:rPr>
                <w:rFonts w:hint="eastAsia" w:ascii="仿宋" w:hAnsi="仿宋" w:eastAsia="仿宋"/>
                <w:szCs w:val="21"/>
              </w:rPr>
            </w:pPr>
            <w:r>
              <w:rPr>
                <w:rFonts w:hint="eastAsia" w:ascii="仿宋" w:hAnsi="仿宋" w:eastAsia="仿宋"/>
                <w:szCs w:val="21"/>
              </w:rPr>
              <w:t>省部级</w:t>
            </w:r>
          </w:p>
        </w:tc>
      </w:tr>
      <w:tr w14:paraId="70131D17">
        <w:trPr>
          <w:trHeight w:val="2189" w:hRule="atLeast"/>
        </w:trPr>
        <w:tc>
          <w:tcPr>
            <w:tcW w:w="1110" w:type="dxa"/>
            <w:vMerge w:val="continue"/>
            <w:shd w:val="clear" w:color="auto" w:fill="auto"/>
            <w:vAlign w:val="center"/>
          </w:tcPr>
          <w:p w14:paraId="3BCC2A4A">
            <w:pPr>
              <w:jc w:val="center"/>
              <w:rPr>
                <w:rFonts w:hint="eastAsia" w:ascii="仿宋" w:hAnsi="仿宋" w:eastAsia="仿宋"/>
                <w:szCs w:val="21"/>
              </w:rPr>
            </w:pPr>
          </w:p>
        </w:tc>
        <w:tc>
          <w:tcPr>
            <w:tcW w:w="924" w:type="dxa"/>
            <w:vMerge w:val="continue"/>
            <w:shd w:val="clear" w:color="auto" w:fill="auto"/>
            <w:vAlign w:val="center"/>
          </w:tcPr>
          <w:p w14:paraId="77484712">
            <w:pPr>
              <w:jc w:val="center"/>
              <w:rPr>
                <w:rFonts w:hint="eastAsia" w:ascii="仿宋" w:hAnsi="仿宋" w:eastAsia="仿宋"/>
                <w:szCs w:val="21"/>
              </w:rPr>
            </w:pPr>
          </w:p>
        </w:tc>
        <w:tc>
          <w:tcPr>
            <w:tcW w:w="914" w:type="dxa"/>
            <w:vMerge w:val="continue"/>
            <w:shd w:val="clear" w:color="auto" w:fill="auto"/>
            <w:vAlign w:val="center"/>
          </w:tcPr>
          <w:p w14:paraId="35C3B6CA">
            <w:pPr>
              <w:jc w:val="center"/>
              <w:rPr>
                <w:rFonts w:hint="eastAsia" w:ascii="仿宋" w:hAnsi="仿宋" w:eastAsia="仿宋"/>
                <w:szCs w:val="21"/>
              </w:rPr>
            </w:pPr>
          </w:p>
        </w:tc>
        <w:tc>
          <w:tcPr>
            <w:tcW w:w="762" w:type="dxa"/>
            <w:shd w:val="clear" w:color="auto" w:fill="auto"/>
            <w:vAlign w:val="center"/>
          </w:tcPr>
          <w:p w14:paraId="6070BBE4">
            <w:pPr>
              <w:jc w:val="center"/>
              <w:rPr>
                <w:rFonts w:hint="eastAsia" w:ascii="仿宋" w:hAnsi="仿宋" w:eastAsia="仿宋"/>
                <w:szCs w:val="21"/>
              </w:rPr>
            </w:pPr>
            <w:r>
              <w:rPr>
                <w:rFonts w:hint="eastAsia" w:ascii="仿宋" w:hAnsi="仿宋" w:eastAsia="仿宋"/>
                <w:szCs w:val="21"/>
              </w:rPr>
              <w:t>特等奖</w:t>
            </w:r>
          </w:p>
        </w:tc>
        <w:tc>
          <w:tcPr>
            <w:tcW w:w="924" w:type="dxa"/>
            <w:shd w:val="clear" w:color="auto" w:fill="auto"/>
            <w:vAlign w:val="center"/>
          </w:tcPr>
          <w:p w14:paraId="761BC042">
            <w:pPr>
              <w:jc w:val="center"/>
              <w:rPr>
                <w:rFonts w:hint="eastAsia" w:ascii="仿宋" w:hAnsi="仿宋" w:eastAsia="仿宋"/>
                <w:szCs w:val="21"/>
              </w:rPr>
            </w:pPr>
            <w:r>
              <w:rPr>
                <w:rFonts w:hint="eastAsia" w:ascii="仿宋" w:hAnsi="仿宋" w:eastAsia="仿宋"/>
                <w:szCs w:val="21"/>
              </w:rPr>
              <w:t>一等奖</w:t>
            </w:r>
          </w:p>
          <w:p w14:paraId="3954A0C8">
            <w:pPr>
              <w:jc w:val="center"/>
              <w:rPr>
                <w:rFonts w:hint="eastAsia" w:ascii="仿宋" w:hAnsi="仿宋" w:eastAsia="仿宋"/>
                <w:szCs w:val="21"/>
              </w:rPr>
            </w:pPr>
            <w:r>
              <w:rPr>
                <w:rFonts w:hint="eastAsia" w:ascii="仿宋" w:hAnsi="仿宋" w:eastAsia="仿宋"/>
                <w:szCs w:val="21"/>
              </w:rPr>
              <w:t>/</w:t>
            </w:r>
          </w:p>
          <w:p w14:paraId="7E20B470">
            <w:pPr>
              <w:jc w:val="center"/>
              <w:rPr>
                <w:rFonts w:hint="eastAsia" w:ascii="仿宋" w:hAnsi="仿宋" w:eastAsia="仿宋"/>
                <w:szCs w:val="21"/>
              </w:rPr>
            </w:pPr>
            <w:r>
              <w:rPr>
                <w:rFonts w:hint="eastAsia" w:ascii="仿宋" w:hAnsi="仿宋" w:eastAsia="仿宋"/>
                <w:szCs w:val="21"/>
              </w:rPr>
              <w:t>金奖</w:t>
            </w:r>
          </w:p>
        </w:tc>
        <w:tc>
          <w:tcPr>
            <w:tcW w:w="857" w:type="dxa"/>
            <w:shd w:val="clear" w:color="auto" w:fill="auto"/>
            <w:vAlign w:val="center"/>
          </w:tcPr>
          <w:p w14:paraId="157D1AA0">
            <w:pPr>
              <w:jc w:val="center"/>
              <w:rPr>
                <w:rFonts w:hint="eastAsia" w:ascii="仿宋" w:hAnsi="仿宋" w:eastAsia="仿宋"/>
                <w:szCs w:val="21"/>
              </w:rPr>
            </w:pPr>
            <w:r>
              <w:rPr>
                <w:rFonts w:hint="eastAsia" w:ascii="仿宋" w:hAnsi="仿宋" w:eastAsia="仿宋"/>
                <w:szCs w:val="21"/>
              </w:rPr>
              <w:t>二等奖</w:t>
            </w:r>
          </w:p>
          <w:p w14:paraId="18B48BE8">
            <w:pPr>
              <w:jc w:val="center"/>
              <w:rPr>
                <w:rFonts w:hint="eastAsia" w:ascii="仿宋" w:hAnsi="仿宋" w:eastAsia="仿宋"/>
                <w:szCs w:val="21"/>
              </w:rPr>
            </w:pPr>
            <w:r>
              <w:rPr>
                <w:rFonts w:hint="eastAsia" w:ascii="仿宋" w:hAnsi="仿宋" w:eastAsia="仿宋"/>
                <w:szCs w:val="21"/>
              </w:rPr>
              <w:t>/</w:t>
            </w:r>
          </w:p>
          <w:p w14:paraId="42909858">
            <w:pPr>
              <w:jc w:val="center"/>
              <w:rPr>
                <w:rFonts w:hint="eastAsia" w:ascii="仿宋" w:hAnsi="仿宋" w:eastAsia="仿宋"/>
                <w:szCs w:val="21"/>
              </w:rPr>
            </w:pPr>
            <w:r>
              <w:rPr>
                <w:rFonts w:hint="eastAsia" w:ascii="仿宋" w:hAnsi="仿宋" w:eastAsia="仿宋"/>
                <w:szCs w:val="21"/>
              </w:rPr>
              <w:t>银奖</w:t>
            </w:r>
          </w:p>
        </w:tc>
        <w:tc>
          <w:tcPr>
            <w:tcW w:w="886" w:type="dxa"/>
            <w:shd w:val="clear" w:color="auto" w:fill="auto"/>
            <w:vAlign w:val="center"/>
          </w:tcPr>
          <w:p w14:paraId="750776F6">
            <w:pPr>
              <w:jc w:val="center"/>
              <w:rPr>
                <w:rFonts w:hint="eastAsia" w:ascii="仿宋" w:hAnsi="仿宋" w:eastAsia="仿宋"/>
                <w:szCs w:val="21"/>
              </w:rPr>
            </w:pPr>
            <w:r>
              <w:rPr>
                <w:rFonts w:hint="eastAsia" w:ascii="仿宋" w:hAnsi="仿宋" w:eastAsia="仿宋"/>
                <w:szCs w:val="21"/>
              </w:rPr>
              <w:t>三等奖/</w:t>
            </w:r>
          </w:p>
          <w:p w14:paraId="566C8DCC">
            <w:pPr>
              <w:jc w:val="center"/>
              <w:rPr>
                <w:rFonts w:hint="eastAsia" w:ascii="仿宋" w:hAnsi="仿宋" w:eastAsia="仿宋"/>
                <w:szCs w:val="21"/>
              </w:rPr>
            </w:pPr>
            <w:r>
              <w:rPr>
                <w:rFonts w:hint="eastAsia" w:ascii="仿宋" w:hAnsi="仿宋" w:eastAsia="仿宋"/>
                <w:szCs w:val="21"/>
              </w:rPr>
              <w:t>铜奖</w:t>
            </w:r>
          </w:p>
        </w:tc>
        <w:tc>
          <w:tcPr>
            <w:tcW w:w="895" w:type="dxa"/>
            <w:shd w:val="clear" w:color="auto" w:fill="auto"/>
            <w:vAlign w:val="center"/>
          </w:tcPr>
          <w:p w14:paraId="5C6E6F78">
            <w:pPr>
              <w:jc w:val="center"/>
              <w:rPr>
                <w:rFonts w:hint="eastAsia" w:ascii="仿宋" w:hAnsi="仿宋" w:eastAsia="仿宋"/>
                <w:szCs w:val="21"/>
              </w:rPr>
            </w:pPr>
            <w:r>
              <w:rPr>
                <w:rFonts w:hint="eastAsia" w:ascii="仿宋" w:hAnsi="仿宋" w:eastAsia="仿宋"/>
                <w:szCs w:val="21"/>
              </w:rPr>
              <w:t>一等奖</w:t>
            </w:r>
          </w:p>
          <w:p w14:paraId="471CC9EC">
            <w:pPr>
              <w:jc w:val="center"/>
              <w:rPr>
                <w:rFonts w:hint="eastAsia" w:ascii="仿宋" w:hAnsi="仿宋" w:eastAsia="仿宋"/>
                <w:szCs w:val="21"/>
              </w:rPr>
            </w:pPr>
            <w:r>
              <w:rPr>
                <w:rFonts w:hint="eastAsia" w:ascii="仿宋" w:hAnsi="仿宋" w:eastAsia="仿宋"/>
                <w:szCs w:val="21"/>
              </w:rPr>
              <w:t>/</w:t>
            </w:r>
          </w:p>
          <w:p w14:paraId="36E39EBE">
            <w:pPr>
              <w:jc w:val="center"/>
              <w:rPr>
                <w:rFonts w:hint="eastAsia" w:ascii="仿宋" w:hAnsi="仿宋" w:eastAsia="仿宋"/>
                <w:szCs w:val="21"/>
              </w:rPr>
            </w:pPr>
            <w:r>
              <w:rPr>
                <w:rFonts w:hint="eastAsia" w:ascii="仿宋" w:hAnsi="仿宋" w:eastAsia="仿宋"/>
                <w:szCs w:val="21"/>
              </w:rPr>
              <w:t>金奖</w:t>
            </w:r>
          </w:p>
        </w:tc>
        <w:tc>
          <w:tcPr>
            <w:tcW w:w="905" w:type="dxa"/>
            <w:shd w:val="clear" w:color="auto" w:fill="auto"/>
            <w:vAlign w:val="center"/>
          </w:tcPr>
          <w:p w14:paraId="3C77C78C">
            <w:pPr>
              <w:jc w:val="center"/>
              <w:rPr>
                <w:rFonts w:hint="eastAsia" w:ascii="仿宋" w:hAnsi="仿宋" w:eastAsia="仿宋"/>
                <w:szCs w:val="21"/>
              </w:rPr>
            </w:pPr>
            <w:r>
              <w:rPr>
                <w:rFonts w:hint="eastAsia" w:ascii="仿宋" w:hAnsi="仿宋" w:eastAsia="仿宋"/>
                <w:szCs w:val="21"/>
              </w:rPr>
              <w:t>二等奖</w:t>
            </w:r>
          </w:p>
          <w:p w14:paraId="4157F0F9">
            <w:pPr>
              <w:jc w:val="center"/>
              <w:rPr>
                <w:rFonts w:hint="eastAsia" w:ascii="仿宋" w:hAnsi="仿宋" w:eastAsia="仿宋"/>
                <w:szCs w:val="21"/>
              </w:rPr>
            </w:pPr>
            <w:r>
              <w:rPr>
                <w:rFonts w:hint="eastAsia" w:ascii="仿宋" w:hAnsi="仿宋" w:eastAsia="仿宋"/>
                <w:szCs w:val="21"/>
              </w:rPr>
              <w:t>/</w:t>
            </w:r>
          </w:p>
          <w:p w14:paraId="3647F747">
            <w:pPr>
              <w:jc w:val="center"/>
              <w:rPr>
                <w:rFonts w:hint="eastAsia" w:ascii="仿宋" w:hAnsi="仿宋" w:eastAsia="仿宋"/>
                <w:szCs w:val="21"/>
              </w:rPr>
            </w:pPr>
            <w:r>
              <w:rPr>
                <w:rFonts w:hint="eastAsia" w:ascii="仿宋" w:hAnsi="仿宋" w:eastAsia="仿宋"/>
                <w:szCs w:val="21"/>
              </w:rPr>
              <w:t>银奖</w:t>
            </w:r>
          </w:p>
        </w:tc>
        <w:tc>
          <w:tcPr>
            <w:tcW w:w="923" w:type="dxa"/>
            <w:shd w:val="clear" w:color="auto" w:fill="auto"/>
            <w:vAlign w:val="center"/>
          </w:tcPr>
          <w:p w14:paraId="25C579EF">
            <w:pPr>
              <w:jc w:val="center"/>
              <w:rPr>
                <w:rFonts w:hint="eastAsia" w:ascii="仿宋" w:hAnsi="仿宋" w:eastAsia="仿宋"/>
                <w:szCs w:val="21"/>
              </w:rPr>
            </w:pPr>
            <w:r>
              <w:rPr>
                <w:rFonts w:hint="eastAsia" w:ascii="仿宋" w:hAnsi="仿宋" w:eastAsia="仿宋"/>
                <w:szCs w:val="21"/>
              </w:rPr>
              <w:t>三等奖</w:t>
            </w:r>
          </w:p>
          <w:p w14:paraId="273C6BCF">
            <w:pPr>
              <w:jc w:val="center"/>
              <w:rPr>
                <w:rFonts w:hint="eastAsia" w:ascii="仿宋" w:hAnsi="仿宋" w:eastAsia="仿宋"/>
                <w:szCs w:val="21"/>
              </w:rPr>
            </w:pPr>
            <w:r>
              <w:rPr>
                <w:rFonts w:hint="eastAsia" w:ascii="仿宋" w:hAnsi="仿宋" w:eastAsia="仿宋"/>
                <w:szCs w:val="21"/>
              </w:rPr>
              <w:t>/</w:t>
            </w:r>
          </w:p>
          <w:p w14:paraId="44AE82E5">
            <w:pPr>
              <w:jc w:val="center"/>
              <w:rPr>
                <w:rFonts w:hint="eastAsia" w:ascii="仿宋" w:hAnsi="仿宋" w:eastAsia="仿宋"/>
                <w:szCs w:val="21"/>
              </w:rPr>
            </w:pPr>
            <w:r>
              <w:rPr>
                <w:rFonts w:hint="eastAsia" w:ascii="仿宋" w:hAnsi="仿宋" w:eastAsia="仿宋"/>
                <w:szCs w:val="21"/>
              </w:rPr>
              <w:t>铜奖</w:t>
            </w:r>
          </w:p>
        </w:tc>
      </w:tr>
      <w:tr w14:paraId="6AF20159">
        <w:trPr>
          <w:trHeight w:val="1225" w:hRule="atLeast"/>
        </w:trPr>
        <w:tc>
          <w:tcPr>
            <w:tcW w:w="1110" w:type="dxa"/>
            <w:shd w:val="clear" w:color="auto" w:fill="auto"/>
            <w:vAlign w:val="center"/>
          </w:tcPr>
          <w:p w14:paraId="79F824A9">
            <w:pPr>
              <w:jc w:val="center"/>
              <w:rPr>
                <w:rFonts w:hint="eastAsia" w:ascii="仿宋" w:hAnsi="仿宋" w:eastAsia="仿宋"/>
                <w:szCs w:val="21"/>
              </w:rPr>
            </w:pPr>
            <w:r>
              <w:rPr>
                <w:rFonts w:hint="eastAsia" w:ascii="仿宋" w:hAnsi="仿宋" w:eastAsia="仿宋"/>
                <w:szCs w:val="21"/>
              </w:rPr>
              <w:t>奖励分</w:t>
            </w:r>
            <w:r>
              <w:rPr>
                <w:rFonts w:eastAsia="仿宋"/>
                <w:sz w:val="24"/>
              </w:rPr>
              <w:t>S</w:t>
            </w:r>
            <w:r>
              <w:rPr>
                <w:rFonts w:hint="eastAsia" w:ascii="仿宋" w:hAnsi="仿宋" w:eastAsia="仿宋"/>
                <w:sz w:val="24"/>
                <w:vertAlign w:val="subscript"/>
              </w:rPr>
              <w:t>1</w:t>
            </w:r>
          </w:p>
        </w:tc>
        <w:tc>
          <w:tcPr>
            <w:tcW w:w="924" w:type="dxa"/>
            <w:shd w:val="clear" w:color="auto" w:fill="auto"/>
            <w:vAlign w:val="center"/>
          </w:tcPr>
          <w:p w14:paraId="3CC0B67B">
            <w:pPr>
              <w:jc w:val="center"/>
              <w:rPr>
                <w:rFonts w:hint="eastAsia" w:ascii="仿宋" w:hAnsi="仿宋" w:eastAsia="仿宋"/>
                <w:szCs w:val="21"/>
              </w:rPr>
            </w:pPr>
            <w:r>
              <w:rPr>
                <w:rFonts w:hint="eastAsia" w:ascii="仿宋" w:hAnsi="仿宋" w:eastAsia="仿宋"/>
                <w:szCs w:val="21"/>
              </w:rPr>
              <w:t>3</w:t>
            </w:r>
          </w:p>
        </w:tc>
        <w:tc>
          <w:tcPr>
            <w:tcW w:w="914" w:type="dxa"/>
            <w:shd w:val="clear" w:color="auto" w:fill="auto"/>
            <w:vAlign w:val="center"/>
          </w:tcPr>
          <w:p w14:paraId="61C4F34D">
            <w:pPr>
              <w:jc w:val="center"/>
              <w:rPr>
                <w:rFonts w:hint="eastAsia" w:ascii="仿宋" w:hAnsi="仿宋" w:eastAsia="仿宋"/>
                <w:szCs w:val="21"/>
              </w:rPr>
            </w:pPr>
            <w:r>
              <w:rPr>
                <w:rFonts w:hint="eastAsia" w:ascii="仿宋" w:hAnsi="仿宋" w:eastAsia="仿宋"/>
                <w:szCs w:val="21"/>
              </w:rPr>
              <w:t>2.5</w:t>
            </w:r>
          </w:p>
        </w:tc>
        <w:tc>
          <w:tcPr>
            <w:tcW w:w="762" w:type="dxa"/>
            <w:shd w:val="clear" w:color="auto" w:fill="auto"/>
            <w:vAlign w:val="center"/>
          </w:tcPr>
          <w:p w14:paraId="757FEFDD">
            <w:pPr>
              <w:jc w:val="center"/>
              <w:rPr>
                <w:rFonts w:hint="eastAsia" w:ascii="仿宋" w:hAnsi="仿宋" w:eastAsia="仿宋"/>
                <w:szCs w:val="21"/>
              </w:rPr>
            </w:pPr>
            <w:r>
              <w:rPr>
                <w:rFonts w:hint="eastAsia" w:ascii="仿宋" w:hAnsi="仿宋" w:eastAsia="仿宋"/>
                <w:szCs w:val="21"/>
              </w:rPr>
              <w:t>2.3</w:t>
            </w:r>
          </w:p>
        </w:tc>
        <w:tc>
          <w:tcPr>
            <w:tcW w:w="924" w:type="dxa"/>
            <w:shd w:val="clear" w:color="auto" w:fill="auto"/>
            <w:vAlign w:val="center"/>
          </w:tcPr>
          <w:p w14:paraId="1AB14187">
            <w:pPr>
              <w:jc w:val="center"/>
              <w:rPr>
                <w:rFonts w:hint="eastAsia" w:ascii="仿宋" w:hAnsi="仿宋" w:eastAsia="仿宋"/>
                <w:szCs w:val="21"/>
              </w:rPr>
            </w:pPr>
            <w:r>
              <w:rPr>
                <w:rFonts w:hint="eastAsia" w:ascii="仿宋" w:hAnsi="仿宋" w:eastAsia="仿宋"/>
                <w:szCs w:val="21"/>
              </w:rPr>
              <w:t>2</w:t>
            </w:r>
          </w:p>
        </w:tc>
        <w:tc>
          <w:tcPr>
            <w:tcW w:w="857" w:type="dxa"/>
            <w:shd w:val="clear" w:color="auto" w:fill="auto"/>
            <w:vAlign w:val="center"/>
          </w:tcPr>
          <w:p w14:paraId="5B672213">
            <w:pPr>
              <w:jc w:val="center"/>
              <w:rPr>
                <w:rFonts w:hint="eastAsia" w:ascii="仿宋" w:hAnsi="仿宋" w:eastAsia="仿宋"/>
                <w:szCs w:val="21"/>
              </w:rPr>
            </w:pPr>
            <w:r>
              <w:rPr>
                <w:rFonts w:hint="eastAsia" w:ascii="仿宋" w:hAnsi="仿宋" w:eastAsia="仿宋"/>
                <w:szCs w:val="21"/>
              </w:rPr>
              <w:t>1.5</w:t>
            </w:r>
          </w:p>
        </w:tc>
        <w:tc>
          <w:tcPr>
            <w:tcW w:w="886" w:type="dxa"/>
            <w:shd w:val="clear" w:color="auto" w:fill="auto"/>
            <w:vAlign w:val="center"/>
          </w:tcPr>
          <w:p w14:paraId="162F3FE3">
            <w:pPr>
              <w:jc w:val="center"/>
              <w:rPr>
                <w:rFonts w:hint="eastAsia" w:ascii="仿宋" w:hAnsi="仿宋" w:eastAsia="仿宋"/>
                <w:szCs w:val="21"/>
              </w:rPr>
            </w:pPr>
            <w:r>
              <w:rPr>
                <w:rFonts w:hint="eastAsia" w:ascii="仿宋" w:hAnsi="仿宋" w:eastAsia="仿宋"/>
                <w:szCs w:val="21"/>
              </w:rPr>
              <w:t>1</w:t>
            </w:r>
          </w:p>
        </w:tc>
        <w:tc>
          <w:tcPr>
            <w:tcW w:w="895" w:type="dxa"/>
            <w:shd w:val="clear" w:color="auto" w:fill="auto"/>
            <w:vAlign w:val="center"/>
          </w:tcPr>
          <w:p w14:paraId="134BAFD8">
            <w:pPr>
              <w:jc w:val="center"/>
              <w:rPr>
                <w:rFonts w:hint="eastAsia" w:ascii="仿宋" w:hAnsi="仿宋" w:eastAsia="仿宋"/>
                <w:szCs w:val="21"/>
              </w:rPr>
            </w:pPr>
            <w:r>
              <w:rPr>
                <w:rFonts w:hint="eastAsia" w:ascii="仿宋" w:hAnsi="仿宋" w:eastAsia="仿宋"/>
                <w:szCs w:val="21"/>
              </w:rPr>
              <w:t>1</w:t>
            </w:r>
          </w:p>
        </w:tc>
        <w:tc>
          <w:tcPr>
            <w:tcW w:w="905" w:type="dxa"/>
            <w:shd w:val="clear" w:color="auto" w:fill="auto"/>
            <w:vAlign w:val="center"/>
          </w:tcPr>
          <w:p w14:paraId="139A0744">
            <w:pPr>
              <w:jc w:val="center"/>
              <w:rPr>
                <w:rFonts w:hint="eastAsia" w:ascii="仿宋" w:hAnsi="仿宋" w:eastAsia="仿宋"/>
                <w:szCs w:val="21"/>
              </w:rPr>
            </w:pPr>
            <w:r>
              <w:rPr>
                <w:rFonts w:hint="eastAsia" w:ascii="仿宋" w:hAnsi="仿宋" w:eastAsia="仿宋"/>
                <w:szCs w:val="21"/>
              </w:rPr>
              <w:t>0.5</w:t>
            </w:r>
          </w:p>
        </w:tc>
        <w:tc>
          <w:tcPr>
            <w:tcW w:w="923" w:type="dxa"/>
            <w:shd w:val="clear" w:color="auto" w:fill="auto"/>
            <w:vAlign w:val="center"/>
          </w:tcPr>
          <w:p w14:paraId="256E0D87">
            <w:pPr>
              <w:jc w:val="center"/>
              <w:rPr>
                <w:rFonts w:hint="eastAsia" w:ascii="仿宋" w:hAnsi="仿宋" w:eastAsia="仿宋"/>
                <w:szCs w:val="21"/>
              </w:rPr>
            </w:pPr>
            <w:r>
              <w:rPr>
                <w:rFonts w:hint="eastAsia" w:ascii="仿宋" w:hAnsi="仿宋" w:eastAsia="仿宋"/>
                <w:szCs w:val="21"/>
              </w:rPr>
              <w:t>0.3</w:t>
            </w:r>
          </w:p>
        </w:tc>
      </w:tr>
    </w:tbl>
    <w:p w14:paraId="7A092D2C">
      <w:pPr>
        <w:pStyle w:val="3"/>
        <w:spacing w:before="240" w:line="380" w:lineRule="exact"/>
        <w:rPr>
          <w:rFonts w:ascii="仿宋_GB2312" w:eastAsia="仿宋_GB2312"/>
          <w:kern w:val="2"/>
          <w:szCs w:val="32"/>
        </w:rPr>
      </w:pPr>
    </w:p>
    <w:p w14:paraId="6849781A">
      <w:pPr>
        <w:pStyle w:val="3"/>
        <w:spacing w:before="240" w:line="380" w:lineRule="exact"/>
        <w:ind w:firstLine="640" w:firstLineChars="200"/>
        <w:rPr>
          <w:rFonts w:ascii="仿宋_GB2312" w:eastAsia="仿宋_GB2312"/>
          <w:kern w:val="2"/>
          <w:szCs w:val="32"/>
        </w:rPr>
      </w:pPr>
      <w:r>
        <w:rPr>
          <w:rFonts w:hint="eastAsia" w:ascii="仿宋_GB2312" w:eastAsia="仿宋_GB2312"/>
          <w:kern w:val="2"/>
          <w:szCs w:val="32"/>
        </w:rPr>
        <w:t>科研项目奖励分参考表：</w:t>
      </w:r>
    </w:p>
    <w:tbl>
      <w:tblPr>
        <w:tblStyle w:val="8"/>
        <w:tblW w:w="4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0"/>
        <w:gridCol w:w="2440"/>
        <w:gridCol w:w="2558"/>
      </w:tblGrid>
      <w:tr w14:paraId="0898D947">
        <w:trPr>
          <w:trHeight w:val="446" w:hRule="exact"/>
          <w:jc w:val="center"/>
        </w:trPr>
        <w:tc>
          <w:tcPr>
            <w:tcW w:w="1640" w:type="pct"/>
            <w:vAlign w:val="center"/>
          </w:tcPr>
          <w:p w14:paraId="333189E6">
            <w:pPr>
              <w:spacing w:line="300" w:lineRule="exact"/>
              <w:jc w:val="center"/>
              <w:rPr>
                <w:rFonts w:hint="eastAsia" w:ascii="仿宋" w:hAnsi="仿宋" w:eastAsia="仿宋"/>
                <w:sz w:val="24"/>
              </w:rPr>
            </w:pPr>
            <w:r>
              <w:rPr>
                <w:rFonts w:hint="eastAsia" w:ascii="仿宋" w:hAnsi="仿宋" w:eastAsia="仿宋"/>
                <w:sz w:val="24"/>
              </w:rPr>
              <w:t>科研项目</w:t>
            </w:r>
            <w:r>
              <w:rPr>
                <w:rFonts w:ascii="仿宋" w:hAnsi="仿宋" w:eastAsia="仿宋"/>
                <w:sz w:val="24"/>
              </w:rPr>
              <w:t>等级</w:t>
            </w:r>
          </w:p>
        </w:tc>
        <w:tc>
          <w:tcPr>
            <w:tcW w:w="3359" w:type="pct"/>
            <w:gridSpan w:val="2"/>
            <w:vAlign w:val="center"/>
          </w:tcPr>
          <w:p w14:paraId="651FC75A">
            <w:pPr>
              <w:spacing w:line="300" w:lineRule="exact"/>
              <w:jc w:val="center"/>
              <w:rPr>
                <w:rFonts w:hint="eastAsia" w:ascii="仿宋" w:hAnsi="仿宋" w:eastAsia="仿宋"/>
                <w:sz w:val="24"/>
              </w:rPr>
            </w:pPr>
            <w:r>
              <w:rPr>
                <w:rFonts w:hint="eastAsia" w:ascii="仿宋" w:hAnsi="仿宋" w:eastAsia="仿宋"/>
                <w:sz w:val="24"/>
              </w:rPr>
              <w:t>国家级</w:t>
            </w:r>
          </w:p>
        </w:tc>
      </w:tr>
      <w:tr w14:paraId="64B7ADB7">
        <w:trPr>
          <w:trHeight w:val="446" w:hRule="exact"/>
          <w:jc w:val="center"/>
        </w:trPr>
        <w:tc>
          <w:tcPr>
            <w:tcW w:w="1640" w:type="pct"/>
            <w:vAlign w:val="center"/>
          </w:tcPr>
          <w:p w14:paraId="099A4BB3">
            <w:pPr>
              <w:spacing w:line="300" w:lineRule="exact"/>
              <w:jc w:val="center"/>
              <w:rPr>
                <w:rFonts w:hint="eastAsia" w:ascii="仿宋" w:hAnsi="仿宋" w:eastAsia="仿宋"/>
                <w:sz w:val="24"/>
              </w:rPr>
            </w:pPr>
            <w:r>
              <w:rPr>
                <w:rFonts w:hint="eastAsia" w:ascii="仿宋" w:hAnsi="仿宋" w:eastAsia="仿宋"/>
                <w:sz w:val="24"/>
              </w:rPr>
              <w:t>学生分类</w:t>
            </w:r>
          </w:p>
        </w:tc>
        <w:tc>
          <w:tcPr>
            <w:tcW w:w="1640" w:type="pct"/>
            <w:vAlign w:val="center"/>
          </w:tcPr>
          <w:p w14:paraId="4A48C941">
            <w:pPr>
              <w:spacing w:line="300" w:lineRule="exact"/>
              <w:jc w:val="center"/>
              <w:rPr>
                <w:rFonts w:hint="eastAsia" w:ascii="仿宋" w:hAnsi="仿宋" w:eastAsia="仿宋"/>
                <w:sz w:val="24"/>
              </w:rPr>
            </w:pPr>
            <w:r>
              <w:rPr>
                <w:rFonts w:hint="eastAsia" w:ascii="仿宋" w:hAnsi="仿宋" w:eastAsia="仿宋"/>
                <w:sz w:val="24"/>
              </w:rPr>
              <w:t>负责人</w:t>
            </w:r>
          </w:p>
        </w:tc>
        <w:tc>
          <w:tcPr>
            <w:tcW w:w="1719" w:type="pct"/>
            <w:vAlign w:val="center"/>
          </w:tcPr>
          <w:p w14:paraId="3A152059">
            <w:pPr>
              <w:spacing w:line="300" w:lineRule="exact"/>
              <w:jc w:val="center"/>
              <w:rPr>
                <w:rFonts w:hint="eastAsia" w:ascii="仿宋" w:hAnsi="仿宋" w:eastAsia="仿宋"/>
                <w:sz w:val="24"/>
              </w:rPr>
            </w:pPr>
            <w:r>
              <w:rPr>
                <w:rFonts w:hint="eastAsia" w:ascii="仿宋" w:hAnsi="仿宋" w:eastAsia="仿宋"/>
                <w:sz w:val="24"/>
              </w:rPr>
              <w:t>其他成员</w:t>
            </w:r>
          </w:p>
        </w:tc>
      </w:tr>
      <w:tr w14:paraId="07083097">
        <w:trPr>
          <w:trHeight w:val="454" w:hRule="exact"/>
          <w:jc w:val="center"/>
        </w:trPr>
        <w:tc>
          <w:tcPr>
            <w:tcW w:w="1640" w:type="pct"/>
            <w:vAlign w:val="center"/>
          </w:tcPr>
          <w:p w14:paraId="4F862AD0">
            <w:pPr>
              <w:spacing w:line="300" w:lineRule="exact"/>
              <w:jc w:val="center"/>
              <w:rPr>
                <w:rFonts w:hint="eastAsia" w:ascii="仿宋" w:hAnsi="仿宋" w:eastAsia="仿宋"/>
                <w:sz w:val="24"/>
                <w:vertAlign w:val="subscript"/>
              </w:rPr>
            </w:pPr>
            <w:r>
              <w:rPr>
                <w:rFonts w:ascii="仿宋" w:hAnsi="仿宋" w:eastAsia="仿宋"/>
                <w:sz w:val="24"/>
              </w:rPr>
              <w:t>奖励分</w:t>
            </w:r>
            <w:r>
              <w:rPr>
                <w:rFonts w:eastAsia="仿宋"/>
                <w:sz w:val="24"/>
              </w:rPr>
              <w:t>S</w:t>
            </w:r>
            <w:r>
              <w:rPr>
                <w:rFonts w:hint="eastAsia" w:ascii="仿宋" w:hAnsi="仿宋" w:eastAsia="仿宋"/>
                <w:sz w:val="24"/>
                <w:vertAlign w:val="subscript"/>
              </w:rPr>
              <w:t>1</w:t>
            </w:r>
          </w:p>
        </w:tc>
        <w:tc>
          <w:tcPr>
            <w:tcW w:w="1640" w:type="pct"/>
            <w:vAlign w:val="center"/>
          </w:tcPr>
          <w:p w14:paraId="098D230A">
            <w:pPr>
              <w:spacing w:line="300" w:lineRule="exact"/>
              <w:jc w:val="center"/>
              <w:rPr>
                <w:rFonts w:hint="eastAsia" w:ascii="仿宋" w:hAnsi="仿宋" w:eastAsia="仿宋"/>
                <w:sz w:val="24"/>
              </w:rPr>
            </w:pPr>
            <w:r>
              <w:rPr>
                <w:rFonts w:hint="eastAsia" w:ascii="仿宋" w:hAnsi="仿宋" w:eastAsia="仿宋"/>
                <w:sz w:val="24"/>
              </w:rPr>
              <w:t>1</w:t>
            </w:r>
          </w:p>
        </w:tc>
        <w:tc>
          <w:tcPr>
            <w:tcW w:w="1719" w:type="pct"/>
            <w:vAlign w:val="center"/>
          </w:tcPr>
          <w:p w14:paraId="32044D16">
            <w:pPr>
              <w:spacing w:line="300" w:lineRule="exact"/>
              <w:jc w:val="center"/>
              <w:rPr>
                <w:rFonts w:hint="eastAsia" w:ascii="仿宋" w:hAnsi="仿宋" w:eastAsia="仿宋"/>
                <w:sz w:val="24"/>
              </w:rPr>
            </w:pPr>
            <w:r>
              <w:rPr>
                <w:rFonts w:hint="eastAsia" w:ascii="仿宋" w:hAnsi="仿宋" w:eastAsia="仿宋"/>
                <w:sz w:val="24"/>
              </w:rPr>
              <w:t>0.5</w:t>
            </w:r>
          </w:p>
        </w:tc>
      </w:tr>
    </w:tbl>
    <w:p w14:paraId="70B49F98">
      <w:pPr>
        <w:pStyle w:val="3"/>
        <w:spacing w:before="240" w:after="156" w:afterLines="50" w:line="380" w:lineRule="exact"/>
        <w:ind w:firstLine="640" w:firstLineChars="200"/>
        <w:rPr>
          <w:rFonts w:hint="eastAsia" w:ascii="楷体_GB2312" w:hAnsi="楷体_GB2312" w:eastAsia="楷体_GB2312" w:cs="楷体_GB2312"/>
          <w:kern w:val="2"/>
          <w:szCs w:val="32"/>
        </w:rPr>
      </w:pPr>
      <w:r>
        <w:rPr>
          <w:rFonts w:hint="eastAsia" w:ascii="楷体_GB2312" w:hAnsi="楷体_GB2312" w:eastAsia="楷体_GB2312" w:cs="楷体_GB2312"/>
          <w:kern w:val="2"/>
          <w:szCs w:val="32"/>
        </w:rPr>
        <w:t>（二）在校学习期间发表本专业领域学术论文：奖励分≤3分（普刊奖励分≤1）。</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654"/>
        <w:gridCol w:w="588"/>
        <w:gridCol w:w="879"/>
        <w:gridCol w:w="878"/>
        <w:gridCol w:w="878"/>
        <w:gridCol w:w="878"/>
        <w:gridCol w:w="878"/>
        <w:gridCol w:w="878"/>
        <w:gridCol w:w="878"/>
      </w:tblGrid>
      <w:tr w14:paraId="35F8760D">
        <w:trPr>
          <w:trHeight w:val="397" w:hRule="atLeast"/>
          <w:jc w:val="center"/>
        </w:trPr>
        <w:tc>
          <w:tcPr>
            <w:tcW w:w="1355" w:type="dxa"/>
            <w:vAlign w:val="center"/>
          </w:tcPr>
          <w:p w14:paraId="25BFE350">
            <w:pPr>
              <w:jc w:val="center"/>
              <w:rPr>
                <w:rFonts w:hint="eastAsia" w:ascii="仿宋" w:hAnsi="仿宋" w:eastAsia="仿宋"/>
                <w:sz w:val="24"/>
              </w:rPr>
            </w:pPr>
            <w:r>
              <w:rPr>
                <w:rFonts w:ascii="仿宋" w:hAnsi="仿宋" w:eastAsia="仿宋"/>
                <w:sz w:val="24"/>
              </w:rPr>
              <w:t>级</w:t>
            </w:r>
            <w:r>
              <w:rPr>
                <w:rFonts w:hint="eastAsia" w:ascii="仿宋" w:hAnsi="仿宋" w:eastAsia="仿宋"/>
                <w:sz w:val="24"/>
              </w:rPr>
              <w:t xml:space="preserve"> </w:t>
            </w:r>
            <w:r>
              <w:rPr>
                <w:rFonts w:ascii="仿宋" w:hAnsi="仿宋" w:eastAsia="仿宋"/>
                <w:sz w:val="24"/>
              </w:rPr>
              <w:t>别</w:t>
            </w:r>
          </w:p>
        </w:tc>
        <w:tc>
          <w:tcPr>
            <w:tcW w:w="1242" w:type="dxa"/>
            <w:gridSpan w:val="2"/>
            <w:vAlign w:val="center"/>
          </w:tcPr>
          <w:p w14:paraId="37D5870E">
            <w:pPr>
              <w:jc w:val="center"/>
              <w:rPr>
                <w:rFonts w:hint="eastAsia" w:ascii="仿宋" w:hAnsi="仿宋" w:eastAsia="仿宋"/>
                <w:sz w:val="24"/>
              </w:rPr>
            </w:pPr>
            <w:r>
              <w:rPr>
                <w:rFonts w:hint="eastAsia" w:ascii="仿宋" w:hAnsi="仿宋" w:eastAsia="仿宋"/>
                <w:sz w:val="24"/>
              </w:rPr>
              <w:t>SCI/SSCI</w:t>
            </w:r>
          </w:p>
        </w:tc>
        <w:tc>
          <w:tcPr>
            <w:tcW w:w="1757" w:type="dxa"/>
            <w:gridSpan w:val="2"/>
            <w:shd w:val="clear" w:color="auto" w:fill="auto"/>
            <w:vAlign w:val="center"/>
          </w:tcPr>
          <w:p w14:paraId="029143B4">
            <w:pPr>
              <w:jc w:val="center"/>
              <w:rPr>
                <w:rFonts w:hint="eastAsia" w:ascii="仿宋" w:hAnsi="仿宋" w:eastAsia="仿宋"/>
                <w:sz w:val="24"/>
              </w:rPr>
            </w:pPr>
            <w:r>
              <w:rPr>
                <w:rFonts w:hint="eastAsia" w:ascii="仿宋" w:hAnsi="仿宋" w:eastAsia="仿宋"/>
                <w:sz w:val="24"/>
              </w:rPr>
              <w:t>期刊EI</w:t>
            </w:r>
            <w:r>
              <w:rPr>
                <w:rFonts w:ascii="仿宋" w:hAnsi="仿宋" w:eastAsia="仿宋"/>
                <w:sz w:val="24"/>
              </w:rPr>
              <w:t>/</w:t>
            </w:r>
            <w:r>
              <w:rPr>
                <w:rFonts w:hint="eastAsia" w:ascii="仿宋" w:hAnsi="仿宋" w:eastAsia="仿宋"/>
                <w:sz w:val="24"/>
              </w:rPr>
              <w:t>CSSCI</w:t>
            </w:r>
          </w:p>
        </w:tc>
        <w:tc>
          <w:tcPr>
            <w:tcW w:w="1756" w:type="dxa"/>
            <w:gridSpan w:val="2"/>
            <w:shd w:val="clear" w:color="auto" w:fill="auto"/>
            <w:vAlign w:val="center"/>
          </w:tcPr>
          <w:p w14:paraId="390F5017">
            <w:pPr>
              <w:jc w:val="center"/>
              <w:rPr>
                <w:rFonts w:hint="eastAsia" w:ascii="仿宋" w:hAnsi="仿宋" w:eastAsia="仿宋"/>
                <w:sz w:val="24"/>
              </w:rPr>
            </w:pPr>
            <w:r>
              <w:rPr>
                <w:rFonts w:hint="eastAsia" w:ascii="仿宋" w:hAnsi="仿宋" w:eastAsia="仿宋"/>
                <w:sz w:val="24"/>
              </w:rPr>
              <w:t>核刊或学科评估指定刊物</w:t>
            </w:r>
          </w:p>
        </w:tc>
        <w:tc>
          <w:tcPr>
            <w:tcW w:w="878" w:type="dxa"/>
            <w:vAlign w:val="center"/>
          </w:tcPr>
          <w:p w14:paraId="20D07EA4">
            <w:pPr>
              <w:jc w:val="center"/>
              <w:rPr>
                <w:rFonts w:hint="eastAsia" w:ascii="仿宋" w:hAnsi="仿宋" w:eastAsia="仿宋"/>
                <w:sz w:val="24"/>
              </w:rPr>
            </w:pPr>
            <w:r>
              <w:rPr>
                <w:rFonts w:hint="eastAsia" w:ascii="仿宋" w:hAnsi="仿宋" w:eastAsia="仿宋"/>
                <w:sz w:val="24"/>
              </w:rPr>
              <w:t>普刊</w:t>
            </w:r>
          </w:p>
        </w:tc>
        <w:tc>
          <w:tcPr>
            <w:tcW w:w="1756" w:type="dxa"/>
            <w:gridSpan w:val="2"/>
            <w:shd w:val="clear" w:color="auto" w:fill="auto"/>
            <w:vAlign w:val="center"/>
          </w:tcPr>
          <w:p w14:paraId="42761B93">
            <w:pPr>
              <w:jc w:val="center"/>
              <w:rPr>
                <w:rFonts w:hint="eastAsia" w:ascii="仿宋" w:hAnsi="仿宋" w:eastAsia="仿宋"/>
                <w:sz w:val="24"/>
              </w:rPr>
            </w:pPr>
            <w:r>
              <w:rPr>
                <w:rFonts w:hint="eastAsia" w:ascii="仿宋" w:hAnsi="仿宋" w:eastAsia="仿宋"/>
                <w:sz w:val="24"/>
              </w:rPr>
              <w:t>专著/教材</w:t>
            </w:r>
          </w:p>
        </w:tc>
      </w:tr>
      <w:tr w14:paraId="2A6FD770">
        <w:trPr>
          <w:trHeight w:val="397" w:hRule="atLeast"/>
          <w:jc w:val="center"/>
        </w:trPr>
        <w:tc>
          <w:tcPr>
            <w:tcW w:w="1355" w:type="dxa"/>
            <w:vAlign w:val="center"/>
          </w:tcPr>
          <w:p w14:paraId="13D179F0">
            <w:pPr>
              <w:jc w:val="center"/>
              <w:rPr>
                <w:rFonts w:hint="eastAsia" w:ascii="仿宋" w:hAnsi="仿宋" w:eastAsia="仿宋"/>
                <w:sz w:val="24"/>
              </w:rPr>
            </w:pPr>
            <w:r>
              <w:rPr>
                <w:rFonts w:ascii="仿宋" w:hAnsi="仿宋" w:eastAsia="仿宋"/>
                <w:sz w:val="24"/>
              </w:rPr>
              <w:t>排</w:t>
            </w:r>
            <w:r>
              <w:rPr>
                <w:rFonts w:hint="eastAsia" w:ascii="仿宋" w:hAnsi="仿宋" w:eastAsia="仿宋"/>
                <w:sz w:val="24"/>
              </w:rPr>
              <w:t xml:space="preserve"> </w:t>
            </w:r>
            <w:r>
              <w:rPr>
                <w:rFonts w:ascii="仿宋" w:hAnsi="仿宋" w:eastAsia="仿宋"/>
                <w:sz w:val="24"/>
              </w:rPr>
              <w:t>名</w:t>
            </w:r>
          </w:p>
        </w:tc>
        <w:tc>
          <w:tcPr>
            <w:tcW w:w="654" w:type="dxa"/>
            <w:vAlign w:val="center"/>
          </w:tcPr>
          <w:p w14:paraId="734BE8A1">
            <w:pPr>
              <w:jc w:val="center"/>
              <w:rPr>
                <w:rFonts w:hint="eastAsia" w:ascii="仿宋" w:hAnsi="仿宋" w:eastAsia="仿宋"/>
                <w:sz w:val="24"/>
              </w:rPr>
            </w:pPr>
            <w:r>
              <w:rPr>
                <w:rFonts w:hint="eastAsia" w:ascii="仿宋" w:hAnsi="仿宋" w:eastAsia="仿宋"/>
                <w:sz w:val="24"/>
              </w:rPr>
              <w:t>1</w:t>
            </w:r>
          </w:p>
        </w:tc>
        <w:tc>
          <w:tcPr>
            <w:tcW w:w="588" w:type="dxa"/>
            <w:vAlign w:val="center"/>
          </w:tcPr>
          <w:p w14:paraId="0288C481">
            <w:pPr>
              <w:jc w:val="center"/>
              <w:rPr>
                <w:rFonts w:hint="eastAsia" w:ascii="仿宋" w:hAnsi="仿宋" w:eastAsia="仿宋"/>
                <w:sz w:val="24"/>
              </w:rPr>
            </w:pPr>
            <w:r>
              <w:rPr>
                <w:rFonts w:hint="eastAsia" w:ascii="仿宋" w:hAnsi="仿宋" w:eastAsia="仿宋"/>
                <w:sz w:val="24"/>
              </w:rPr>
              <w:t>2</w:t>
            </w:r>
          </w:p>
        </w:tc>
        <w:tc>
          <w:tcPr>
            <w:tcW w:w="879" w:type="dxa"/>
            <w:vAlign w:val="center"/>
          </w:tcPr>
          <w:p w14:paraId="318FFB59">
            <w:pPr>
              <w:jc w:val="center"/>
              <w:rPr>
                <w:rFonts w:hint="eastAsia" w:ascii="仿宋" w:hAnsi="仿宋" w:eastAsia="仿宋"/>
                <w:sz w:val="24"/>
              </w:rPr>
            </w:pPr>
            <w:r>
              <w:rPr>
                <w:rFonts w:hint="eastAsia" w:ascii="仿宋" w:hAnsi="仿宋" w:eastAsia="仿宋"/>
                <w:sz w:val="24"/>
              </w:rPr>
              <w:t>1</w:t>
            </w:r>
          </w:p>
        </w:tc>
        <w:tc>
          <w:tcPr>
            <w:tcW w:w="878" w:type="dxa"/>
            <w:shd w:val="clear" w:color="auto" w:fill="auto"/>
            <w:vAlign w:val="center"/>
          </w:tcPr>
          <w:p w14:paraId="12773885">
            <w:pPr>
              <w:jc w:val="center"/>
              <w:rPr>
                <w:rFonts w:hint="eastAsia" w:ascii="仿宋" w:hAnsi="仿宋" w:eastAsia="仿宋"/>
                <w:sz w:val="24"/>
              </w:rPr>
            </w:pPr>
            <w:r>
              <w:rPr>
                <w:rFonts w:hint="eastAsia" w:ascii="仿宋" w:hAnsi="仿宋" w:eastAsia="仿宋"/>
                <w:sz w:val="24"/>
              </w:rPr>
              <w:t>2</w:t>
            </w:r>
          </w:p>
        </w:tc>
        <w:tc>
          <w:tcPr>
            <w:tcW w:w="878" w:type="dxa"/>
            <w:shd w:val="clear" w:color="auto" w:fill="auto"/>
            <w:vAlign w:val="center"/>
          </w:tcPr>
          <w:p w14:paraId="7BD49AA5">
            <w:pPr>
              <w:jc w:val="center"/>
              <w:rPr>
                <w:rFonts w:hint="eastAsia" w:ascii="仿宋" w:hAnsi="仿宋" w:eastAsia="仿宋"/>
                <w:sz w:val="24"/>
              </w:rPr>
            </w:pPr>
            <w:r>
              <w:rPr>
                <w:rFonts w:hint="eastAsia" w:ascii="仿宋" w:hAnsi="仿宋" w:eastAsia="仿宋"/>
                <w:sz w:val="24"/>
              </w:rPr>
              <w:t>1</w:t>
            </w:r>
          </w:p>
        </w:tc>
        <w:tc>
          <w:tcPr>
            <w:tcW w:w="878" w:type="dxa"/>
            <w:shd w:val="clear" w:color="auto" w:fill="auto"/>
            <w:vAlign w:val="center"/>
          </w:tcPr>
          <w:p w14:paraId="1B4F8D3C">
            <w:pPr>
              <w:jc w:val="center"/>
              <w:rPr>
                <w:rFonts w:hint="eastAsia" w:ascii="仿宋" w:hAnsi="仿宋" w:eastAsia="仿宋"/>
                <w:sz w:val="24"/>
              </w:rPr>
            </w:pPr>
            <w:r>
              <w:rPr>
                <w:rFonts w:hint="eastAsia" w:ascii="仿宋" w:hAnsi="仿宋" w:eastAsia="仿宋"/>
                <w:sz w:val="24"/>
              </w:rPr>
              <w:t>2</w:t>
            </w:r>
          </w:p>
        </w:tc>
        <w:tc>
          <w:tcPr>
            <w:tcW w:w="878" w:type="dxa"/>
            <w:vAlign w:val="center"/>
          </w:tcPr>
          <w:p w14:paraId="3578358B">
            <w:pPr>
              <w:jc w:val="center"/>
              <w:rPr>
                <w:rFonts w:hint="eastAsia" w:ascii="仿宋" w:hAnsi="仿宋" w:eastAsia="仿宋"/>
                <w:sz w:val="24"/>
              </w:rPr>
            </w:pPr>
            <w:r>
              <w:rPr>
                <w:rFonts w:hint="eastAsia" w:ascii="仿宋" w:hAnsi="仿宋" w:eastAsia="仿宋"/>
                <w:sz w:val="24"/>
              </w:rPr>
              <w:t>1</w:t>
            </w:r>
          </w:p>
        </w:tc>
        <w:tc>
          <w:tcPr>
            <w:tcW w:w="878" w:type="dxa"/>
            <w:shd w:val="clear" w:color="auto" w:fill="auto"/>
            <w:vAlign w:val="center"/>
          </w:tcPr>
          <w:p w14:paraId="23A411E5">
            <w:pPr>
              <w:jc w:val="center"/>
              <w:rPr>
                <w:rFonts w:hint="eastAsia" w:ascii="仿宋" w:hAnsi="仿宋" w:eastAsia="仿宋"/>
                <w:sz w:val="24"/>
              </w:rPr>
            </w:pPr>
            <w:r>
              <w:rPr>
                <w:rFonts w:hint="eastAsia" w:ascii="仿宋" w:hAnsi="仿宋" w:eastAsia="仿宋"/>
                <w:sz w:val="24"/>
              </w:rPr>
              <w:t>主编</w:t>
            </w:r>
          </w:p>
        </w:tc>
        <w:tc>
          <w:tcPr>
            <w:tcW w:w="878" w:type="dxa"/>
            <w:shd w:val="clear" w:color="auto" w:fill="auto"/>
            <w:vAlign w:val="center"/>
          </w:tcPr>
          <w:p w14:paraId="5B1FF554">
            <w:pPr>
              <w:jc w:val="center"/>
              <w:rPr>
                <w:rFonts w:hint="eastAsia" w:ascii="仿宋" w:hAnsi="仿宋" w:eastAsia="仿宋"/>
                <w:sz w:val="24"/>
              </w:rPr>
            </w:pPr>
            <w:r>
              <w:rPr>
                <w:rFonts w:hint="eastAsia" w:ascii="仿宋" w:hAnsi="仿宋" w:eastAsia="仿宋"/>
                <w:sz w:val="24"/>
              </w:rPr>
              <w:t>参编</w:t>
            </w:r>
          </w:p>
        </w:tc>
      </w:tr>
      <w:tr w14:paraId="1C837A91">
        <w:trPr>
          <w:trHeight w:val="307" w:hRule="atLeast"/>
          <w:jc w:val="center"/>
        </w:trPr>
        <w:tc>
          <w:tcPr>
            <w:tcW w:w="1355" w:type="dxa"/>
            <w:vAlign w:val="center"/>
          </w:tcPr>
          <w:p w14:paraId="6AE0029E">
            <w:pPr>
              <w:jc w:val="center"/>
              <w:rPr>
                <w:rFonts w:hint="eastAsia" w:ascii="仿宋" w:hAnsi="仿宋" w:eastAsia="仿宋"/>
                <w:sz w:val="24"/>
              </w:rPr>
            </w:pPr>
            <w:r>
              <w:rPr>
                <w:rFonts w:ascii="仿宋" w:hAnsi="仿宋" w:eastAsia="仿宋"/>
                <w:sz w:val="24"/>
              </w:rPr>
              <w:t>奖励</w:t>
            </w:r>
            <w:r>
              <w:rPr>
                <w:rFonts w:hint="eastAsia" w:ascii="仿宋" w:hAnsi="仿宋" w:eastAsia="仿宋"/>
                <w:sz w:val="24"/>
              </w:rPr>
              <w:t>分</w:t>
            </w:r>
            <w:r>
              <w:rPr>
                <w:rFonts w:eastAsia="仿宋"/>
                <w:sz w:val="24"/>
              </w:rPr>
              <w:t>S</w:t>
            </w:r>
            <w:r>
              <w:rPr>
                <w:rFonts w:hint="eastAsia" w:ascii="仿宋" w:hAnsi="仿宋" w:eastAsia="仿宋"/>
                <w:sz w:val="24"/>
                <w:vertAlign w:val="subscript"/>
              </w:rPr>
              <w:t>2</w:t>
            </w:r>
          </w:p>
        </w:tc>
        <w:tc>
          <w:tcPr>
            <w:tcW w:w="654" w:type="dxa"/>
            <w:vAlign w:val="center"/>
          </w:tcPr>
          <w:p w14:paraId="1948C113">
            <w:pPr>
              <w:jc w:val="center"/>
              <w:rPr>
                <w:rFonts w:hint="eastAsia" w:ascii="仿宋" w:hAnsi="仿宋" w:eastAsia="仿宋"/>
                <w:sz w:val="24"/>
              </w:rPr>
            </w:pPr>
            <w:r>
              <w:rPr>
                <w:rFonts w:hint="eastAsia" w:ascii="仿宋" w:hAnsi="仿宋" w:eastAsia="仿宋"/>
                <w:sz w:val="24"/>
              </w:rPr>
              <w:t>3</w:t>
            </w:r>
          </w:p>
        </w:tc>
        <w:tc>
          <w:tcPr>
            <w:tcW w:w="588" w:type="dxa"/>
            <w:vAlign w:val="center"/>
          </w:tcPr>
          <w:p w14:paraId="34B91AEB">
            <w:pPr>
              <w:jc w:val="center"/>
              <w:rPr>
                <w:rFonts w:hint="eastAsia" w:ascii="仿宋" w:hAnsi="仿宋" w:eastAsia="仿宋"/>
                <w:sz w:val="24"/>
              </w:rPr>
            </w:pPr>
            <w:r>
              <w:rPr>
                <w:rFonts w:hint="eastAsia" w:ascii="仿宋" w:hAnsi="仿宋" w:eastAsia="仿宋"/>
                <w:sz w:val="24"/>
              </w:rPr>
              <w:t>2</w:t>
            </w:r>
          </w:p>
        </w:tc>
        <w:tc>
          <w:tcPr>
            <w:tcW w:w="879" w:type="dxa"/>
            <w:vAlign w:val="center"/>
          </w:tcPr>
          <w:p w14:paraId="55439437">
            <w:pPr>
              <w:jc w:val="center"/>
              <w:rPr>
                <w:rFonts w:hint="eastAsia" w:ascii="仿宋" w:hAnsi="仿宋" w:eastAsia="仿宋"/>
                <w:sz w:val="24"/>
              </w:rPr>
            </w:pPr>
            <w:r>
              <w:rPr>
                <w:rFonts w:hint="eastAsia" w:ascii="仿宋" w:hAnsi="仿宋" w:eastAsia="仿宋"/>
                <w:sz w:val="24"/>
              </w:rPr>
              <w:t>2.5</w:t>
            </w:r>
          </w:p>
        </w:tc>
        <w:tc>
          <w:tcPr>
            <w:tcW w:w="878" w:type="dxa"/>
            <w:shd w:val="clear" w:color="auto" w:fill="auto"/>
            <w:vAlign w:val="center"/>
          </w:tcPr>
          <w:p w14:paraId="1650AE45">
            <w:pPr>
              <w:jc w:val="center"/>
              <w:rPr>
                <w:rFonts w:hint="eastAsia" w:ascii="仿宋" w:hAnsi="仿宋" w:eastAsia="仿宋"/>
                <w:sz w:val="24"/>
              </w:rPr>
            </w:pPr>
            <w:r>
              <w:rPr>
                <w:rFonts w:hint="eastAsia" w:ascii="仿宋" w:hAnsi="仿宋" w:eastAsia="仿宋"/>
                <w:sz w:val="24"/>
              </w:rPr>
              <w:t>1.5</w:t>
            </w:r>
          </w:p>
        </w:tc>
        <w:tc>
          <w:tcPr>
            <w:tcW w:w="878" w:type="dxa"/>
            <w:shd w:val="clear" w:color="auto" w:fill="auto"/>
            <w:vAlign w:val="center"/>
          </w:tcPr>
          <w:p w14:paraId="4E54DE17">
            <w:pPr>
              <w:jc w:val="center"/>
              <w:rPr>
                <w:rFonts w:hint="eastAsia" w:ascii="仿宋" w:hAnsi="仿宋" w:eastAsia="仿宋"/>
                <w:sz w:val="24"/>
              </w:rPr>
            </w:pPr>
            <w:r>
              <w:rPr>
                <w:rFonts w:hint="eastAsia" w:ascii="仿宋" w:hAnsi="仿宋" w:eastAsia="仿宋"/>
                <w:sz w:val="24"/>
              </w:rPr>
              <w:t>2</w:t>
            </w:r>
          </w:p>
        </w:tc>
        <w:tc>
          <w:tcPr>
            <w:tcW w:w="878" w:type="dxa"/>
            <w:shd w:val="clear" w:color="auto" w:fill="auto"/>
            <w:vAlign w:val="center"/>
          </w:tcPr>
          <w:p w14:paraId="4D39B01F">
            <w:pPr>
              <w:jc w:val="center"/>
              <w:rPr>
                <w:rFonts w:hint="eastAsia" w:ascii="仿宋" w:hAnsi="仿宋" w:eastAsia="仿宋"/>
                <w:sz w:val="24"/>
              </w:rPr>
            </w:pPr>
            <w:r>
              <w:rPr>
                <w:rFonts w:hint="eastAsia" w:ascii="仿宋" w:hAnsi="仿宋" w:eastAsia="仿宋"/>
                <w:sz w:val="24"/>
              </w:rPr>
              <w:t>1</w:t>
            </w:r>
          </w:p>
        </w:tc>
        <w:tc>
          <w:tcPr>
            <w:tcW w:w="878" w:type="dxa"/>
            <w:vAlign w:val="center"/>
          </w:tcPr>
          <w:p w14:paraId="37BE2DB2">
            <w:pPr>
              <w:jc w:val="center"/>
              <w:rPr>
                <w:rFonts w:hint="eastAsia" w:ascii="仿宋" w:hAnsi="仿宋" w:eastAsia="仿宋"/>
                <w:sz w:val="24"/>
              </w:rPr>
            </w:pPr>
            <w:r>
              <w:rPr>
                <w:rFonts w:hint="eastAsia" w:ascii="仿宋" w:hAnsi="仿宋" w:eastAsia="仿宋"/>
                <w:sz w:val="24"/>
              </w:rPr>
              <w:t>0.5</w:t>
            </w:r>
          </w:p>
        </w:tc>
        <w:tc>
          <w:tcPr>
            <w:tcW w:w="878" w:type="dxa"/>
            <w:shd w:val="clear" w:color="auto" w:fill="auto"/>
            <w:vAlign w:val="center"/>
          </w:tcPr>
          <w:p w14:paraId="3E97E308">
            <w:pPr>
              <w:jc w:val="center"/>
              <w:rPr>
                <w:rFonts w:hint="eastAsia" w:ascii="仿宋" w:hAnsi="仿宋" w:eastAsia="仿宋"/>
                <w:sz w:val="24"/>
              </w:rPr>
            </w:pPr>
            <w:r>
              <w:rPr>
                <w:rFonts w:hint="eastAsia" w:ascii="仿宋" w:hAnsi="仿宋" w:eastAsia="仿宋"/>
                <w:sz w:val="24"/>
              </w:rPr>
              <w:t>2.5</w:t>
            </w:r>
          </w:p>
        </w:tc>
        <w:tc>
          <w:tcPr>
            <w:tcW w:w="878" w:type="dxa"/>
            <w:shd w:val="clear" w:color="auto" w:fill="auto"/>
            <w:vAlign w:val="center"/>
          </w:tcPr>
          <w:p w14:paraId="002C7FB1">
            <w:pPr>
              <w:jc w:val="center"/>
              <w:rPr>
                <w:rFonts w:hint="eastAsia" w:ascii="仿宋" w:hAnsi="仿宋" w:eastAsia="仿宋"/>
                <w:sz w:val="24"/>
              </w:rPr>
            </w:pPr>
            <w:r>
              <w:rPr>
                <w:rFonts w:hint="eastAsia" w:ascii="仿宋" w:hAnsi="仿宋" w:eastAsia="仿宋"/>
                <w:sz w:val="24"/>
              </w:rPr>
              <w:t>1.5</w:t>
            </w:r>
          </w:p>
        </w:tc>
      </w:tr>
    </w:tbl>
    <w:p w14:paraId="34F54507">
      <w:pPr>
        <w:pStyle w:val="3"/>
        <w:spacing w:before="240" w:after="156" w:afterLines="50" w:line="380" w:lineRule="exact"/>
        <w:ind w:firstLine="640" w:firstLineChars="200"/>
        <w:rPr>
          <w:rFonts w:hint="eastAsia" w:ascii="楷体_GB2312" w:hAnsi="楷体_GB2312" w:eastAsia="楷体_GB2312" w:cs="楷体_GB2312"/>
          <w:kern w:val="2"/>
          <w:szCs w:val="32"/>
        </w:rPr>
      </w:pPr>
      <w:r>
        <w:rPr>
          <w:rFonts w:hint="eastAsia" w:ascii="楷体_GB2312" w:hAnsi="楷体_GB2312" w:eastAsia="楷体_GB2312" w:cs="楷体_GB2312"/>
          <w:kern w:val="2"/>
          <w:szCs w:val="32"/>
        </w:rPr>
        <w:t>（三）在校学习期间获得授权专利：奖励分≤2分。</w:t>
      </w:r>
    </w:p>
    <w:tbl>
      <w:tblPr>
        <w:tblStyle w:val="8"/>
        <w:tblW w:w="49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2"/>
        <w:gridCol w:w="817"/>
        <w:gridCol w:w="943"/>
        <w:gridCol w:w="925"/>
        <w:gridCol w:w="943"/>
        <w:gridCol w:w="1753"/>
        <w:gridCol w:w="1890"/>
      </w:tblGrid>
      <w:tr w14:paraId="1256244C">
        <w:trPr>
          <w:trHeight w:val="564" w:hRule="atLeast"/>
          <w:jc w:val="center"/>
        </w:trPr>
        <w:tc>
          <w:tcPr>
            <w:tcW w:w="1372" w:type="dxa"/>
            <w:vAlign w:val="center"/>
          </w:tcPr>
          <w:p w14:paraId="6DD12AA0">
            <w:pPr>
              <w:jc w:val="center"/>
              <w:rPr>
                <w:rFonts w:hint="eastAsia" w:ascii="仿宋" w:hAnsi="仿宋" w:eastAsia="仿宋"/>
                <w:sz w:val="24"/>
              </w:rPr>
            </w:pPr>
            <w:r>
              <w:rPr>
                <w:rFonts w:hint="eastAsia" w:ascii="仿宋" w:hAnsi="仿宋" w:eastAsia="仿宋"/>
                <w:sz w:val="24"/>
              </w:rPr>
              <w:t xml:space="preserve">类    </w:t>
            </w:r>
            <w:r>
              <w:rPr>
                <w:rFonts w:ascii="仿宋" w:hAnsi="仿宋" w:eastAsia="仿宋"/>
                <w:sz w:val="24"/>
              </w:rPr>
              <w:t>别</w:t>
            </w:r>
          </w:p>
        </w:tc>
        <w:tc>
          <w:tcPr>
            <w:tcW w:w="1760" w:type="dxa"/>
            <w:gridSpan w:val="2"/>
            <w:vAlign w:val="center"/>
          </w:tcPr>
          <w:p w14:paraId="2EA5DFD1">
            <w:pPr>
              <w:jc w:val="center"/>
              <w:rPr>
                <w:rFonts w:hint="eastAsia" w:ascii="仿宋" w:hAnsi="仿宋" w:eastAsia="仿宋"/>
                <w:sz w:val="24"/>
              </w:rPr>
            </w:pPr>
            <w:r>
              <w:rPr>
                <w:rFonts w:hint="eastAsia" w:ascii="仿宋" w:hAnsi="仿宋" w:eastAsia="仿宋"/>
                <w:sz w:val="24"/>
              </w:rPr>
              <w:t>发明专利</w:t>
            </w:r>
          </w:p>
        </w:tc>
        <w:tc>
          <w:tcPr>
            <w:tcW w:w="1868" w:type="dxa"/>
            <w:gridSpan w:val="2"/>
            <w:vAlign w:val="center"/>
          </w:tcPr>
          <w:p w14:paraId="03AFB1EC">
            <w:pPr>
              <w:jc w:val="center"/>
              <w:rPr>
                <w:rFonts w:hint="eastAsia" w:ascii="仿宋" w:hAnsi="仿宋" w:eastAsia="仿宋"/>
                <w:sz w:val="24"/>
              </w:rPr>
            </w:pPr>
            <w:r>
              <w:rPr>
                <w:rFonts w:hint="eastAsia" w:ascii="仿宋" w:hAnsi="仿宋" w:eastAsia="仿宋"/>
                <w:sz w:val="24"/>
              </w:rPr>
              <w:t>实用新型专利</w:t>
            </w:r>
          </w:p>
        </w:tc>
        <w:tc>
          <w:tcPr>
            <w:tcW w:w="1753" w:type="dxa"/>
            <w:vAlign w:val="center"/>
          </w:tcPr>
          <w:p w14:paraId="0B17D79D">
            <w:pPr>
              <w:jc w:val="center"/>
              <w:rPr>
                <w:rFonts w:hint="eastAsia" w:ascii="仿宋" w:hAnsi="仿宋" w:eastAsia="仿宋"/>
                <w:sz w:val="24"/>
              </w:rPr>
            </w:pPr>
            <w:r>
              <w:rPr>
                <w:rFonts w:hint="eastAsia" w:ascii="仿宋" w:hAnsi="仿宋" w:eastAsia="仿宋"/>
                <w:sz w:val="24"/>
              </w:rPr>
              <w:t>外观设计专利</w:t>
            </w:r>
          </w:p>
        </w:tc>
        <w:tc>
          <w:tcPr>
            <w:tcW w:w="1890" w:type="dxa"/>
            <w:vAlign w:val="center"/>
          </w:tcPr>
          <w:p w14:paraId="751BBC4F">
            <w:pPr>
              <w:jc w:val="center"/>
              <w:rPr>
                <w:rFonts w:hint="eastAsia" w:ascii="仿宋" w:hAnsi="仿宋" w:eastAsia="仿宋"/>
                <w:sz w:val="24"/>
              </w:rPr>
            </w:pPr>
            <w:r>
              <w:rPr>
                <w:rFonts w:hint="eastAsia" w:ascii="仿宋" w:hAnsi="仿宋" w:eastAsia="仿宋"/>
                <w:sz w:val="24"/>
              </w:rPr>
              <w:t>软件著作权</w:t>
            </w:r>
          </w:p>
        </w:tc>
      </w:tr>
      <w:tr w14:paraId="374E4438">
        <w:trPr>
          <w:trHeight w:val="483" w:hRule="atLeast"/>
          <w:jc w:val="center"/>
        </w:trPr>
        <w:tc>
          <w:tcPr>
            <w:tcW w:w="1372" w:type="dxa"/>
            <w:vAlign w:val="center"/>
          </w:tcPr>
          <w:p w14:paraId="04C15A77">
            <w:pPr>
              <w:jc w:val="center"/>
              <w:rPr>
                <w:rFonts w:hint="eastAsia" w:ascii="仿宋" w:hAnsi="仿宋" w:eastAsia="仿宋"/>
                <w:sz w:val="24"/>
              </w:rPr>
            </w:pPr>
            <w:r>
              <w:rPr>
                <w:rFonts w:ascii="仿宋" w:hAnsi="仿宋" w:eastAsia="仿宋"/>
                <w:sz w:val="24"/>
              </w:rPr>
              <w:t>排</w:t>
            </w:r>
            <w:r>
              <w:rPr>
                <w:rFonts w:hint="eastAsia" w:ascii="仿宋" w:hAnsi="仿宋" w:eastAsia="仿宋"/>
                <w:sz w:val="24"/>
              </w:rPr>
              <w:t xml:space="preserve">    </w:t>
            </w:r>
            <w:r>
              <w:rPr>
                <w:rFonts w:ascii="仿宋" w:hAnsi="仿宋" w:eastAsia="仿宋"/>
                <w:sz w:val="24"/>
              </w:rPr>
              <w:t>名</w:t>
            </w:r>
          </w:p>
        </w:tc>
        <w:tc>
          <w:tcPr>
            <w:tcW w:w="817" w:type="dxa"/>
            <w:vAlign w:val="center"/>
          </w:tcPr>
          <w:p w14:paraId="60841B1C">
            <w:pPr>
              <w:jc w:val="center"/>
              <w:rPr>
                <w:rFonts w:hint="eastAsia" w:ascii="仿宋" w:hAnsi="仿宋" w:eastAsia="仿宋"/>
                <w:sz w:val="24"/>
              </w:rPr>
            </w:pPr>
            <w:r>
              <w:rPr>
                <w:rFonts w:hint="eastAsia" w:ascii="仿宋" w:hAnsi="仿宋" w:eastAsia="仿宋"/>
                <w:sz w:val="24"/>
              </w:rPr>
              <w:t>1</w:t>
            </w:r>
          </w:p>
        </w:tc>
        <w:tc>
          <w:tcPr>
            <w:tcW w:w="943" w:type="dxa"/>
            <w:vAlign w:val="center"/>
          </w:tcPr>
          <w:p w14:paraId="53A57556">
            <w:pPr>
              <w:jc w:val="center"/>
              <w:rPr>
                <w:rFonts w:hint="eastAsia" w:ascii="仿宋" w:hAnsi="仿宋" w:eastAsia="仿宋"/>
                <w:sz w:val="24"/>
              </w:rPr>
            </w:pPr>
            <w:r>
              <w:rPr>
                <w:rFonts w:hint="eastAsia" w:ascii="仿宋" w:hAnsi="仿宋" w:eastAsia="仿宋"/>
                <w:sz w:val="24"/>
              </w:rPr>
              <w:t>2</w:t>
            </w:r>
          </w:p>
        </w:tc>
        <w:tc>
          <w:tcPr>
            <w:tcW w:w="925" w:type="dxa"/>
            <w:vAlign w:val="center"/>
          </w:tcPr>
          <w:p w14:paraId="532449CE">
            <w:pPr>
              <w:jc w:val="center"/>
              <w:rPr>
                <w:rFonts w:hint="eastAsia" w:ascii="仿宋" w:hAnsi="仿宋" w:eastAsia="仿宋"/>
                <w:sz w:val="24"/>
              </w:rPr>
            </w:pPr>
            <w:r>
              <w:rPr>
                <w:rFonts w:hint="eastAsia" w:ascii="仿宋" w:hAnsi="仿宋" w:eastAsia="仿宋"/>
                <w:sz w:val="24"/>
              </w:rPr>
              <w:t>1</w:t>
            </w:r>
          </w:p>
        </w:tc>
        <w:tc>
          <w:tcPr>
            <w:tcW w:w="943" w:type="dxa"/>
            <w:vAlign w:val="center"/>
          </w:tcPr>
          <w:p w14:paraId="32E5A297">
            <w:pPr>
              <w:jc w:val="center"/>
              <w:rPr>
                <w:rFonts w:hint="eastAsia" w:ascii="仿宋" w:hAnsi="仿宋" w:eastAsia="仿宋"/>
                <w:sz w:val="24"/>
              </w:rPr>
            </w:pPr>
            <w:r>
              <w:rPr>
                <w:rFonts w:hint="eastAsia" w:ascii="仿宋" w:hAnsi="仿宋" w:eastAsia="仿宋"/>
                <w:sz w:val="24"/>
              </w:rPr>
              <w:t>2</w:t>
            </w:r>
          </w:p>
        </w:tc>
        <w:tc>
          <w:tcPr>
            <w:tcW w:w="1753" w:type="dxa"/>
            <w:vAlign w:val="center"/>
          </w:tcPr>
          <w:p w14:paraId="25531235">
            <w:pPr>
              <w:jc w:val="center"/>
              <w:rPr>
                <w:rFonts w:hint="eastAsia" w:ascii="仿宋" w:hAnsi="仿宋" w:eastAsia="仿宋"/>
                <w:sz w:val="24"/>
              </w:rPr>
            </w:pPr>
            <w:r>
              <w:rPr>
                <w:rFonts w:hint="eastAsia" w:ascii="仿宋" w:hAnsi="仿宋" w:eastAsia="仿宋"/>
                <w:sz w:val="24"/>
              </w:rPr>
              <w:t>1</w:t>
            </w:r>
          </w:p>
        </w:tc>
        <w:tc>
          <w:tcPr>
            <w:tcW w:w="1890" w:type="dxa"/>
            <w:vAlign w:val="center"/>
          </w:tcPr>
          <w:p w14:paraId="5B31B84C">
            <w:pPr>
              <w:jc w:val="center"/>
              <w:rPr>
                <w:rFonts w:hint="eastAsia" w:ascii="仿宋" w:hAnsi="仿宋" w:eastAsia="仿宋"/>
                <w:sz w:val="24"/>
              </w:rPr>
            </w:pPr>
            <w:r>
              <w:rPr>
                <w:rFonts w:hint="eastAsia" w:ascii="仿宋" w:hAnsi="仿宋" w:eastAsia="仿宋"/>
                <w:sz w:val="24"/>
              </w:rPr>
              <w:t>1</w:t>
            </w:r>
          </w:p>
        </w:tc>
      </w:tr>
      <w:tr w14:paraId="45368AA0">
        <w:trPr>
          <w:trHeight w:val="391" w:hRule="atLeast"/>
          <w:jc w:val="center"/>
        </w:trPr>
        <w:tc>
          <w:tcPr>
            <w:tcW w:w="1372" w:type="dxa"/>
            <w:vAlign w:val="center"/>
          </w:tcPr>
          <w:p w14:paraId="66C08C07">
            <w:pPr>
              <w:jc w:val="center"/>
              <w:rPr>
                <w:rFonts w:hint="eastAsia" w:ascii="仿宋" w:hAnsi="仿宋" w:eastAsia="仿宋"/>
                <w:color w:val="C00000"/>
                <w:sz w:val="24"/>
              </w:rPr>
            </w:pPr>
            <w:r>
              <w:rPr>
                <w:rFonts w:ascii="仿宋" w:hAnsi="仿宋" w:eastAsia="仿宋"/>
                <w:sz w:val="24"/>
              </w:rPr>
              <w:t>奖励分</w:t>
            </w:r>
            <w:r>
              <w:rPr>
                <w:rFonts w:eastAsia="仿宋"/>
                <w:sz w:val="24"/>
              </w:rPr>
              <w:t>S</w:t>
            </w:r>
            <w:r>
              <w:rPr>
                <w:rFonts w:hint="eastAsia" w:ascii="仿宋" w:hAnsi="仿宋" w:eastAsia="仿宋"/>
                <w:sz w:val="24"/>
                <w:vertAlign w:val="subscript"/>
              </w:rPr>
              <w:t>3</w:t>
            </w:r>
          </w:p>
        </w:tc>
        <w:tc>
          <w:tcPr>
            <w:tcW w:w="817" w:type="dxa"/>
            <w:vAlign w:val="center"/>
          </w:tcPr>
          <w:p w14:paraId="598195B1">
            <w:pPr>
              <w:jc w:val="center"/>
              <w:rPr>
                <w:rFonts w:hint="eastAsia" w:ascii="仿宋" w:hAnsi="仿宋" w:eastAsia="仿宋"/>
                <w:sz w:val="24"/>
              </w:rPr>
            </w:pPr>
            <w:r>
              <w:rPr>
                <w:rFonts w:hint="eastAsia" w:ascii="仿宋" w:hAnsi="仿宋" w:eastAsia="仿宋"/>
                <w:sz w:val="24"/>
              </w:rPr>
              <w:t>2</w:t>
            </w:r>
          </w:p>
        </w:tc>
        <w:tc>
          <w:tcPr>
            <w:tcW w:w="943" w:type="dxa"/>
            <w:vAlign w:val="center"/>
          </w:tcPr>
          <w:p w14:paraId="28384429">
            <w:pPr>
              <w:jc w:val="center"/>
              <w:rPr>
                <w:rFonts w:hint="eastAsia" w:ascii="仿宋" w:hAnsi="仿宋" w:eastAsia="仿宋"/>
                <w:sz w:val="24"/>
              </w:rPr>
            </w:pPr>
            <w:r>
              <w:rPr>
                <w:rFonts w:hint="eastAsia" w:ascii="仿宋" w:hAnsi="仿宋" w:eastAsia="仿宋"/>
                <w:sz w:val="24"/>
              </w:rPr>
              <w:t>1.5</w:t>
            </w:r>
          </w:p>
        </w:tc>
        <w:tc>
          <w:tcPr>
            <w:tcW w:w="925" w:type="dxa"/>
            <w:vAlign w:val="center"/>
          </w:tcPr>
          <w:p w14:paraId="1F1CBF7E">
            <w:pPr>
              <w:jc w:val="center"/>
              <w:rPr>
                <w:rFonts w:hint="eastAsia" w:ascii="仿宋" w:hAnsi="仿宋" w:eastAsia="仿宋"/>
                <w:sz w:val="24"/>
              </w:rPr>
            </w:pPr>
            <w:r>
              <w:rPr>
                <w:rFonts w:hint="eastAsia" w:ascii="仿宋" w:hAnsi="仿宋" w:eastAsia="仿宋"/>
                <w:sz w:val="24"/>
              </w:rPr>
              <w:t>1</w:t>
            </w:r>
          </w:p>
        </w:tc>
        <w:tc>
          <w:tcPr>
            <w:tcW w:w="943" w:type="dxa"/>
            <w:vAlign w:val="center"/>
          </w:tcPr>
          <w:p w14:paraId="688DA1FF">
            <w:pPr>
              <w:jc w:val="center"/>
              <w:rPr>
                <w:rFonts w:hint="eastAsia" w:ascii="仿宋" w:hAnsi="仿宋" w:eastAsia="仿宋"/>
                <w:sz w:val="24"/>
              </w:rPr>
            </w:pPr>
            <w:r>
              <w:rPr>
                <w:rFonts w:hint="eastAsia" w:ascii="仿宋" w:hAnsi="仿宋" w:eastAsia="仿宋"/>
                <w:sz w:val="24"/>
              </w:rPr>
              <w:t>0.5</w:t>
            </w:r>
          </w:p>
        </w:tc>
        <w:tc>
          <w:tcPr>
            <w:tcW w:w="1753" w:type="dxa"/>
            <w:vAlign w:val="center"/>
          </w:tcPr>
          <w:p w14:paraId="523DCA9D">
            <w:pPr>
              <w:jc w:val="center"/>
              <w:rPr>
                <w:rFonts w:hint="eastAsia" w:ascii="仿宋" w:hAnsi="仿宋" w:eastAsia="仿宋"/>
                <w:sz w:val="24"/>
              </w:rPr>
            </w:pPr>
            <w:r>
              <w:rPr>
                <w:rFonts w:hint="eastAsia" w:ascii="仿宋" w:hAnsi="仿宋" w:eastAsia="仿宋"/>
                <w:sz w:val="24"/>
              </w:rPr>
              <w:t>0.5</w:t>
            </w:r>
          </w:p>
        </w:tc>
        <w:tc>
          <w:tcPr>
            <w:tcW w:w="1890" w:type="dxa"/>
            <w:vAlign w:val="center"/>
          </w:tcPr>
          <w:p w14:paraId="58C742FC">
            <w:pPr>
              <w:jc w:val="center"/>
              <w:rPr>
                <w:rFonts w:hint="eastAsia" w:ascii="仿宋" w:hAnsi="仿宋" w:eastAsia="仿宋"/>
                <w:sz w:val="24"/>
              </w:rPr>
            </w:pPr>
            <w:r>
              <w:rPr>
                <w:rFonts w:hint="eastAsia" w:ascii="仿宋" w:hAnsi="仿宋" w:eastAsia="仿宋"/>
                <w:sz w:val="24"/>
              </w:rPr>
              <w:t>0.5</w:t>
            </w:r>
          </w:p>
        </w:tc>
      </w:tr>
    </w:tbl>
    <w:p w14:paraId="410B2611">
      <w:pPr>
        <w:pStyle w:val="3"/>
        <w:spacing w:before="240" w:after="156" w:afterLines="50" w:line="380" w:lineRule="exact"/>
        <w:ind w:firstLine="640" w:firstLineChars="200"/>
        <w:rPr>
          <w:rFonts w:hint="eastAsia" w:ascii="楷体_GB2312" w:hAnsi="楷体_GB2312" w:eastAsia="楷体_GB2312" w:cs="楷体_GB2312"/>
          <w:kern w:val="2"/>
          <w:szCs w:val="32"/>
        </w:rPr>
      </w:pPr>
      <w:r>
        <w:rPr>
          <w:rFonts w:hint="eastAsia" w:ascii="楷体_GB2312" w:hAnsi="楷体_GB2312" w:eastAsia="楷体_GB2312" w:cs="楷体_GB2312"/>
          <w:kern w:val="2"/>
          <w:szCs w:val="32"/>
        </w:rPr>
        <w:t>（四）在校学习期间获得奖励（荣誉称号）：奖励分≤2分。</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3628"/>
        <w:gridCol w:w="3629"/>
      </w:tblGrid>
      <w:tr w14:paraId="029F2FA5">
        <w:trPr>
          <w:trHeight w:val="397" w:hRule="atLeast"/>
          <w:jc w:val="center"/>
        </w:trPr>
        <w:tc>
          <w:tcPr>
            <w:tcW w:w="1530" w:type="dxa"/>
            <w:vAlign w:val="center"/>
          </w:tcPr>
          <w:p w14:paraId="6734473E">
            <w:pPr>
              <w:jc w:val="center"/>
              <w:rPr>
                <w:rFonts w:hint="eastAsia" w:ascii="仿宋" w:hAnsi="仿宋" w:eastAsia="仿宋"/>
                <w:sz w:val="24"/>
              </w:rPr>
            </w:pPr>
            <w:r>
              <w:rPr>
                <w:rFonts w:hint="eastAsia" w:ascii="仿宋" w:hAnsi="仿宋" w:eastAsia="仿宋"/>
                <w:sz w:val="24"/>
              </w:rPr>
              <w:t>项    目</w:t>
            </w:r>
          </w:p>
        </w:tc>
        <w:tc>
          <w:tcPr>
            <w:tcW w:w="7530" w:type="dxa"/>
            <w:gridSpan w:val="2"/>
            <w:vAlign w:val="center"/>
          </w:tcPr>
          <w:p w14:paraId="0985C4BD">
            <w:pPr>
              <w:jc w:val="center"/>
              <w:rPr>
                <w:rFonts w:hint="eastAsia" w:ascii="仿宋" w:hAnsi="仿宋" w:eastAsia="仿宋"/>
                <w:sz w:val="24"/>
              </w:rPr>
            </w:pPr>
            <w:r>
              <w:rPr>
                <w:rFonts w:hint="eastAsia" w:ascii="仿宋" w:hAnsi="仿宋" w:eastAsia="仿宋"/>
                <w:sz w:val="24"/>
              </w:rPr>
              <w:t>获得奖励</w:t>
            </w:r>
          </w:p>
        </w:tc>
      </w:tr>
      <w:tr w14:paraId="12B34846">
        <w:trPr>
          <w:trHeight w:val="397" w:hRule="atLeast"/>
          <w:jc w:val="center"/>
        </w:trPr>
        <w:tc>
          <w:tcPr>
            <w:tcW w:w="1530" w:type="dxa"/>
            <w:vAlign w:val="center"/>
          </w:tcPr>
          <w:p w14:paraId="7B881EB3">
            <w:pPr>
              <w:jc w:val="center"/>
              <w:rPr>
                <w:rFonts w:hint="eastAsia" w:ascii="仿宋" w:hAnsi="仿宋" w:eastAsia="仿宋"/>
                <w:sz w:val="24"/>
              </w:rPr>
            </w:pPr>
            <w:r>
              <w:rPr>
                <w:rFonts w:hint="eastAsia" w:ascii="仿宋" w:hAnsi="仿宋" w:eastAsia="仿宋"/>
                <w:sz w:val="24"/>
              </w:rPr>
              <w:t xml:space="preserve">类    </w:t>
            </w:r>
            <w:r>
              <w:rPr>
                <w:rFonts w:ascii="仿宋" w:hAnsi="仿宋" w:eastAsia="仿宋"/>
                <w:sz w:val="24"/>
              </w:rPr>
              <w:t>别</w:t>
            </w:r>
          </w:p>
        </w:tc>
        <w:tc>
          <w:tcPr>
            <w:tcW w:w="3765" w:type="dxa"/>
            <w:vAlign w:val="center"/>
          </w:tcPr>
          <w:p w14:paraId="0A6AF62B">
            <w:pPr>
              <w:ind w:left="-107" w:leftChars="-51" w:right="-97" w:rightChars="-46"/>
              <w:jc w:val="center"/>
              <w:rPr>
                <w:rFonts w:hint="eastAsia" w:ascii="仿宋" w:hAnsi="仿宋" w:eastAsia="仿宋"/>
                <w:sz w:val="24"/>
              </w:rPr>
            </w:pPr>
            <w:r>
              <w:rPr>
                <w:rFonts w:hint="eastAsia" w:ascii="仿宋" w:hAnsi="仿宋" w:eastAsia="仿宋"/>
                <w:sz w:val="24"/>
              </w:rPr>
              <w:t>国家级</w:t>
            </w:r>
          </w:p>
        </w:tc>
        <w:tc>
          <w:tcPr>
            <w:tcW w:w="3765" w:type="dxa"/>
            <w:vAlign w:val="center"/>
          </w:tcPr>
          <w:p w14:paraId="12706231">
            <w:pPr>
              <w:ind w:left="-118" w:leftChars="-56" w:right="-86" w:rightChars="-41"/>
              <w:jc w:val="center"/>
              <w:rPr>
                <w:rFonts w:hint="eastAsia" w:ascii="仿宋" w:hAnsi="仿宋" w:eastAsia="仿宋"/>
                <w:sz w:val="24"/>
              </w:rPr>
            </w:pPr>
            <w:r>
              <w:rPr>
                <w:rFonts w:hint="eastAsia" w:ascii="仿宋" w:hAnsi="仿宋" w:eastAsia="仿宋"/>
                <w:sz w:val="24"/>
              </w:rPr>
              <w:t>省部级</w:t>
            </w:r>
          </w:p>
        </w:tc>
      </w:tr>
      <w:tr w14:paraId="3CC63DAB">
        <w:trPr>
          <w:trHeight w:val="313" w:hRule="atLeast"/>
          <w:jc w:val="center"/>
        </w:trPr>
        <w:tc>
          <w:tcPr>
            <w:tcW w:w="1530" w:type="dxa"/>
            <w:vAlign w:val="center"/>
          </w:tcPr>
          <w:p w14:paraId="7FFEF45B">
            <w:pPr>
              <w:jc w:val="center"/>
              <w:rPr>
                <w:rFonts w:hint="eastAsia" w:ascii="仿宋" w:hAnsi="仿宋" w:eastAsia="仿宋"/>
                <w:sz w:val="24"/>
              </w:rPr>
            </w:pPr>
            <w:r>
              <w:rPr>
                <w:rFonts w:ascii="仿宋" w:hAnsi="仿宋" w:eastAsia="仿宋"/>
                <w:sz w:val="24"/>
              </w:rPr>
              <w:t>奖励分</w:t>
            </w:r>
            <w:r>
              <w:rPr>
                <w:rFonts w:eastAsia="仿宋"/>
                <w:sz w:val="24"/>
              </w:rPr>
              <w:t>S</w:t>
            </w:r>
            <w:r>
              <w:rPr>
                <w:rFonts w:hint="eastAsia" w:ascii="仿宋" w:hAnsi="仿宋" w:eastAsia="仿宋"/>
                <w:sz w:val="24"/>
                <w:vertAlign w:val="subscript"/>
              </w:rPr>
              <w:t>4</w:t>
            </w:r>
          </w:p>
        </w:tc>
        <w:tc>
          <w:tcPr>
            <w:tcW w:w="3765" w:type="dxa"/>
            <w:vAlign w:val="center"/>
          </w:tcPr>
          <w:p w14:paraId="52C4A28F">
            <w:pPr>
              <w:jc w:val="center"/>
              <w:rPr>
                <w:rFonts w:hint="eastAsia" w:ascii="仿宋" w:hAnsi="仿宋" w:eastAsia="仿宋"/>
                <w:sz w:val="24"/>
              </w:rPr>
            </w:pPr>
            <w:r>
              <w:rPr>
                <w:rFonts w:hint="eastAsia" w:ascii="仿宋" w:hAnsi="仿宋" w:eastAsia="仿宋"/>
                <w:sz w:val="24"/>
              </w:rPr>
              <w:t>2</w:t>
            </w:r>
          </w:p>
        </w:tc>
        <w:tc>
          <w:tcPr>
            <w:tcW w:w="3765" w:type="dxa"/>
            <w:vAlign w:val="center"/>
          </w:tcPr>
          <w:p w14:paraId="54D86CB4">
            <w:pPr>
              <w:jc w:val="center"/>
              <w:rPr>
                <w:rFonts w:hint="eastAsia" w:ascii="仿宋" w:hAnsi="仿宋" w:eastAsia="仿宋"/>
                <w:sz w:val="24"/>
              </w:rPr>
            </w:pPr>
            <w:r>
              <w:rPr>
                <w:rFonts w:hint="eastAsia" w:ascii="仿宋" w:hAnsi="仿宋" w:eastAsia="仿宋"/>
                <w:sz w:val="24"/>
              </w:rPr>
              <w:t>1</w:t>
            </w:r>
          </w:p>
        </w:tc>
      </w:tr>
    </w:tbl>
    <w:p w14:paraId="03FFC96A">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综合素质奖励分计算说明：</w:t>
      </w:r>
    </w:p>
    <w:p w14:paraId="423C11C8">
      <w:pPr>
        <w:spacing w:line="560" w:lineRule="exact"/>
        <w:ind w:firstLine="640" w:firstLineChars="200"/>
        <w:rPr>
          <w:rFonts w:ascii="仿宋_GB2312" w:eastAsia="仿宋_GB2312"/>
          <w:sz w:val="32"/>
          <w:szCs w:val="32"/>
        </w:rPr>
      </w:pPr>
      <w:r>
        <w:rPr>
          <w:rFonts w:hint="eastAsia" w:ascii="仿宋_GB2312" w:eastAsia="仿宋_GB2312"/>
          <w:sz w:val="32"/>
          <w:szCs w:val="32"/>
        </w:rPr>
        <w:t>1.（一）项中，学科竞赛项目类别中的A、B类以学校公布的“大学生学科竞赛目录”为准，奖励分值同一项成果只计最高分，不重复记分。对于部分必须组队参加且获奖证书不分排名的学科（设计）竞赛，1名主要负责人记最高分，其余获奖人员均按照最高分的80%得分。学科（设计）竞赛奖励署名单位为北京建筑大学。学生在“挑战杯”全国大学生课外学术科技作品竞赛、“挑战杯”中国大学生创业计划大赛、中国国际大学生创新大赛（原中国国际“互联网+”大学生创新创业大赛）中取得特等奖、一等奖、金奖，奖励分为5分。</w:t>
      </w:r>
    </w:p>
    <w:p w14:paraId="5A778446">
      <w:pPr>
        <w:spacing w:line="560" w:lineRule="exact"/>
        <w:ind w:firstLine="640" w:firstLineChars="200"/>
        <w:rPr>
          <w:rFonts w:ascii="仿宋_GB2312" w:eastAsia="仿宋_GB2312"/>
          <w:sz w:val="32"/>
          <w:szCs w:val="32"/>
        </w:rPr>
      </w:pPr>
      <w:r>
        <w:rPr>
          <w:rFonts w:hint="eastAsia" w:ascii="仿宋_GB2312" w:eastAsia="仿宋_GB2312"/>
          <w:sz w:val="32"/>
          <w:szCs w:val="32"/>
        </w:rPr>
        <w:t>2.（二）项中，只计申请人本人为第一作者，或本校师生为第一作者，申请人本人为第二作者，署名单位为北京建筑大学的学术成果，其中本校教师排名第一，申请人排名第二时，奖励分等同于申请人排名第一的分值；核刊包括人大报刊复印资料和北京大学《中文核心期刊要目总览》；发表的学术论文以出版物为准，录用通知无效，被检索收录的须有检索证明。参加编写公开出版发行的与本学科相关的学术著作、教材等，编者中须有章节作者署名，且申请人本人参编部分不少于2万字（不含图片）。</w:t>
      </w:r>
    </w:p>
    <w:p w14:paraId="4ACFA645">
      <w:pPr>
        <w:spacing w:line="560" w:lineRule="exact"/>
        <w:ind w:firstLine="640" w:firstLineChars="200"/>
        <w:rPr>
          <w:rFonts w:ascii="仿宋_GB2312" w:eastAsia="仿宋_GB2312"/>
          <w:sz w:val="32"/>
          <w:szCs w:val="32"/>
        </w:rPr>
      </w:pPr>
      <w:r>
        <w:rPr>
          <w:rFonts w:hint="eastAsia" w:ascii="仿宋_GB2312" w:eastAsia="仿宋_GB2312"/>
          <w:sz w:val="32"/>
          <w:szCs w:val="32"/>
        </w:rPr>
        <w:t>3.（三）项中，只计排序第一和第二的完成人（发明人），专利必须已获得授权，处于受理阶段的专利不计算奖励分。</w:t>
      </w:r>
    </w:p>
    <w:p w14:paraId="1CD806B9">
      <w:pPr>
        <w:spacing w:line="560" w:lineRule="exact"/>
        <w:ind w:firstLine="640" w:firstLineChars="200"/>
        <w:rPr>
          <w:rFonts w:ascii="仿宋_GB2312" w:eastAsia="仿宋_GB2312"/>
          <w:sz w:val="32"/>
          <w:szCs w:val="32"/>
        </w:rPr>
      </w:pPr>
      <w:r>
        <w:rPr>
          <w:rFonts w:hint="eastAsia" w:ascii="仿宋_GB2312" w:eastAsia="仿宋_GB2312"/>
          <w:sz w:val="32"/>
          <w:szCs w:val="32"/>
        </w:rPr>
        <w:t>4.（四）项中获得的奖励指荣誉称号，不含奖学金，且同一类型奖励只记最高分一次，不累计记分。</w:t>
      </w:r>
    </w:p>
    <w:p w14:paraId="676342DD">
      <w:pPr>
        <w:spacing w:line="560" w:lineRule="exact"/>
        <w:ind w:firstLine="640" w:firstLineChars="200"/>
        <w:rPr>
          <w:rFonts w:ascii="仿宋_GB2312" w:eastAsia="仿宋_GB2312"/>
          <w:sz w:val="32"/>
          <w:szCs w:val="32"/>
        </w:rPr>
      </w:pPr>
      <w:r>
        <w:rPr>
          <w:rFonts w:hint="eastAsia" w:ascii="仿宋_GB2312" w:eastAsia="仿宋_GB2312"/>
          <w:sz w:val="32"/>
          <w:szCs w:val="32"/>
        </w:rPr>
        <w:t>5．各项奖励的统计截止日期为推免工作当年的8月31日。</w:t>
      </w:r>
    </w:p>
    <w:p w14:paraId="560A54F7">
      <w:pPr>
        <w:spacing w:line="560" w:lineRule="exact"/>
        <w:rPr>
          <w:rFonts w:ascii="仿宋_GB2312" w:eastAsia="仿宋_GB2312"/>
          <w:sz w:val="32"/>
          <w:szCs w:val="32"/>
        </w:rPr>
      </w:pPr>
    </w:p>
    <w:p w14:paraId="392E1E80">
      <w:pPr>
        <w:spacing w:line="560" w:lineRule="exact"/>
        <w:rPr>
          <w:rFonts w:ascii="仿宋_GB2312" w:eastAsia="仿宋_GB2312"/>
          <w:sz w:val="32"/>
          <w:szCs w:val="32"/>
        </w:rPr>
      </w:pPr>
    </w:p>
    <w:p w14:paraId="101317F3">
      <w:pPr>
        <w:spacing w:line="560" w:lineRule="exact"/>
        <w:rPr>
          <w:rFonts w:ascii="仿宋_GB2312" w:eastAsia="仿宋_GB2312"/>
          <w:sz w:val="32"/>
          <w:szCs w:val="32"/>
        </w:rPr>
      </w:pPr>
    </w:p>
    <w:p w14:paraId="12774C71">
      <w:pPr>
        <w:jc w:val="center"/>
      </w:pPr>
    </w:p>
    <w:p w14:paraId="786CA2E6">
      <w:pPr>
        <w:jc w:val="center"/>
      </w:pPr>
    </w:p>
    <w:p w14:paraId="45088191">
      <w:pPr>
        <w:jc w:val="center"/>
      </w:pPr>
    </w:p>
    <w:p w14:paraId="08B13C3B">
      <w:pPr>
        <w:jc w:val="center"/>
      </w:pPr>
    </w:p>
    <w:p w14:paraId="475FE36B">
      <w:pPr>
        <w:jc w:val="center"/>
      </w:pPr>
    </w:p>
    <w:p w14:paraId="3C66DCAC">
      <w:pPr>
        <w:spacing w:line="360" w:lineRule="auto"/>
        <w:ind w:firstLine="280" w:firstLineChars="100"/>
        <w:rPr>
          <w:rFonts w:ascii="Times New Roman" w:hAnsi="Times New Roman" w:eastAsia="仿宋_GB2312" w:cs="Times New Roman"/>
          <w:sz w:val="24"/>
        </w:rPr>
      </w:pPr>
      <w:r>
        <w:rPr>
          <w:rFonts w:hint="eastAsia" w:ascii="仿宋_GB2312" w:hAnsi="仿宋_GB2312" w:eastAsia="仿宋_GB2312" w:cs="仿宋_GB2312"/>
          <w:sz w:val="28"/>
          <w:szCs w:val="28"/>
        </w:rPr>
        <mc:AlternateContent>
          <mc:Choice Requires="wps">
            <w:drawing>
              <wp:anchor distT="0" distB="0" distL="114300" distR="114300" simplePos="0" relativeHeight="251662336" behindDoc="0" locked="0" layoutInCell="1" allowOverlap="1">
                <wp:simplePos x="0" y="0"/>
                <wp:positionH relativeFrom="margin">
                  <wp:posOffset>-5080</wp:posOffset>
                </wp:positionH>
                <wp:positionV relativeFrom="paragraph">
                  <wp:posOffset>2540</wp:posOffset>
                </wp:positionV>
                <wp:extent cx="5615940" cy="0"/>
                <wp:effectExtent l="0" t="6350" r="0" b="6350"/>
                <wp:wrapNone/>
                <wp:docPr id="1" name="直接连接符 1"/>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4pt;margin-top:0.2pt;height:0pt;width:442.2pt;mso-position-horizontal-relative:margin;z-index:251662336;mso-width-relative:page;mso-height-relative:page;" filled="f" stroked="t" coordsize="21600,21600" o:gfxdata="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SnEwd9EAAAADAQAADwAAAAAAAAABACAAAAAiAAAAZHJzL2Rvd25yZXYueG1sUEsBAhQAFAAAAAgA&#10;h07iQJ1Oy0LzAQAA5AMAAA4AAAAAAAAAAQAgAAAAIAEAAGRycy9lMm9Eb2MueG1sUEsFBgAAAAAG&#10;AAYAWQEAAIUFA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w:t>北京建筑大学党政办公室                  2025年5月2</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 xml:space="preserve">日印发 </w:t>
      </w:r>
      <w:r>
        <w:rPr>
          <w:rFonts w:hint="eastAsia" w:ascii="Times New Roman" w:hAnsi="Times New Roman" w:eastAsia="仿宋_GB2312" w:cs="Times New Roman"/>
          <w:sz w:val="28"/>
          <w:szCs w:val="28"/>
        </w:rPr>
        <w:t xml:space="preserve"> </w:t>
      </w:r>
    </w:p>
    <w:p w14:paraId="621C2827">
      <w:pPr>
        <w:spacing w:line="40" w:lineRule="exact"/>
        <w:rPr>
          <w:rFonts w:hint="eastAsia" w:ascii="Times New Roman" w:hAnsi="Times New Roman" w:eastAsia="宋体" w:cs="Times New Roman"/>
        </w:rPr>
      </w:pPr>
      <w:r>
        <w:rPr>
          <w:rFonts w:ascii="Times New Roman" w:hAnsi="Times New Roman" w:eastAsia="仿宋_GB2312" w:cs="Times New Roman"/>
          <w:sz w:val="24"/>
        </w:rPr>
        <mc:AlternateContent>
          <mc:Choice Requires="wps">
            <w:drawing>
              <wp:anchor distT="0" distB="0" distL="114300" distR="114300" simplePos="0" relativeHeight="251663360" behindDoc="0" locked="0" layoutInCell="1" allowOverlap="1">
                <wp:simplePos x="0" y="0"/>
                <wp:positionH relativeFrom="margin">
                  <wp:posOffset>-1905</wp:posOffset>
                </wp:positionH>
                <wp:positionV relativeFrom="paragraph">
                  <wp:posOffset>4445</wp:posOffset>
                </wp:positionV>
                <wp:extent cx="5615940" cy="0"/>
                <wp:effectExtent l="0" t="6350" r="0" b="6350"/>
                <wp:wrapNone/>
                <wp:docPr id="2" name="直接连接符 2"/>
                <wp:cNvGraphicFramePr/>
                <a:graphic xmlns:a="http://schemas.openxmlformats.org/drawingml/2006/main">
                  <a:graphicData uri="http://schemas.microsoft.com/office/word/2010/wordprocessingShape">
                    <wps:wsp>
                      <wps:cNvSp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15pt;margin-top:0.35pt;height:0pt;width:442.2pt;mso-position-horizontal-relative:margin;z-index:251663360;mso-width-relative:page;mso-height-relative:page;" filled="f" stroked="t" coordsize="21600,21600" o:gfxdata="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ZV3tMAAAADAQAADwAAAAAAAAABACAAAAAiAAAAZHJzL2Rvd25yZXYueG1sUEsBAhQAFAAA&#10;AAgAh07iQE2jrzL0AQAA5QMAAA4AAAAAAAAAAQAgAAAAIgEAAGRycy9lMm9Eb2MueG1sUEsFBgAA&#10;AAAGAAYAWQEAAIgFAAAAAA==&#10;">
                <v:fill on="f" focussize="0,0"/>
                <v:stroke weight="1pt" color="#000000" joinstyle="round"/>
                <v:imagedata o:title=""/>
                <o:lock v:ext="edit" aspectratio="f"/>
              </v:line>
            </w:pict>
          </mc:Fallback>
        </mc:AlternateContent>
      </w:r>
    </w:p>
    <w:p w14:paraId="671F26F3">
      <w:pPr>
        <w:jc w:val="center"/>
      </w:pPr>
    </w:p>
    <w:sectPr>
      <w:footerReference r:id="rId3" w:type="default"/>
      <w:pgSz w:w="11906" w:h="16838"/>
      <w:pgMar w:top="1440" w:right="1689" w:bottom="1440"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embedRegular r:id="rId1" w:fontKey="{15F3C88C-542C-742A-CA98-3E68477457BE}"/>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embedRegular r:id="rId2" w:fontKey="{E5851C18-BF01-A109-CA98-3E682AD3B324}"/>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XiaoBiaoSong-B05S">
    <w:panose1 w:val="02000000000000000000"/>
    <w:charset w:val="86"/>
    <w:family w:val="auto"/>
    <w:pitch w:val="default"/>
    <w:sig w:usb0="A00002BF" w:usb1="184F6CFA" w:usb2="00000012" w:usb3="00000000" w:csb0="00040001" w:csb1="00000000"/>
  </w:font>
  <w:font w:name="SimHei">
    <w:panose1 w:val="02010609060101010101"/>
    <w:charset w:val="86"/>
    <w:family w:val="auto"/>
    <w:pitch w:val="default"/>
    <w:sig w:usb0="800002BF" w:usb1="38CF7CFA" w:usb2="00000016" w:usb3="00000000" w:csb0="00040001" w:csb1="00000000"/>
  </w:font>
  <w:font w:name="创艺简标宋">
    <w:altName w:val="汉仪书宋二KW"/>
    <w:panose1 w:val="00000000000000000000"/>
    <w:charset w:val="86"/>
    <w:family w:val="auto"/>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长城小标宋体">
    <w:altName w:val="方正小标宋简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A07C9FC4-30C5-D7F0-CA98-3E68B5862BEB}"/>
  </w:font>
  <w:font w:name="微软雅黑">
    <w:altName w:val="汉仪旗黑"/>
    <w:panose1 w:val="020B0503020204020204"/>
    <w:charset w:val="86"/>
    <w:family w:val="swiss"/>
    <w:pitch w:val="default"/>
    <w:sig w:usb0="00000000" w:usb1="00000000" w:usb2="00000016" w:usb3="00000000" w:csb0="0004001F"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embedRegular r:id="rId4" w:fontKey="{58B451B3-3450-E208-CA98-3E6893DCCA27}"/>
  </w:font>
  <w:font w:name="汉仪楷体KW">
    <w:panose1 w:val="00020600040101010101"/>
    <w:charset w:val="86"/>
    <w:family w:val="auto"/>
    <w:pitch w:val="default"/>
    <w:sig w:usb0="A00002BF" w:usb1="18EF7CFA" w:usb2="00000016" w:usb3="00000000" w:csb0="00040000" w:csb1="00000000"/>
  </w:font>
  <w:font w:name="Heiti SC Light">
    <w:panose1 w:val="02000000000000000000"/>
    <w:charset w:val="86"/>
    <w:family w:val="auto"/>
    <w:pitch w:val="default"/>
    <w:sig w:usb0="8000002F" w:usb1="0800004A" w:usb2="00000000" w:usb3="00000000" w:csb0="203E0000" w:csb1="00000000"/>
  </w:font>
  <w:font w:name="方正楷体简体">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panose1 w:val="02010609030101010101"/>
    <w:charset w:val="86"/>
    <w:family w:val="auto"/>
    <w:pitch w:val="default"/>
    <w:sig w:usb0="00000001" w:usb1="080E0000" w:usb2="00000000" w:usb3="00000000" w:csb0="00040000" w:csb1="00000000"/>
    <w:embedRegular r:id="rId5" w:fontKey="{6A9D0A68-3CD2-935D-CA98-3E682FD2F7A6}"/>
  </w:font>
  <w:font w:name="方正小标宋_GBK">
    <w:panose1 w:val="03000502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0AAAE">
    <w:pPr>
      <w:pStyle w:val="4"/>
      <w:wordWrap w:val="0"/>
      <w:ind w:firstLine="280" w:firstLineChars="10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CD04C13">
                          <w:pPr>
                            <w:pStyle w:val="4"/>
                            <w:wordWrap w:val="0"/>
                            <w:ind w:firstLine="280" w:firstLineChars="100"/>
                            <w:jc w:val="right"/>
                          </w:pPr>
                          <w:r>
                            <w:rPr>
                              <w:rFonts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12</w:t>
                          </w:r>
                          <w:r>
                            <w:rPr>
                              <w:sz w:val="28"/>
                              <w:szCs w:val="28"/>
                            </w:rPr>
                            <w:fldChar w:fldCharType="end"/>
                          </w:r>
                          <w:r>
                            <w:rPr>
                              <w:sz w:val="28"/>
                              <w:szCs w:val="28"/>
                            </w:rPr>
                            <w:t xml:space="preserve"> </w:t>
                          </w:r>
                          <w:r>
                            <w:rPr>
                              <w:rFonts w:hint="eastAsia"/>
                              <w:sz w:val="28"/>
                              <w:szCs w:val="28"/>
                            </w:rPr>
                            <w:t>－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7CD04C13">
                    <w:pPr>
                      <w:pStyle w:val="4"/>
                      <w:wordWrap w:val="0"/>
                      <w:ind w:firstLine="280" w:firstLineChars="100"/>
                      <w:jc w:val="right"/>
                    </w:pPr>
                    <w:r>
                      <w:rPr>
                        <w:rFonts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12</w:t>
                    </w:r>
                    <w:r>
                      <w:rPr>
                        <w:sz w:val="28"/>
                        <w:szCs w:val="28"/>
                      </w:rPr>
                      <w:fldChar w:fldCharType="end"/>
                    </w:r>
                    <w:r>
                      <w:rPr>
                        <w:sz w:val="28"/>
                        <w:szCs w:val="28"/>
                      </w:rPr>
                      <w:t xml:space="preserve"> </w:t>
                    </w:r>
                    <w:r>
                      <w:rPr>
                        <w:rFonts w:hint="eastAsia"/>
                        <w:sz w:val="28"/>
                        <w:szCs w:val="28"/>
                      </w:rPr>
                      <w:t>－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9AE7B4"/>
    <w:multiLevelType w:val="singleLevel"/>
    <w:tmpl w:val="DD9AE7B4"/>
    <w:lvl w:ilvl="0" w:tentative="0">
      <w:start w:val="1"/>
      <w:numFmt w:val="chineseCounting"/>
      <w:suff w:val="nothing"/>
      <w:lvlText w:val="（%1）"/>
      <w:lvlJc w:val="left"/>
      <w:pPr>
        <w:ind w:left="0" w:firstLine="454"/>
      </w:pPr>
      <w:rPr>
        <w:rFonts w:hint="eastAsia"/>
      </w:rPr>
    </w:lvl>
  </w:abstractNum>
  <w:abstractNum w:abstractNumId="1">
    <w:nsid w:val="547B5DB5"/>
    <w:multiLevelType w:val="singleLevel"/>
    <w:tmpl w:val="547B5DB5"/>
    <w:lvl w:ilvl="0" w:tentative="0">
      <w:start w:val="1"/>
      <w:numFmt w:val="chineseCounting"/>
      <w:suff w:val="nothing"/>
      <w:lvlText w:val="（%1）"/>
      <w:lvlJc w:val="left"/>
      <w:pPr>
        <w:ind w:left="0" w:firstLine="454"/>
      </w:pPr>
      <w:rPr>
        <w:rFonts w:hint="eastAsia"/>
      </w:rPr>
    </w:lvl>
  </w:abstractNum>
  <w:abstractNum w:abstractNumId="2">
    <w:nsid w:val="76721E33"/>
    <w:multiLevelType w:val="singleLevel"/>
    <w:tmpl w:val="76721E33"/>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8"/>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lNmZhZDhhMTY4NDQ2ZWIyODcxNDEzMWJiYTQxYWEifQ=="/>
  </w:docVars>
  <w:rsids>
    <w:rsidRoot w:val="58B0406B"/>
    <w:rsid w:val="00310748"/>
    <w:rsid w:val="00324260"/>
    <w:rsid w:val="006D3F09"/>
    <w:rsid w:val="008D138C"/>
    <w:rsid w:val="00B44D2D"/>
    <w:rsid w:val="00B744C9"/>
    <w:rsid w:val="00D4391B"/>
    <w:rsid w:val="00F07592"/>
    <w:rsid w:val="00F52B7D"/>
    <w:rsid w:val="00FF6E56"/>
    <w:rsid w:val="023D0B8F"/>
    <w:rsid w:val="024506A0"/>
    <w:rsid w:val="040C4DE0"/>
    <w:rsid w:val="045F632C"/>
    <w:rsid w:val="072774E6"/>
    <w:rsid w:val="08717065"/>
    <w:rsid w:val="08D07D1F"/>
    <w:rsid w:val="0BD34212"/>
    <w:rsid w:val="0D654220"/>
    <w:rsid w:val="0FB642C4"/>
    <w:rsid w:val="13D918B6"/>
    <w:rsid w:val="13FB39B7"/>
    <w:rsid w:val="14E8139F"/>
    <w:rsid w:val="15600EFF"/>
    <w:rsid w:val="15DA305E"/>
    <w:rsid w:val="18BD1C8B"/>
    <w:rsid w:val="1A0A53A3"/>
    <w:rsid w:val="1DBF3B0C"/>
    <w:rsid w:val="1E4478C6"/>
    <w:rsid w:val="213A5753"/>
    <w:rsid w:val="22703156"/>
    <w:rsid w:val="23070FA7"/>
    <w:rsid w:val="240A25D6"/>
    <w:rsid w:val="24B36F23"/>
    <w:rsid w:val="27D72DCC"/>
    <w:rsid w:val="287629C1"/>
    <w:rsid w:val="29B34495"/>
    <w:rsid w:val="2C3E1197"/>
    <w:rsid w:val="2E931AF1"/>
    <w:rsid w:val="2EF37C36"/>
    <w:rsid w:val="2F011DC7"/>
    <w:rsid w:val="2FD10A51"/>
    <w:rsid w:val="30D9727D"/>
    <w:rsid w:val="35E84A25"/>
    <w:rsid w:val="360A1573"/>
    <w:rsid w:val="36A33908"/>
    <w:rsid w:val="379E6032"/>
    <w:rsid w:val="39B31D73"/>
    <w:rsid w:val="3ABF3288"/>
    <w:rsid w:val="3B91301B"/>
    <w:rsid w:val="3C4507D5"/>
    <w:rsid w:val="3C972218"/>
    <w:rsid w:val="408B0D49"/>
    <w:rsid w:val="43976112"/>
    <w:rsid w:val="469D560C"/>
    <w:rsid w:val="497B7233"/>
    <w:rsid w:val="4A546DA4"/>
    <w:rsid w:val="4A9C1E1E"/>
    <w:rsid w:val="4BC53019"/>
    <w:rsid w:val="4CB47285"/>
    <w:rsid w:val="4DC771F2"/>
    <w:rsid w:val="4F26120E"/>
    <w:rsid w:val="4FBF67CF"/>
    <w:rsid w:val="523C2D97"/>
    <w:rsid w:val="551D06C8"/>
    <w:rsid w:val="58B0406B"/>
    <w:rsid w:val="5A8752C7"/>
    <w:rsid w:val="5BB3402A"/>
    <w:rsid w:val="5BCD355F"/>
    <w:rsid w:val="5D0F2990"/>
    <w:rsid w:val="62C22BBB"/>
    <w:rsid w:val="6395607B"/>
    <w:rsid w:val="63C22E47"/>
    <w:rsid w:val="65667356"/>
    <w:rsid w:val="6618540E"/>
    <w:rsid w:val="6BC711C4"/>
    <w:rsid w:val="6D15692F"/>
    <w:rsid w:val="6EDA00EA"/>
    <w:rsid w:val="6EEEABAE"/>
    <w:rsid w:val="7131284C"/>
    <w:rsid w:val="7BF83504"/>
    <w:rsid w:val="7DD71FDA"/>
    <w:rsid w:val="7F5E5495"/>
    <w:rsid w:val="7FFA7464"/>
    <w:rsid w:val="9FF11507"/>
    <w:rsid w:val="A9FFCB99"/>
    <w:rsid w:val="B6FB0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ody Text"/>
    <w:basedOn w:val="1"/>
    <w:qFormat/>
    <w:uiPriority w:val="0"/>
    <w:pPr>
      <w:adjustRightInd w:val="0"/>
      <w:spacing w:line="312" w:lineRule="atLeast"/>
      <w:textAlignment w:val="baseline"/>
    </w:pPr>
    <w:rPr>
      <w:rFonts w:ascii="创艺简标宋" w:eastAsia="创艺简标宋"/>
      <w:kern w:val="0"/>
      <w:sz w:val="32"/>
      <w:szCs w:val="20"/>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paragraph" w:customStyle="1" w:styleId="1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2">
    <w:name w:val="Table Text"/>
    <w:basedOn w:val="1"/>
    <w:semiHidden/>
    <w:qFormat/>
    <w:uiPriority w:val="0"/>
    <w:rPr>
      <w:rFonts w:ascii="仿宋" w:hAnsi="仿宋" w:eastAsia="仿宋" w:cs="仿宋"/>
      <w:sz w:val="20"/>
      <w:szCs w:val="20"/>
      <w:lang w:eastAsia="en-US"/>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批注文字 字符"/>
    <w:basedOn w:val="9"/>
    <w:link w:val="2"/>
    <w:qFormat/>
    <w:uiPriority w:val="0"/>
    <w:rPr>
      <w:kern w:val="2"/>
      <w:sz w:val="21"/>
      <w:szCs w:val="24"/>
    </w:rPr>
  </w:style>
  <w:style w:type="character" w:customStyle="1" w:styleId="15">
    <w:name w:val="批注主题 字符"/>
    <w:basedOn w:val="14"/>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wmf"/><Relationship Id="rId17" Type="http://schemas.openxmlformats.org/officeDocument/2006/relationships/oleObject" Target="embeddings/oleObject8.bin"/><Relationship Id="rId16" Type="http://schemas.openxmlformats.org/officeDocument/2006/relationships/oleObject" Target="embeddings/oleObject7.bin"/><Relationship Id="rId15" Type="http://schemas.openxmlformats.org/officeDocument/2006/relationships/image" Target="media/image5.wmf"/><Relationship Id="rId14" Type="http://schemas.openxmlformats.org/officeDocument/2006/relationships/oleObject" Target="embeddings/oleObject6.bin"/><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2525</Words>
  <Characters>2602</Characters>
  <Lines>216</Lines>
  <Paragraphs>213</Paragraphs>
  <TotalTime>0</TotalTime>
  <ScaleCrop>false</ScaleCrop>
  <LinksUpToDate>false</LinksUpToDate>
  <CharactersWithSpaces>4914</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2022-05-06T10:11:00Z</dcterms:created>
  <dc:creator>苏苏</dc:creator>
  <cp:lastModifiedBy>董礼</cp:lastModifiedBy>
  <dcterms:modified xsi:type="dcterms:W3CDTF">2025-06-03T14:40:10Z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4F43DEB3776D087713953E68BB45A884_43</vt:lpwstr>
  </property>
  <property fmtid="{D5CDD505-2E9C-101B-9397-08002B2CF9AE}" pid="4" name="KSOTemplateDocerSaveRecord">
    <vt:lpwstr>eyJoZGlkIjoiYjU5NWQwMGY4NzljMjAxOGZmZTdmMmUwNjMyODU5MDgiLCJ1c2VySWQiOiIzNzUwNDI5MjIifQ==</vt:lpwstr>
  </property>
</Properties>
</file>