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spacing w:before="156" w:after="156" w:afterLines="50" w:line="300" w:lineRule="auto"/>
        <w:jc w:val="center"/>
        <w:rPr>
          <w:rFonts w:ascii="Times New Roman" w:hAnsi="Times New Roman" w:eastAsia="黑体"/>
          <w:color w:val="000000" w:themeColor="text1"/>
          <w:sz w:val="24"/>
          <w:szCs w:val="24"/>
          <w14:textFill>
            <w14:solidFill>
              <w14:schemeClr w14:val="tx1"/>
            </w14:solidFill>
          </w14:textFill>
        </w:rPr>
      </w:pPr>
      <w:r>
        <w:rPr>
          <w:rFonts w:hint="eastAsia" w:ascii="Times New Roman" w:hAnsi="Times New Roman" w:eastAsia="黑体"/>
          <w:color w:val="000000" w:themeColor="text1"/>
          <w:sz w:val="24"/>
          <w:szCs w:val="24"/>
          <w14:textFill>
            <w14:solidFill>
              <w14:schemeClr w14:val="tx1"/>
            </w14:solidFill>
          </w14:textFill>
        </w:rPr>
        <w:t>生物学院学生综合评价体系实施细则</w:t>
      </w:r>
    </w:p>
    <w:p>
      <w:pPr>
        <w:pStyle w:val="2"/>
        <w:keepNext w:val="0"/>
        <w:keepLines w:val="0"/>
        <w:spacing w:before="156" w:after="156" w:afterLines="50" w:line="300" w:lineRule="auto"/>
        <w:jc w:val="center"/>
        <w:rPr>
          <w:rFonts w:ascii="Times New Roman" w:hAnsi="Times New Roman" w:eastAsia="黑体"/>
          <w:color w:val="000000" w:themeColor="text1"/>
          <w:sz w:val="22"/>
          <w:szCs w:val="24"/>
          <w14:textFill>
            <w14:solidFill>
              <w14:schemeClr w14:val="tx1"/>
            </w14:solidFill>
          </w14:textFill>
        </w:rPr>
      </w:pPr>
      <w:r>
        <w:rPr>
          <w:rFonts w:hint="eastAsia" w:ascii="Times New Roman" w:hAnsi="Times New Roman" w:eastAsia="黑体"/>
          <w:color w:val="000000" w:themeColor="text1"/>
          <w:sz w:val="22"/>
          <w:szCs w:val="24"/>
          <w14:textFill>
            <w14:solidFill>
              <w14:schemeClr w14:val="tx1"/>
            </w14:solidFill>
          </w14:textFill>
        </w:rPr>
        <w:t>（202</w:t>
      </w:r>
      <w:r>
        <w:rPr>
          <w:rFonts w:hint="eastAsia" w:ascii="Times New Roman" w:hAnsi="Times New Roman" w:eastAsia="黑体"/>
          <w:color w:val="000000" w:themeColor="text1"/>
          <w:sz w:val="22"/>
          <w:szCs w:val="24"/>
          <w:lang w:val="en-US" w:eastAsia="zh-CN"/>
          <w14:textFill>
            <w14:solidFill>
              <w14:schemeClr w14:val="tx1"/>
            </w14:solidFill>
          </w14:textFill>
        </w:rPr>
        <w:t>4</w:t>
      </w:r>
      <w:r>
        <w:rPr>
          <w:rFonts w:hint="eastAsia" w:ascii="Times New Roman" w:hAnsi="Times New Roman" w:eastAsia="黑体"/>
          <w:color w:val="000000" w:themeColor="text1"/>
          <w:sz w:val="22"/>
          <w:szCs w:val="24"/>
          <w14:textFill>
            <w14:solidFill>
              <w14:schemeClr w14:val="tx1"/>
            </w14:solidFill>
          </w14:textFill>
        </w:rPr>
        <w:t>年1月修订版）</w:t>
      </w:r>
    </w:p>
    <w:p>
      <w:pPr>
        <w:spacing w:beforeLines="0" w:line="300" w:lineRule="auto"/>
        <w:ind w:firstLine="319" w:firstLineChars="152"/>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为了全面贯彻党</w:t>
      </w:r>
      <w:bookmarkStart w:id="0" w:name="_GoBack"/>
      <w:bookmarkEnd w:id="0"/>
      <w:r>
        <w:rPr>
          <w:rFonts w:hint="eastAsia" w:ascii="楷体_GB2312" w:hAnsi="华文楷体" w:eastAsia="楷体_GB2312" w:cs="宋体"/>
          <w:color w:val="000000" w:themeColor="text1"/>
          <w:kern w:val="0"/>
          <w:szCs w:val="21"/>
          <w14:textFill>
            <w14:solidFill>
              <w14:schemeClr w14:val="tx1"/>
            </w14:solidFill>
          </w14:textFill>
        </w:rPr>
        <w:t>的教育方针，充分调动和发挥学生的主动性和创造性，促进学生德、智、体全面发展，根据学校相关规定，结合学院实际情况，制定本实施细则。</w:t>
      </w:r>
    </w:p>
    <w:p>
      <w:pPr>
        <w:spacing w:beforeLines="0" w:line="300" w:lineRule="auto"/>
        <w:ind w:firstLine="413" w:firstLineChars="196"/>
        <w:rPr>
          <w:rFonts w:ascii="楷体_GB2312" w:eastAsia="楷体_GB2312" w:cs="宋体"/>
          <w:b/>
          <w:color w:val="000000" w:themeColor="text1"/>
          <w:kern w:val="0"/>
          <w:szCs w:val="21"/>
          <w14:textFill>
            <w14:solidFill>
              <w14:schemeClr w14:val="tx1"/>
            </w14:solidFill>
          </w14:textFill>
        </w:rPr>
      </w:pPr>
      <w:r>
        <w:rPr>
          <w:rFonts w:hint="eastAsia" w:ascii="楷体_GB2312" w:hAnsi="宋体" w:eastAsia="楷体_GB2312" w:cs="宋体"/>
          <w:b/>
          <w:color w:val="000000" w:themeColor="text1"/>
          <w:kern w:val="0"/>
          <w:szCs w:val="21"/>
          <w14:textFill>
            <w14:solidFill>
              <w14:schemeClr w14:val="tx1"/>
            </w14:solidFill>
          </w14:textFill>
        </w:rPr>
        <w:t>一、基本原则</w:t>
      </w:r>
    </w:p>
    <w:p>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1．建立德、智、科、能四元制学生综合评价体系，对学生思想品行（德）、学业成绩（智）、科技创新与学科竞赛（科）、社会实践与文体活动（能）各目标要素进行全面、客观、综合评价。</w:t>
      </w:r>
    </w:p>
    <w:p>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2．采用基准分与加减分相结合的模式对学生德、智、科、能分别进行评价。基准分为学生各项的基础达标要求；加减分重点体现导向作用，引导学生全面发展。</w:t>
      </w:r>
    </w:p>
    <w:p>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3．根据奖学金评定、理科基地滚动、推荐免试研究生等不同测评需要，对四元评价目标赋予相应的权重，作为综合测评、排名依据。</w:t>
      </w:r>
    </w:p>
    <w:tbl>
      <w:tblPr>
        <w:tblStyle w:val="10"/>
        <w:tblW w:w="6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1101"/>
        <w:gridCol w:w="1294"/>
        <w:gridCol w:w="3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853"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类别</w:t>
            </w:r>
          </w:p>
        </w:tc>
        <w:tc>
          <w:tcPr>
            <w:tcW w:w="1101"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综合测评</w:t>
            </w:r>
          </w:p>
        </w:tc>
        <w:tc>
          <w:tcPr>
            <w:tcW w:w="1294"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免试推荐</w:t>
            </w:r>
          </w:p>
        </w:tc>
        <w:tc>
          <w:tcPr>
            <w:tcW w:w="3436"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853"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德</w:t>
            </w:r>
          </w:p>
        </w:tc>
        <w:tc>
          <w:tcPr>
            <w:tcW w:w="1101"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10%</w:t>
            </w:r>
          </w:p>
        </w:tc>
        <w:tc>
          <w:tcPr>
            <w:tcW w:w="1294"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10%</w:t>
            </w:r>
          </w:p>
        </w:tc>
        <w:tc>
          <w:tcPr>
            <w:tcW w:w="3436" w:type="dxa"/>
            <w:vMerge w:val="restart"/>
          </w:tcPr>
          <w:p>
            <w:pPr>
              <w:spacing w:beforeLines="0" w:line="300" w:lineRule="auto"/>
              <w:jc w:val="center"/>
              <w:rPr>
                <w:rFonts w:ascii="楷体_GB2312" w:hAnsi="华文楷体" w:eastAsia="楷体_GB2312" w:cs="宋体"/>
                <w:bCs/>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推荐免试排名为三年累计排名，综合测评排名为年度排名。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853"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智</w:t>
            </w:r>
          </w:p>
        </w:tc>
        <w:tc>
          <w:tcPr>
            <w:tcW w:w="1101"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70%</w:t>
            </w:r>
          </w:p>
        </w:tc>
        <w:tc>
          <w:tcPr>
            <w:tcW w:w="1294"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75%</w:t>
            </w:r>
          </w:p>
        </w:tc>
        <w:tc>
          <w:tcPr>
            <w:tcW w:w="3436" w:type="dxa"/>
            <w:vMerge w:val="continue"/>
          </w:tcPr>
          <w:p>
            <w:pPr>
              <w:spacing w:beforeLines="0" w:line="300" w:lineRule="auto"/>
              <w:ind w:firstLine="420" w:firstLineChars="200"/>
              <w:jc w:val="center"/>
              <w:rPr>
                <w:rFonts w:ascii="楷体_GB2312" w:hAnsi="华文楷体" w:eastAsia="楷体_GB2312" w:cs="宋体"/>
                <w:color w:val="000000" w:themeColor="text1"/>
                <w:kern w:val="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853"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科</w:t>
            </w:r>
          </w:p>
        </w:tc>
        <w:tc>
          <w:tcPr>
            <w:tcW w:w="1101"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10%</w:t>
            </w:r>
          </w:p>
        </w:tc>
        <w:tc>
          <w:tcPr>
            <w:tcW w:w="1294"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10%</w:t>
            </w:r>
          </w:p>
        </w:tc>
        <w:tc>
          <w:tcPr>
            <w:tcW w:w="3436" w:type="dxa"/>
            <w:vMerge w:val="continue"/>
          </w:tcPr>
          <w:p>
            <w:pPr>
              <w:spacing w:beforeLines="0" w:line="300" w:lineRule="auto"/>
              <w:ind w:firstLine="420" w:firstLineChars="200"/>
              <w:jc w:val="center"/>
              <w:rPr>
                <w:rFonts w:ascii="楷体_GB2312" w:hAnsi="华文楷体" w:eastAsia="楷体_GB2312" w:cs="宋体"/>
                <w:color w:val="000000" w:themeColor="text1"/>
                <w:kern w:val="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853"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能</w:t>
            </w:r>
          </w:p>
        </w:tc>
        <w:tc>
          <w:tcPr>
            <w:tcW w:w="1101"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10%</w:t>
            </w:r>
          </w:p>
        </w:tc>
        <w:tc>
          <w:tcPr>
            <w:tcW w:w="1294" w:type="dxa"/>
          </w:tcPr>
          <w:p>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5%</w:t>
            </w:r>
          </w:p>
        </w:tc>
        <w:tc>
          <w:tcPr>
            <w:tcW w:w="3436" w:type="dxa"/>
            <w:vMerge w:val="continue"/>
          </w:tcPr>
          <w:p>
            <w:pPr>
              <w:spacing w:beforeLines="0" w:line="300" w:lineRule="auto"/>
              <w:ind w:firstLine="420" w:firstLineChars="200"/>
              <w:jc w:val="center"/>
              <w:rPr>
                <w:rFonts w:ascii="楷体_GB2312" w:hAnsi="华文楷体" w:eastAsia="楷体_GB2312" w:cs="宋体"/>
                <w:color w:val="000000" w:themeColor="text1"/>
                <w:kern w:val="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6684" w:type="dxa"/>
            <w:gridSpan w:val="4"/>
          </w:tcPr>
          <w:p>
            <w:pPr>
              <w:numPr>
                <w:ilvl w:val="0"/>
                <w:numId w:val="1"/>
              </w:num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根据不同选材依据，给予各测评单元以不同权重</w:t>
            </w:r>
          </w:p>
        </w:tc>
      </w:tr>
    </w:tbl>
    <w:p>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4．在测评中坚持班级考评和学院考评相结合和公平、公正、公开原则。</w:t>
      </w:r>
    </w:p>
    <w:p>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5．本细则适用于生物学院所有在校本科生。</w:t>
      </w:r>
    </w:p>
    <w:p>
      <w:pPr>
        <w:spacing w:beforeLines="0" w:line="300" w:lineRule="auto"/>
        <w:ind w:firstLine="413" w:firstLineChars="196"/>
        <w:rPr>
          <w:rFonts w:ascii="楷体_GB2312" w:hAnsi="宋体" w:eastAsia="楷体_GB2312" w:cs="宋体"/>
          <w:b/>
          <w:color w:val="000000" w:themeColor="text1"/>
          <w:kern w:val="0"/>
          <w:szCs w:val="21"/>
          <w14:textFill>
            <w14:solidFill>
              <w14:schemeClr w14:val="tx1"/>
            </w14:solidFill>
          </w14:textFill>
        </w:rPr>
      </w:pPr>
      <w:r>
        <w:rPr>
          <w:rFonts w:hint="eastAsia" w:ascii="楷体_GB2312" w:hAnsi="宋体" w:eastAsia="楷体_GB2312" w:cs="宋体"/>
          <w:b/>
          <w:color w:val="000000" w:themeColor="text1"/>
          <w:kern w:val="0"/>
          <w:szCs w:val="21"/>
          <w14:textFill>
            <w14:solidFill>
              <w14:schemeClr w14:val="tx1"/>
            </w14:solidFill>
          </w14:textFill>
        </w:rPr>
        <w:t>二、评价内容和标准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生物学院学生综合评价体系采用思想品行（德）、学业成绩（智）、科技创新与学科竞赛（科）、社会实践与文体活动（能）四个目标要素为评价阶元，对学生实行德、智、科、能四元综合评价（附件《生物学院学生综合评价表》），每个评价阶元分制满分为100分，由基准分和加减分两部分组成。</w:t>
      </w:r>
    </w:p>
    <w:p>
      <w:pPr>
        <w:spacing w:beforeLines="0" w:line="300" w:lineRule="auto"/>
        <w:ind w:firstLine="411" w:firstLineChars="196"/>
        <w:rPr>
          <w:rFonts w:ascii="楷体_GB2312" w:hAnsi="黑体" w:eastAsia="楷体_GB2312" w:cs="宋体"/>
          <w:color w:val="000000" w:themeColor="text1"/>
          <w:kern w:val="0"/>
          <w:szCs w:val="21"/>
          <w14:textFill>
            <w14:solidFill>
              <w14:schemeClr w14:val="tx1"/>
            </w14:solidFill>
          </w14:textFill>
        </w:rPr>
      </w:pPr>
      <w:r>
        <w:rPr>
          <w:rFonts w:hint="eastAsia" w:ascii="楷体_GB2312" w:hAnsi="黑体" w:eastAsia="楷体_GB2312" w:cs="宋体"/>
          <w:color w:val="000000" w:themeColor="text1"/>
          <w:kern w:val="0"/>
          <w:szCs w:val="21"/>
          <w14:textFill>
            <w14:solidFill>
              <w14:schemeClr w14:val="tx1"/>
            </w14:solidFill>
          </w14:textFill>
        </w:rPr>
        <w:t>1．思想品行评价（满分100分）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1）基准分：60分。标准：热爱社会主义祖国，遵纪守法，品行端正，举止文明得体，关心集体，主动、积极参加集体活动。身心健康，诚实守信，谦虚谨慎，为人正直，办事公道；敬老爱幼，尊敬师长，团结同学，乐于助人。</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（2）加减分：根据思想品行项加减分项具体要求（附表1）测算，最高加分值使本项分数不超过100分，最大减分值使本项分数不低于0分。</w:t>
      </w:r>
    </w:p>
    <w:p>
      <w:pPr>
        <w:spacing w:beforeLines="0" w:line="300" w:lineRule="auto"/>
        <w:ind w:firstLine="411" w:firstLineChars="196"/>
        <w:rPr>
          <w:rFonts w:ascii="楷体_GB2312" w:hAnsi="黑体" w:eastAsia="楷体_GB2312" w:cs="宋体"/>
          <w:color w:val="000000" w:themeColor="text1"/>
          <w:kern w:val="0"/>
          <w:szCs w:val="21"/>
          <w14:textFill>
            <w14:solidFill>
              <w14:schemeClr w14:val="tx1"/>
            </w14:solidFill>
          </w14:textFill>
        </w:rPr>
      </w:pPr>
      <w:r>
        <w:rPr>
          <w:rFonts w:hint="eastAsia" w:ascii="楷体_GB2312" w:hAnsi="黑体" w:eastAsia="楷体_GB2312" w:cs="宋体"/>
          <w:color w:val="000000" w:themeColor="text1"/>
          <w:kern w:val="0"/>
          <w:szCs w:val="21"/>
          <w14:textFill>
            <w14:solidFill>
              <w14:schemeClr w14:val="tx1"/>
            </w14:solidFill>
          </w14:textFill>
        </w:rPr>
        <w:t>2．学习成绩评价（满分为100分）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按GPA成绩换算成百分制（学业百分制=GPA成绩×25）。</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GPA成绩按教务处下发到各班的成绩单为依据进行核算。</w:t>
      </w:r>
    </w:p>
    <w:p>
      <w:pPr>
        <w:spacing w:beforeLines="0" w:line="300" w:lineRule="auto"/>
        <w:ind w:firstLine="411" w:firstLineChars="196"/>
        <w:rPr>
          <w:rFonts w:ascii="楷体_GB2312" w:hAnsi="黑体" w:eastAsia="楷体_GB2312" w:cs="宋体"/>
          <w:color w:val="000000" w:themeColor="text1"/>
          <w:kern w:val="0"/>
          <w:szCs w:val="21"/>
          <w14:textFill>
            <w14:solidFill>
              <w14:schemeClr w14:val="tx1"/>
            </w14:solidFill>
          </w14:textFill>
        </w:rPr>
      </w:pPr>
      <w:r>
        <w:rPr>
          <w:rFonts w:hint="eastAsia" w:ascii="楷体_GB2312" w:hAnsi="黑体" w:eastAsia="楷体_GB2312" w:cs="宋体"/>
          <w:color w:val="000000" w:themeColor="text1"/>
          <w:kern w:val="0"/>
          <w:szCs w:val="21"/>
          <w14:textFill>
            <w14:solidFill>
              <w14:schemeClr w14:val="tx1"/>
            </w14:solidFill>
          </w14:textFill>
        </w:rPr>
        <w:t>3．科技创新与学科竞赛（满分为100分）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1）基准分：60分。标准：按照培养方案科研训练培养环节要求，完成科研训练取得相应学分者取得基准分60分（三年级以上学生要求，其余年级学生进行综合评价时可直接按照基准分60分对应）。推荐免试研究生综合测评成绩计算时，“科”项基准分加分参考下方 附则4-（3）关于本科毕业生保研综测补充说明。</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（2）加减分：参见科研创新与学科竞赛项加减分表（附表2），最高加分值使本项分数不超过100分；最大减分值使本项分数不低于0分。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4</w:t>
      </w:r>
      <w:r>
        <w:rPr>
          <w:rFonts w:hint="eastAsia" w:ascii="楷体_GB2312" w:hAnsi="华文楷体" w:eastAsia="楷体_GB2312" w:cs="宋体"/>
          <w:color w:val="000000" w:themeColor="text1"/>
          <w:kern w:val="0"/>
          <w:szCs w:val="21"/>
          <w14:textFill>
            <w14:solidFill>
              <w14:schemeClr w14:val="tx1"/>
            </w14:solidFill>
          </w14:textFill>
        </w:rPr>
        <w:t>．社会实践与文体活动（满分为</w:t>
      </w:r>
      <w:r>
        <w:rPr>
          <w:rFonts w:ascii="楷体_GB2312" w:hAnsi="华文楷体" w:eastAsia="楷体_GB2312" w:cs="宋体"/>
          <w:color w:val="000000" w:themeColor="text1"/>
          <w:kern w:val="0"/>
          <w:szCs w:val="21"/>
          <w14:textFill>
            <w14:solidFill>
              <w14:schemeClr w14:val="tx1"/>
            </w14:solidFill>
          </w14:textFill>
        </w:rPr>
        <w:t>100</w:t>
      </w:r>
      <w:r>
        <w:rPr>
          <w:rFonts w:hint="eastAsia" w:ascii="楷体_GB2312" w:hAnsi="华文楷体" w:eastAsia="楷体_GB2312" w:cs="宋体"/>
          <w:color w:val="000000" w:themeColor="text1"/>
          <w:kern w:val="0"/>
          <w:szCs w:val="21"/>
          <w14:textFill>
            <w14:solidFill>
              <w14:schemeClr w14:val="tx1"/>
            </w14:solidFill>
          </w14:textFill>
        </w:rPr>
        <w:t>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w:t>
      </w:r>
      <w:r>
        <w:rPr>
          <w:rFonts w:ascii="楷体_GB2312" w:hAnsi="华文楷体" w:eastAsia="楷体_GB2312" w:cs="宋体"/>
          <w:color w:val="000000" w:themeColor="text1"/>
          <w:kern w:val="0"/>
          <w:szCs w:val="21"/>
          <w14:textFill>
            <w14:solidFill>
              <w14:schemeClr w14:val="tx1"/>
            </w14:solidFill>
          </w14:textFill>
        </w:rPr>
        <w:t>1</w:t>
      </w:r>
      <w:r>
        <w:rPr>
          <w:rFonts w:hint="eastAsia" w:ascii="楷体_GB2312" w:hAnsi="华文楷体" w:eastAsia="楷体_GB2312" w:cs="宋体"/>
          <w:color w:val="000000" w:themeColor="text1"/>
          <w:kern w:val="0"/>
          <w:szCs w:val="21"/>
          <w14:textFill>
            <w14:solidFill>
              <w14:schemeClr w14:val="tx1"/>
            </w14:solidFill>
          </w14:textFill>
        </w:rPr>
        <w:t>）基准分：6</w:t>
      </w:r>
      <w:r>
        <w:rPr>
          <w:rFonts w:ascii="楷体_GB2312" w:hAnsi="华文楷体" w:eastAsia="楷体_GB2312" w:cs="宋体"/>
          <w:color w:val="000000" w:themeColor="text1"/>
          <w:kern w:val="0"/>
          <w:szCs w:val="21"/>
          <w14:textFill>
            <w14:solidFill>
              <w14:schemeClr w14:val="tx1"/>
            </w14:solidFill>
          </w14:textFill>
        </w:rPr>
        <w:t>0</w:t>
      </w:r>
      <w:r>
        <w:rPr>
          <w:rFonts w:hint="eastAsia" w:ascii="楷体_GB2312" w:hAnsi="华文楷体" w:eastAsia="楷体_GB2312" w:cs="宋体"/>
          <w:color w:val="000000" w:themeColor="text1"/>
          <w:kern w:val="0"/>
          <w:szCs w:val="21"/>
          <w14:textFill>
            <w14:solidFill>
              <w14:schemeClr w14:val="tx1"/>
            </w14:solidFill>
          </w14:textFill>
        </w:rPr>
        <w:t>分。标准：</w:t>
      </w:r>
    </w:p>
    <w:p>
      <w:pPr>
        <w:spacing w:beforeLines="0" w:line="300" w:lineRule="auto"/>
        <w:ind w:left="412" w:left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a.评选学年（上一自然年5~12月）</w:t>
      </w:r>
      <w:r>
        <w:rPr>
          <w:rFonts w:hint="eastAsia" w:ascii="楷体_GB2312" w:hAnsi="华文楷体" w:eastAsia="楷体_GB2312" w:cs="宋体"/>
          <w:color w:val="000000" w:themeColor="text1"/>
          <w:kern w:val="0"/>
          <w:szCs w:val="21"/>
          <w:highlight w:val="none"/>
          <w14:textFill>
            <w14:solidFill>
              <w14:schemeClr w14:val="tx1"/>
            </w14:solidFill>
          </w14:textFill>
        </w:rPr>
        <w:t>参加并</w:t>
      </w:r>
      <w:r>
        <w:rPr>
          <w:rFonts w:ascii="楷体_GB2312" w:hAnsi="华文楷体" w:eastAsia="楷体_GB2312" w:cs="宋体"/>
          <w:color w:val="000000" w:themeColor="text1"/>
          <w:kern w:val="0"/>
          <w:szCs w:val="21"/>
          <w:highlight w:val="none"/>
          <w14:textFill>
            <w14:solidFill>
              <w14:schemeClr w14:val="tx1"/>
            </w14:solidFill>
          </w14:textFill>
        </w:rPr>
        <w:t>通过</w:t>
      </w:r>
      <w:r>
        <w:rPr>
          <w:rFonts w:ascii="楷体_GB2312" w:hAnsi="华文楷体" w:eastAsia="楷体_GB2312" w:cs="宋体"/>
          <w:color w:val="000000" w:themeColor="text1"/>
          <w:kern w:val="0"/>
          <w:szCs w:val="21"/>
          <w14:textFill>
            <w14:solidFill>
              <w14:schemeClr w14:val="tx1"/>
            </w14:solidFill>
          </w14:textFill>
        </w:rPr>
        <w:t>《国家大学生身体综合素质测评》15分（免测需提供相应学年免测证明，证明有效此项可得分）；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b.评选学年期间参加文体活动1次及以上15分；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c.评选学年期间参加文体竞赛1次及以上15分；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d.评选学年期间参加志愿服务满4小时 15分；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e.积极参加学校、学院组织的社会活动和社会实践15分（社会实践取得后持续有效）。</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注：5项中4项达标则获得基准分满分60分，多于60分者按60分计算。其中a项为必选项，未满足此项者在所得基础分的基础上减15分</w:t>
      </w:r>
      <w:r>
        <w:rPr>
          <w:rFonts w:hint="eastAsia" w:ascii="楷体_GB2312" w:hAnsi="华文楷体" w:eastAsia="楷体_GB2312" w:cs="宋体"/>
          <w:color w:val="000000" w:themeColor="text1"/>
          <w:kern w:val="0"/>
          <w:szCs w:val="21"/>
          <w:lang w:eastAsia="zh-CN"/>
          <w14:textFill>
            <w14:solidFill>
              <w14:schemeClr w14:val="tx1"/>
            </w14:solidFill>
          </w14:textFill>
        </w:rPr>
        <w:t>；</w:t>
      </w:r>
      <w:r>
        <w:rPr>
          <w:rFonts w:hint="eastAsia" w:ascii="楷体_GB2312" w:hAnsi="华文楷体" w:eastAsia="楷体_GB2312" w:cs="宋体"/>
          <w:color w:val="000000" w:themeColor="text1"/>
          <w:kern w:val="0"/>
          <w:szCs w:val="21"/>
          <w14:textFill>
            <w14:solidFill>
              <w14:schemeClr w14:val="tx1"/>
            </w14:solidFill>
          </w14:textFill>
        </w:rPr>
        <w:t>无故不参加体测者，</w:t>
      </w:r>
      <w:r>
        <w:rPr>
          <w:rFonts w:hint="eastAsia" w:ascii="楷体_GB2312" w:hAnsi="华文楷体" w:eastAsia="楷体_GB2312" w:cs="宋体"/>
          <w:color w:val="000000" w:themeColor="text1"/>
          <w:kern w:val="0"/>
          <w:szCs w:val="21"/>
          <w:lang w:eastAsia="zh-CN"/>
          <w14:textFill>
            <w14:solidFill>
              <w14:schemeClr w14:val="tx1"/>
            </w14:solidFill>
          </w14:textFill>
        </w:rPr>
        <w:t>“</w:t>
      </w:r>
      <w:r>
        <w:rPr>
          <w:rFonts w:hint="eastAsia" w:ascii="楷体_GB2312" w:hAnsi="华文楷体" w:eastAsia="楷体_GB2312" w:cs="宋体"/>
          <w:color w:val="000000" w:themeColor="text1"/>
          <w:kern w:val="0"/>
          <w:szCs w:val="21"/>
          <w14:textFill>
            <w14:solidFill>
              <w14:schemeClr w14:val="tx1"/>
            </w14:solidFill>
          </w14:textFill>
        </w:rPr>
        <w:t>能</w:t>
      </w:r>
      <w:r>
        <w:rPr>
          <w:rFonts w:hint="eastAsia" w:ascii="楷体_GB2312" w:hAnsi="华文楷体" w:eastAsia="楷体_GB2312" w:cs="宋体"/>
          <w:color w:val="000000" w:themeColor="text1"/>
          <w:kern w:val="0"/>
          <w:szCs w:val="21"/>
          <w:lang w:eastAsia="zh-CN"/>
          <w14:textFill>
            <w14:solidFill>
              <w14:schemeClr w14:val="tx1"/>
            </w14:solidFill>
          </w14:textFill>
        </w:rPr>
        <w:t>”</w:t>
      </w:r>
      <w:r>
        <w:rPr>
          <w:rFonts w:hint="eastAsia" w:ascii="楷体_GB2312" w:hAnsi="华文楷体" w:eastAsia="楷体_GB2312" w:cs="宋体"/>
          <w:color w:val="000000" w:themeColor="text1"/>
          <w:kern w:val="0"/>
          <w:szCs w:val="21"/>
          <w14:textFill>
            <w14:solidFill>
              <w14:schemeClr w14:val="tx1"/>
            </w14:solidFill>
          </w14:textFill>
        </w:rPr>
        <w:t>项基准分为0分。e项不包括“思想政治教育社会实践课组”内除“暑期社会实践”、“寒假社会实践”以外的项目。</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w:t>
      </w:r>
      <w:r>
        <w:rPr>
          <w:rFonts w:ascii="楷体_GB2312" w:hAnsi="华文楷体" w:eastAsia="楷体_GB2312" w:cs="宋体"/>
          <w:color w:val="000000" w:themeColor="text1"/>
          <w:kern w:val="0"/>
          <w:szCs w:val="21"/>
          <w14:textFill>
            <w14:solidFill>
              <w14:schemeClr w14:val="tx1"/>
            </w14:solidFill>
          </w14:textFill>
        </w:rPr>
        <w:t>2</w:t>
      </w:r>
      <w:r>
        <w:rPr>
          <w:rFonts w:hint="eastAsia" w:ascii="楷体_GB2312" w:hAnsi="华文楷体" w:eastAsia="楷体_GB2312" w:cs="宋体"/>
          <w:color w:val="000000" w:themeColor="text1"/>
          <w:kern w:val="0"/>
          <w:szCs w:val="21"/>
          <w14:textFill>
            <w14:solidFill>
              <w14:schemeClr w14:val="tx1"/>
            </w14:solidFill>
          </w14:textFill>
        </w:rPr>
        <w:t>）加减分：参见社会实践与文体活动项加减分表（附表</w:t>
      </w:r>
      <w:r>
        <w:rPr>
          <w:rFonts w:ascii="楷体_GB2312" w:hAnsi="华文楷体" w:eastAsia="楷体_GB2312" w:cs="宋体"/>
          <w:color w:val="000000" w:themeColor="text1"/>
          <w:kern w:val="0"/>
          <w:szCs w:val="21"/>
          <w14:textFill>
            <w14:solidFill>
              <w14:schemeClr w14:val="tx1"/>
            </w14:solidFill>
          </w14:textFill>
        </w:rPr>
        <w:t>3</w:t>
      </w:r>
      <w:r>
        <w:rPr>
          <w:rFonts w:hint="eastAsia" w:ascii="楷体_GB2312" w:hAnsi="华文楷体" w:eastAsia="楷体_GB2312" w:cs="宋体"/>
          <w:color w:val="000000" w:themeColor="text1"/>
          <w:kern w:val="0"/>
          <w:szCs w:val="21"/>
          <w14:textFill>
            <w14:solidFill>
              <w14:schemeClr w14:val="tx1"/>
            </w14:solidFill>
          </w14:textFill>
        </w:rPr>
        <w:t>），最高加分值使本项分数不超过</w:t>
      </w:r>
      <w:r>
        <w:rPr>
          <w:rFonts w:ascii="楷体_GB2312" w:hAnsi="华文楷体" w:eastAsia="楷体_GB2312" w:cs="宋体"/>
          <w:color w:val="000000" w:themeColor="text1"/>
          <w:kern w:val="0"/>
          <w:szCs w:val="21"/>
          <w14:textFill>
            <w14:solidFill>
              <w14:schemeClr w14:val="tx1"/>
            </w14:solidFill>
          </w14:textFill>
        </w:rPr>
        <w:t>100</w:t>
      </w:r>
      <w:r>
        <w:rPr>
          <w:rFonts w:hint="eastAsia" w:ascii="楷体_GB2312" w:hAnsi="华文楷体" w:eastAsia="楷体_GB2312" w:cs="宋体"/>
          <w:color w:val="000000" w:themeColor="text1"/>
          <w:kern w:val="0"/>
          <w:szCs w:val="21"/>
          <w14:textFill>
            <w14:solidFill>
              <w14:schemeClr w14:val="tx1"/>
            </w14:solidFill>
          </w14:textFill>
        </w:rPr>
        <w:t>分；最大减分值，使本项分数不低于</w:t>
      </w:r>
      <w:r>
        <w:rPr>
          <w:rFonts w:ascii="楷体_GB2312" w:hAnsi="华文楷体" w:eastAsia="楷体_GB2312" w:cs="宋体"/>
          <w:color w:val="000000" w:themeColor="text1"/>
          <w:kern w:val="0"/>
          <w:szCs w:val="21"/>
          <w14:textFill>
            <w14:solidFill>
              <w14:schemeClr w14:val="tx1"/>
            </w14:solidFill>
          </w14:textFill>
        </w:rPr>
        <w:t>0</w:t>
      </w:r>
      <w:r>
        <w:rPr>
          <w:rFonts w:hint="eastAsia" w:ascii="楷体_GB2312" w:hAnsi="华文楷体" w:eastAsia="楷体_GB2312" w:cs="宋体"/>
          <w:color w:val="000000" w:themeColor="text1"/>
          <w:kern w:val="0"/>
          <w:szCs w:val="21"/>
          <w14:textFill>
            <w14:solidFill>
              <w14:schemeClr w14:val="tx1"/>
            </w14:solidFill>
          </w14:textFill>
        </w:rPr>
        <w:t>分。</w:t>
      </w:r>
    </w:p>
    <w:p>
      <w:pPr>
        <w:spacing w:beforeLines="0" w:line="300" w:lineRule="auto"/>
        <w:ind w:firstLine="413" w:firstLineChars="196"/>
        <w:rPr>
          <w:rFonts w:ascii="楷体_GB2312" w:hAnsi="宋体" w:eastAsia="楷体_GB2312" w:cs="宋体"/>
          <w:b/>
          <w:color w:val="000000" w:themeColor="text1"/>
          <w:kern w:val="0"/>
          <w:szCs w:val="21"/>
          <w14:textFill>
            <w14:solidFill>
              <w14:schemeClr w14:val="tx1"/>
            </w14:solidFill>
          </w14:textFill>
        </w:rPr>
      </w:pPr>
      <w:r>
        <w:rPr>
          <w:rFonts w:hint="eastAsia" w:ascii="楷体_GB2312" w:hAnsi="宋体" w:eastAsia="楷体_GB2312" w:cs="宋体"/>
          <w:b/>
          <w:color w:val="000000" w:themeColor="text1"/>
          <w:kern w:val="0"/>
          <w:szCs w:val="21"/>
          <w14:textFill>
            <w14:solidFill>
              <w14:schemeClr w14:val="tx1"/>
            </w14:solidFill>
          </w14:textFill>
        </w:rPr>
        <w:t>三、附则</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1．学生综合评价必须坚持实事求是的原则，凡弄虚作假者，取消其在该年度各种评奖评优资格；</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2．如同一项目获得多项荣誉（表彰），则只取最高项进行计算；</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3．测评时，学生填写《生物学院学生综合评价表》，详细说明加分理由，并须出具相关的证明（证书、文章的复印件或作品），否则视为无效；学生未提交《生物学院学生综合评价表》，基础分为0；证明材料到相关单位开具，盖章有效。学院内各学生团体成员到学院分团委开具证明材料。</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4．测评基准分、加减分根据测评项目不同而异，奖学金综合测评按上一年度实际情况填报；</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推荐免试研究生综合测评成绩中：</w:t>
      </w:r>
    </w:p>
    <w:p>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1）思想品行项目（德）、科技创新与学科竞赛项目（科）以及社会实践与文体活动项目（能）分数按照前三学年小分取平均值计算（计算时只对第三学年的分数核验，前两学年的分数以当年公示为准，不因综测条例的逐年修订而改动）。</w:t>
      </w:r>
    </w:p>
    <w:p>
      <w:pPr>
        <w:numPr>
          <w:ilvl w:val="0"/>
          <w:numId w:val="2"/>
        </w:num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关于本科毕业生保研综测“科”项补充说明：</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完成校级URP、市创、国创且项目评审合格者，可取得“科”项基准分60分。</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申请而未完成校级URP、市创、国创者需提交实验记录本及由导师签字的《项目参与证明》，经综合测评工作组对实验记录进行核验，完成144学时（36天，每天4学时）科研训练可取得基准分60分；不足144学时，根据实际学时，按照比例计算予以加分，计算方式为：60分*（实际学时/144学时） 。</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5.推荐免试研究生综合测评时，对于因转专业等原因导致缺失某一学年综合测评成绩的，应补充提交缺失学年综合测评证明材料，按照现行学生综合评价体系细则计算；对于留级、跳级或其他学制的，应按照此前全部学年得分平均；对于休学、保留学籍等原因导致某一学年综合测评成绩对应两版学生综合评价体系实施细则的，应按照现行新版实施细则计算。</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6</w:t>
      </w:r>
      <w:r>
        <w:rPr>
          <w:rFonts w:hint="eastAsia" w:ascii="楷体_GB2312" w:hAnsi="华文楷体" w:eastAsia="楷体_GB2312" w:cs="宋体"/>
          <w:color w:val="000000" w:themeColor="text1"/>
          <w:kern w:val="0"/>
          <w:szCs w:val="21"/>
          <w14:textFill>
            <w14:solidFill>
              <w14:schemeClr w14:val="tx1"/>
            </w14:solidFill>
          </w14:textFill>
        </w:rPr>
        <w:t>. 所有加减分项目分开计算，减分项不可被抵消。</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7</w:t>
      </w:r>
      <w:r>
        <w:rPr>
          <w:rFonts w:hint="eastAsia" w:ascii="楷体_GB2312" w:hAnsi="华文楷体" w:eastAsia="楷体_GB2312" w:cs="宋体"/>
          <w:color w:val="000000" w:themeColor="text1"/>
          <w:kern w:val="0"/>
          <w:szCs w:val="21"/>
          <w14:textFill>
            <w14:solidFill>
              <w14:schemeClr w14:val="tx1"/>
            </w14:solidFill>
          </w14:textFill>
        </w:rPr>
        <w:t>．学院学生工作组负责综合测评结果的审核。</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8</w:t>
      </w:r>
      <w:r>
        <w:rPr>
          <w:rFonts w:hint="eastAsia" w:ascii="楷体_GB2312" w:hAnsi="华文楷体" w:eastAsia="楷体_GB2312" w:cs="宋体"/>
          <w:color w:val="000000" w:themeColor="text1"/>
          <w:kern w:val="0"/>
          <w:szCs w:val="21"/>
          <w14:textFill>
            <w14:solidFill>
              <w14:schemeClr w14:val="tx1"/>
            </w14:solidFill>
          </w14:textFill>
        </w:rPr>
        <w:t>．本细则解释权归生物学院学生工作组。</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9</w:t>
      </w:r>
      <w:r>
        <w:rPr>
          <w:rFonts w:hint="eastAsia" w:ascii="楷体_GB2312" w:hAnsi="华文楷体" w:eastAsia="楷体_GB2312" w:cs="宋体"/>
          <w:color w:val="000000" w:themeColor="text1"/>
          <w:kern w:val="0"/>
          <w:szCs w:val="21"/>
          <w14:textFill>
            <w14:solidFill>
              <w14:schemeClr w14:val="tx1"/>
            </w14:solidFill>
          </w14:textFill>
        </w:rPr>
        <w:t>．本细则自202</w:t>
      </w:r>
      <w:r>
        <w:rPr>
          <w:rFonts w:hint="eastAsia" w:ascii="楷体_GB2312" w:hAnsi="华文楷体" w:eastAsia="楷体_GB2312" w:cs="宋体"/>
          <w:color w:val="000000" w:themeColor="text1"/>
          <w:kern w:val="0"/>
          <w:szCs w:val="21"/>
          <w:lang w:val="en-US" w:eastAsia="zh-CN"/>
          <w14:textFill>
            <w14:solidFill>
              <w14:schemeClr w14:val="tx1"/>
            </w14:solidFill>
          </w14:textFill>
        </w:rPr>
        <w:t>4</w:t>
      </w:r>
      <w:r>
        <w:rPr>
          <w:rFonts w:hint="eastAsia" w:ascii="楷体_GB2312" w:hAnsi="华文楷体" w:eastAsia="楷体_GB2312" w:cs="宋体"/>
          <w:color w:val="000000" w:themeColor="text1"/>
          <w:kern w:val="0"/>
          <w:szCs w:val="21"/>
          <w14:textFill>
            <w14:solidFill>
              <w14:schemeClr w14:val="tx1"/>
            </w14:solidFill>
          </w14:textFill>
        </w:rPr>
        <w:t>年起执行，作为202</w:t>
      </w:r>
      <w:r>
        <w:rPr>
          <w:rFonts w:hint="eastAsia" w:ascii="楷体_GB2312" w:hAnsi="华文楷体" w:eastAsia="楷体_GB2312" w:cs="宋体"/>
          <w:color w:val="000000" w:themeColor="text1"/>
          <w:kern w:val="0"/>
          <w:szCs w:val="21"/>
          <w:lang w:val="en-US" w:eastAsia="zh-CN"/>
          <w14:textFill>
            <w14:solidFill>
              <w14:schemeClr w14:val="tx1"/>
            </w14:solidFill>
          </w14:textFill>
        </w:rPr>
        <w:t>4</w:t>
      </w:r>
      <w:r>
        <w:rPr>
          <w:rFonts w:hint="eastAsia" w:ascii="楷体_GB2312" w:hAnsi="华文楷体" w:eastAsia="楷体_GB2312" w:cs="宋体"/>
          <w:color w:val="000000" w:themeColor="text1"/>
          <w:kern w:val="0"/>
          <w:szCs w:val="21"/>
          <w14:textFill>
            <w14:solidFill>
              <w14:schemeClr w14:val="tx1"/>
            </w14:solidFill>
          </w14:textFill>
        </w:rPr>
        <w:t>年综测评定依据。</w:t>
      </w:r>
    </w:p>
    <w:p>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p>
    <w:p>
      <w:pPr>
        <w:widowControl/>
        <w:spacing w:beforeLines="0" w:line="240" w:lineRule="auto"/>
        <w:jc w:val="right"/>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中国农业大学生物学院</w:t>
      </w:r>
    </w:p>
    <w:p>
      <w:pPr>
        <w:widowControl/>
        <w:spacing w:beforeLines="0" w:line="240" w:lineRule="auto"/>
        <w:jc w:val="right"/>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20</w:t>
      </w:r>
      <w:r>
        <w:rPr>
          <w:rFonts w:hint="eastAsia" w:ascii="楷体_GB2312" w:hAnsi="华文楷体" w:eastAsia="楷体_GB2312" w:cs="宋体"/>
          <w:color w:val="000000" w:themeColor="text1"/>
          <w:kern w:val="0"/>
          <w:szCs w:val="21"/>
          <w14:textFill>
            <w14:solidFill>
              <w14:schemeClr w14:val="tx1"/>
            </w14:solidFill>
          </w14:textFill>
        </w:rPr>
        <w:t>2</w:t>
      </w:r>
      <w:r>
        <w:rPr>
          <w:rFonts w:hint="eastAsia" w:ascii="楷体_GB2312" w:hAnsi="华文楷体" w:eastAsia="楷体_GB2312" w:cs="宋体"/>
          <w:color w:val="000000" w:themeColor="text1"/>
          <w:kern w:val="0"/>
          <w:szCs w:val="21"/>
          <w:lang w:val="en-US" w:eastAsia="zh-CN"/>
          <w14:textFill>
            <w14:solidFill>
              <w14:schemeClr w14:val="tx1"/>
            </w14:solidFill>
          </w14:textFill>
        </w:rPr>
        <w:t>4</w:t>
      </w:r>
      <w:r>
        <w:rPr>
          <w:rFonts w:ascii="楷体_GB2312" w:hAnsi="华文楷体" w:eastAsia="楷体_GB2312" w:cs="宋体"/>
          <w:color w:val="000000" w:themeColor="text1"/>
          <w:kern w:val="0"/>
          <w:szCs w:val="21"/>
          <w14:textFill>
            <w14:solidFill>
              <w14:schemeClr w14:val="tx1"/>
            </w14:solidFill>
          </w14:textFill>
        </w:rPr>
        <w:t>年1月</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BDB945"/>
    <w:multiLevelType w:val="singleLevel"/>
    <w:tmpl w:val="10BDB945"/>
    <w:lvl w:ilvl="0" w:tentative="0">
      <w:start w:val="1"/>
      <w:numFmt w:val="bullet"/>
      <w:lvlText w:val=""/>
      <w:lvlJc w:val="left"/>
      <w:pPr>
        <w:tabs>
          <w:tab w:val="left" w:pos="542"/>
        </w:tabs>
        <w:ind w:left="420" w:hanging="420"/>
      </w:pPr>
      <w:rPr>
        <w:rFonts w:hint="default" w:ascii="Wingdings" w:hAnsi="Wingdings" w:cs="Wingdings"/>
      </w:rPr>
    </w:lvl>
  </w:abstractNum>
  <w:abstractNum w:abstractNumId="1">
    <w:nsid w:val="7FCBA957"/>
    <w:multiLevelType w:val="singleLevel"/>
    <w:tmpl w:val="7FCBA957"/>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YzMmE4ZjUyZDcxMWEzMGY0MzA5ZWE3Yzc5OTIyY2MifQ=="/>
  </w:docVars>
  <w:rsids>
    <w:rsidRoot w:val="00E5633A"/>
    <w:rsid w:val="00013DCC"/>
    <w:rsid w:val="00023F2A"/>
    <w:rsid w:val="000251F9"/>
    <w:rsid w:val="000305C1"/>
    <w:rsid w:val="000348D4"/>
    <w:rsid w:val="00046648"/>
    <w:rsid w:val="00047260"/>
    <w:rsid w:val="000578C1"/>
    <w:rsid w:val="00081770"/>
    <w:rsid w:val="0008421C"/>
    <w:rsid w:val="000842CD"/>
    <w:rsid w:val="00091B68"/>
    <w:rsid w:val="000C1C68"/>
    <w:rsid w:val="000D1860"/>
    <w:rsid w:val="0011615C"/>
    <w:rsid w:val="00147471"/>
    <w:rsid w:val="00150DD5"/>
    <w:rsid w:val="00161F9D"/>
    <w:rsid w:val="00175B5B"/>
    <w:rsid w:val="00185529"/>
    <w:rsid w:val="00196BAF"/>
    <w:rsid w:val="001A1542"/>
    <w:rsid w:val="001A158D"/>
    <w:rsid w:val="001B4F63"/>
    <w:rsid w:val="001D08B7"/>
    <w:rsid w:val="001D79F0"/>
    <w:rsid w:val="001E0304"/>
    <w:rsid w:val="001E237A"/>
    <w:rsid w:val="001F23C8"/>
    <w:rsid w:val="001F7BAF"/>
    <w:rsid w:val="002162B4"/>
    <w:rsid w:val="002321CC"/>
    <w:rsid w:val="0023485C"/>
    <w:rsid w:val="002414F0"/>
    <w:rsid w:val="00262B24"/>
    <w:rsid w:val="00264137"/>
    <w:rsid w:val="002857B6"/>
    <w:rsid w:val="00294E91"/>
    <w:rsid w:val="002A664D"/>
    <w:rsid w:val="002A6D66"/>
    <w:rsid w:val="002C3AA3"/>
    <w:rsid w:val="002C3BA9"/>
    <w:rsid w:val="002C5853"/>
    <w:rsid w:val="002C7D23"/>
    <w:rsid w:val="002D3072"/>
    <w:rsid w:val="002F2501"/>
    <w:rsid w:val="002F4198"/>
    <w:rsid w:val="00311482"/>
    <w:rsid w:val="00312B9C"/>
    <w:rsid w:val="00317DF9"/>
    <w:rsid w:val="00333BA5"/>
    <w:rsid w:val="003453CE"/>
    <w:rsid w:val="0035291B"/>
    <w:rsid w:val="00354EE1"/>
    <w:rsid w:val="00365B84"/>
    <w:rsid w:val="0037383F"/>
    <w:rsid w:val="00373EF9"/>
    <w:rsid w:val="00382C2A"/>
    <w:rsid w:val="00383668"/>
    <w:rsid w:val="0038477D"/>
    <w:rsid w:val="00391F78"/>
    <w:rsid w:val="003A0224"/>
    <w:rsid w:val="003B2771"/>
    <w:rsid w:val="003B4829"/>
    <w:rsid w:val="003C5161"/>
    <w:rsid w:val="003E208C"/>
    <w:rsid w:val="003E317C"/>
    <w:rsid w:val="003E6DDF"/>
    <w:rsid w:val="003E7E78"/>
    <w:rsid w:val="003F1BFC"/>
    <w:rsid w:val="0041195A"/>
    <w:rsid w:val="00413C98"/>
    <w:rsid w:val="00437097"/>
    <w:rsid w:val="00463329"/>
    <w:rsid w:val="00496363"/>
    <w:rsid w:val="004A35F0"/>
    <w:rsid w:val="004B0E15"/>
    <w:rsid w:val="004B5F9C"/>
    <w:rsid w:val="004B5FEB"/>
    <w:rsid w:val="004C1ACA"/>
    <w:rsid w:val="004C2DC6"/>
    <w:rsid w:val="004E15BF"/>
    <w:rsid w:val="004E4555"/>
    <w:rsid w:val="004E5193"/>
    <w:rsid w:val="004F1369"/>
    <w:rsid w:val="005143E4"/>
    <w:rsid w:val="005173A9"/>
    <w:rsid w:val="00521FA2"/>
    <w:rsid w:val="00534A48"/>
    <w:rsid w:val="00536D83"/>
    <w:rsid w:val="005441B8"/>
    <w:rsid w:val="00547A9A"/>
    <w:rsid w:val="0055660D"/>
    <w:rsid w:val="005600CC"/>
    <w:rsid w:val="00573433"/>
    <w:rsid w:val="005B57CF"/>
    <w:rsid w:val="005D32DB"/>
    <w:rsid w:val="005D3468"/>
    <w:rsid w:val="005E1A33"/>
    <w:rsid w:val="005F0C69"/>
    <w:rsid w:val="005F1925"/>
    <w:rsid w:val="00604241"/>
    <w:rsid w:val="00611455"/>
    <w:rsid w:val="00612E7D"/>
    <w:rsid w:val="00620DC1"/>
    <w:rsid w:val="00626022"/>
    <w:rsid w:val="006261FA"/>
    <w:rsid w:val="00626FF3"/>
    <w:rsid w:val="00642CB5"/>
    <w:rsid w:val="00646CFB"/>
    <w:rsid w:val="006710B3"/>
    <w:rsid w:val="006741C3"/>
    <w:rsid w:val="006A0C42"/>
    <w:rsid w:val="006A240C"/>
    <w:rsid w:val="006B59F3"/>
    <w:rsid w:val="006C31E8"/>
    <w:rsid w:val="006C442A"/>
    <w:rsid w:val="006E4976"/>
    <w:rsid w:val="00716BE9"/>
    <w:rsid w:val="00722928"/>
    <w:rsid w:val="00723889"/>
    <w:rsid w:val="0074745A"/>
    <w:rsid w:val="00752A33"/>
    <w:rsid w:val="007570DD"/>
    <w:rsid w:val="0076650F"/>
    <w:rsid w:val="00793737"/>
    <w:rsid w:val="007A4E60"/>
    <w:rsid w:val="007B42FF"/>
    <w:rsid w:val="007C3712"/>
    <w:rsid w:val="007C7740"/>
    <w:rsid w:val="007F195D"/>
    <w:rsid w:val="007F350F"/>
    <w:rsid w:val="007F5B63"/>
    <w:rsid w:val="00804B41"/>
    <w:rsid w:val="00807168"/>
    <w:rsid w:val="00841740"/>
    <w:rsid w:val="00842395"/>
    <w:rsid w:val="0085605C"/>
    <w:rsid w:val="00862DDC"/>
    <w:rsid w:val="00865C0A"/>
    <w:rsid w:val="00880605"/>
    <w:rsid w:val="00880A6E"/>
    <w:rsid w:val="00893B7E"/>
    <w:rsid w:val="008A788C"/>
    <w:rsid w:val="008B3A82"/>
    <w:rsid w:val="008C550C"/>
    <w:rsid w:val="008C6356"/>
    <w:rsid w:val="008C7F90"/>
    <w:rsid w:val="008D63CE"/>
    <w:rsid w:val="008E6FC9"/>
    <w:rsid w:val="008F2BAA"/>
    <w:rsid w:val="008F63EF"/>
    <w:rsid w:val="00901FD3"/>
    <w:rsid w:val="009126E1"/>
    <w:rsid w:val="009148A5"/>
    <w:rsid w:val="0096326D"/>
    <w:rsid w:val="0097262F"/>
    <w:rsid w:val="00974E05"/>
    <w:rsid w:val="00981C3C"/>
    <w:rsid w:val="00996D2A"/>
    <w:rsid w:val="009B4F1E"/>
    <w:rsid w:val="009B556A"/>
    <w:rsid w:val="009E4A90"/>
    <w:rsid w:val="009F43FB"/>
    <w:rsid w:val="00A006D6"/>
    <w:rsid w:val="00A01205"/>
    <w:rsid w:val="00A0420C"/>
    <w:rsid w:val="00A274BC"/>
    <w:rsid w:val="00A35395"/>
    <w:rsid w:val="00A5609A"/>
    <w:rsid w:val="00A74D79"/>
    <w:rsid w:val="00A81387"/>
    <w:rsid w:val="00A95280"/>
    <w:rsid w:val="00AA2A27"/>
    <w:rsid w:val="00AB7F83"/>
    <w:rsid w:val="00AC091F"/>
    <w:rsid w:val="00AC670E"/>
    <w:rsid w:val="00AC6F36"/>
    <w:rsid w:val="00AD3BCE"/>
    <w:rsid w:val="00AF6562"/>
    <w:rsid w:val="00B002CB"/>
    <w:rsid w:val="00B063C3"/>
    <w:rsid w:val="00B12673"/>
    <w:rsid w:val="00B25B4C"/>
    <w:rsid w:val="00B37901"/>
    <w:rsid w:val="00B46D96"/>
    <w:rsid w:val="00B62BDA"/>
    <w:rsid w:val="00B824F4"/>
    <w:rsid w:val="00B91180"/>
    <w:rsid w:val="00BB19B9"/>
    <w:rsid w:val="00BB33BF"/>
    <w:rsid w:val="00BD2C99"/>
    <w:rsid w:val="00BE633B"/>
    <w:rsid w:val="00BF4140"/>
    <w:rsid w:val="00C02719"/>
    <w:rsid w:val="00C031E8"/>
    <w:rsid w:val="00C10B20"/>
    <w:rsid w:val="00C2345F"/>
    <w:rsid w:val="00C4342F"/>
    <w:rsid w:val="00C71F48"/>
    <w:rsid w:val="00C72EA0"/>
    <w:rsid w:val="00C761F2"/>
    <w:rsid w:val="00C86B21"/>
    <w:rsid w:val="00C9214E"/>
    <w:rsid w:val="00C93CE8"/>
    <w:rsid w:val="00CA4F6C"/>
    <w:rsid w:val="00CA5DF5"/>
    <w:rsid w:val="00CB475B"/>
    <w:rsid w:val="00CD42AF"/>
    <w:rsid w:val="00CE1237"/>
    <w:rsid w:val="00CE41F4"/>
    <w:rsid w:val="00CE62FD"/>
    <w:rsid w:val="00D407F8"/>
    <w:rsid w:val="00D67D24"/>
    <w:rsid w:val="00D703C8"/>
    <w:rsid w:val="00D750C2"/>
    <w:rsid w:val="00D86874"/>
    <w:rsid w:val="00DB4BF4"/>
    <w:rsid w:val="00DE1AD9"/>
    <w:rsid w:val="00DF03AA"/>
    <w:rsid w:val="00DF6092"/>
    <w:rsid w:val="00E07010"/>
    <w:rsid w:val="00E07ADA"/>
    <w:rsid w:val="00E2109A"/>
    <w:rsid w:val="00E2658C"/>
    <w:rsid w:val="00E447C5"/>
    <w:rsid w:val="00E44890"/>
    <w:rsid w:val="00E5633A"/>
    <w:rsid w:val="00E61868"/>
    <w:rsid w:val="00E763E3"/>
    <w:rsid w:val="00E8309A"/>
    <w:rsid w:val="00E87F48"/>
    <w:rsid w:val="00E955A0"/>
    <w:rsid w:val="00EA138F"/>
    <w:rsid w:val="00EB4EEB"/>
    <w:rsid w:val="00ED43C1"/>
    <w:rsid w:val="00ED7158"/>
    <w:rsid w:val="00EE294A"/>
    <w:rsid w:val="00EF067B"/>
    <w:rsid w:val="00EF3A70"/>
    <w:rsid w:val="00F23ED0"/>
    <w:rsid w:val="00F473CB"/>
    <w:rsid w:val="00F51112"/>
    <w:rsid w:val="00F518C1"/>
    <w:rsid w:val="00F53B32"/>
    <w:rsid w:val="00F7023D"/>
    <w:rsid w:val="00F712B2"/>
    <w:rsid w:val="00F8756D"/>
    <w:rsid w:val="00FA7A5C"/>
    <w:rsid w:val="00FB4B3D"/>
    <w:rsid w:val="00FC78DD"/>
    <w:rsid w:val="00FE0575"/>
    <w:rsid w:val="00FE2DE2"/>
    <w:rsid w:val="00FE648A"/>
    <w:rsid w:val="00FE76B3"/>
    <w:rsid w:val="023B1981"/>
    <w:rsid w:val="04185410"/>
    <w:rsid w:val="0DD149CA"/>
    <w:rsid w:val="0DDE05DB"/>
    <w:rsid w:val="0F6247B2"/>
    <w:rsid w:val="11EF7964"/>
    <w:rsid w:val="12DF087A"/>
    <w:rsid w:val="13E34168"/>
    <w:rsid w:val="158634F6"/>
    <w:rsid w:val="1A7C2FC3"/>
    <w:rsid w:val="24732216"/>
    <w:rsid w:val="2B0A2510"/>
    <w:rsid w:val="2F912229"/>
    <w:rsid w:val="31F10D1B"/>
    <w:rsid w:val="34806536"/>
    <w:rsid w:val="3C342F09"/>
    <w:rsid w:val="3D436353"/>
    <w:rsid w:val="4ABF170F"/>
    <w:rsid w:val="4E2E397E"/>
    <w:rsid w:val="54385C94"/>
    <w:rsid w:val="55BC5E0E"/>
    <w:rsid w:val="5B897E39"/>
    <w:rsid w:val="5CA27AD2"/>
    <w:rsid w:val="60D13AF2"/>
    <w:rsid w:val="60EC702D"/>
    <w:rsid w:val="67EF4F0F"/>
    <w:rsid w:val="6BFA1453"/>
    <w:rsid w:val="6FCF38F2"/>
    <w:rsid w:val="716B2939"/>
    <w:rsid w:val="72B44AB5"/>
    <w:rsid w:val="797F607A"/>
    <w:rsid w:val="7B641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50" w:line="460" w:lineRule="exact"/>
      <w:jc w:val="both"/>
    </w:pPr>
    <w:rPr>
      <w:rFonts w:ascii="Calibri" w:hAnsi="Calibri" w:eastAsia="宋体" w:cs="Times New Roman"/>
      <w:kern w:val="2"/>
      <w:sz w:val="21"/>
      <w:szCs w:val="22"/>
      <w:lang w:val="en-US" w:eastAsia="zh-CN" w:bidi="ar-SA"/>
    </w:rPr>
  </w:style>
  <w:style w:type="paragraph" w:styleId="2">
    <w:name w:val="heading 3"/>
    <w:basedOn w:val="1"/>
    <w:next w:val="1"/>
    <w:link w:val="14"/>
    <w:qFormat/>
    <w:uiPriority w:val="0"/>
    <w:pPr>
      <w:keepNext/>
      <w:keepLines/>
      <w:spacing w:before="260" w:after="260" w:line="416" w:lineRule="atLeast"/>
      <w:outlineLvl w:val="2"/>
    </w:pPr>
    <w:rPr>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semiHidden/>
    <w:unhideWhenUsed/>
    <w:qFormat/>
    <w:uiPriority w:val="99"/>
    <w:pPr>
      <w:jc w:val="left"/>
    </w:pPr>
  </w:style>
  <w:style w:type="paragraph" w:styleId="4">
    <w:name w:val="Balloon Text"/>
    <w:basedOn w:val="1"/>
    <w:link w:val="15"/>
    <w:semiHidden/>
    <w:unhideWhenUsed/>
    <w:qFormat/>
    <w:uiPriority w:val="99"/>
    <w:pPr>
      <w:spacing w:line="240" w:lineRule="auto"/>
    </w:pPr>
    <w:rPr>
      <w:sz w:val="18"/>
      <w:szCs w:val="18"/>
    </w:rPr>
  </w:style>
  <w:style w:type="paragraph" w:styleId="5">
    <w:name w:val="footer"/>
    <w:basedOn w:val="1"/>
    <w:link w:val="17"/>
    <w:semiHidden/>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6"/>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paragraph" w:styleId="8">
    <w:name w:val="annotation subject"/>
    <w:basedOn w:val="3"/>
    <w:next w:val="3"/>
    <w:link w:val="19"/>
    <w:semiHidden/>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annotation reference"/>
    <w:basedOn w:val="11"/>
    <w:semiHidden/>
    <w:unhideWhenUsed/>
    <w:qFormat/>
    <w:uiPriority w:val="99"/>
    <w:rPr>
      <w:sz w:val="21"/>
      <w:szCs w:val="21"/>
    </w:rPr>
  </w:style>
  <w:style w:type="character" w:customStyle="1" w:styleId="14">
    <w:name w:val="标题 3 字符"/>
    <w:basedOn w:val="11"/>
    <w:link w:val="2"/>
    <w:qFormat/>
    <w:uiPriority w:val="0"/>
    <w:rPr>
      <w:rFonts w:ascii="Calibri" w:hAnsi="Calibri" w:eastAsia="宋体" w:cs="Times New Roman"/>
      <w:b/>
      <w:bCs/>
      <w:sz w:val="32"/>
      <w:szCs w:val="32"/>
    </w:rPr>
  </w:style>
  <w:style w:type="character" w:customStyle="1" w:styleId="15">
    <w:name w:val="批注框文本 字符"/>
    <w:basedOn w:val="11"/>
    <w:link w:val="4"/>
    <w:semiHidden/>
    <w:qFormat/>
    <w:uiPriority w:val="99"/>
    <w:rPr>
      <w:rFonts w:ascii="Calibri" w:hAnsi="Calibri" w:eastAsia="宋体" w:cs="Times New Roman"/>
      <w:sz w:val="18"/>
      <w:szCs w:val="18"/>
    </w:rPr>
  </w:style>
  <w:style w:type="character" w:customStyle="1" w:styleId="16">
    <w:name w:val="页眉 字符"/>
    <w:basedOn w:val="11"/>
    <w:link w:val="6"/>
    <w:semiHidden/>
    <w:qFormat/>
    <w:uiPriority w:val="99"/>
    <w:rPr>
      <w:rFonts w:ascii="Calibri" w:hAnsi="Calibri" w:eastAsia="宋体" w:cs="Times New Roman"/>
      <w:sz w:val="18"/>
      <w:szCs w:val="18"/>
    </w:rPr>
  </w:style>
  <w:style w:type="character" w:customStyle="1" w:styleId="17">
    <w:name w:val="页脚 字符"/>
    <w:basedOn w:val="11"/>
    <w:link w:val="5"/>
    <w:semiHidden/>
    <w:qFormat/>
    <w:uiPriority w:val="99"/>
    <w:rPr>
      <w:rFonts w:ascii="Calibri" w:hAnsi="Calibri" w:eastAsia="宋体" w:cs="Times New Roman"/>
      <w:sz w:val="18"/>
      <w:szCs w:val="18"/>
    </w:rPr>
  </w:style>
  <w:style w:type="character" w:customStyle="1" w:styleId="18">
    <w:name w:val="批注文字 字符"/>
    <w:basedOn w:val="11"/>
    <w:link w:val="3"/>
    <w:semiHidden/>
    <w:qFormat/>
    <w:uiPriority w:val="99"/>
    <w:rPr>
      <w:rFonts w:ascii="Calibri" w:hAnsi="Calibri" w:eastAsia="宋体" w:cs="Times New Roman"/>
    </w:rPr>
  </w:style>
  <w:style w:type="character" w:customStyle="1" w:styleId="19">
    <w:name w:val="批注主题 字符"/>
    <w:basedOn w:val="18"/>
    <w:link w:val="8"/>
    <w:semiHidden/>
    <w:qFormat/>
    <w:uiPriority w:val="99"/>
    <w:rPr>
      <w:rFonts w:ascii="Calibri" w:hAnsi="Calibri" w:eastAsia="宋体" w:cs="Times New Roman"/>
      <w:b/>
      <w:bCs/>
    </w:rPr>
  </w:style>
  <w:style w:type="paragraph" w:customStyle="1" w:styleId="20">
    <w:name w:val="修订1"/>
    <w:hidden/>
    <w:semiHidden/>
    <w:qFormat/>
    <w:uiPriority w:val="99"/>
    <w:rPr>
      <w:rFonts w:ascii="Calibri" w:hAnsi="Calibri" w:eastAsia="宋体" w:cs="Times New Roman"/>
      <w:kern w:val="2"/>
      <w:sz w:val="21"/>
      <w:szCs w:val="22"/>
      <w:lang w:val="en-US" w:eastAsia="zh-CN" w:bidi="ar-SA"/>
    </w:rPr>
  </w:style>
  <w:style w:type="paragraph" w:customStyle="1" w:styleId="21">
    <w:name w:val="修订2"/>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52D58-A487-45F5-A7FD-4638A132F7D2}">
  <ds:schemaRefs/>
</ds:datastoreItem>
</file>

<file path=docProps/app.xml><?xml version="1.0" encoding="utf-8"?>
<Properties xmlns="http://schemas.openxmlformats.org/officeDocument/2006/extended-properties" xmlns:vt="http://schemas.openxmlformats.org/officeDocument/2006/docPropsVTypes">
  <Template>Normal</Template>
  <Pages>3</Pages>
  <Words>2250</Words>
  <Characters>2345</Characters>
  <Lines>1</Lines>
  <Paragraphs>4</Paragraphs>
  <TotalTime>11</TotalTime>
  <ScaleCrop>false</ScaleCrop>
  <LinksUpToDate>false</LinksUpToDate>
  <CharactersWithSpaces>2350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2019-11-10T11:07:00Z</dcterms:created>
  <dc:creator>dell</dc:creator>
  <cp:lastModifiedBy>程茜</cp:lastModifiedBy>
  <cp:lastPrinted>2013-05-31T02:19:00Z</cp:lastPrinted>
  <dcterms:modified xsi:type="dcterms:W3CDTF">2024-01-16T06:20:32Z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7CA26BBB5C06476595D1EFAD70C4E83C_13</vt:lpwstr>
  </property>
</Properties>
</file>