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Lines="0" w:after="0"/>
      </w:pPr>
      <w:r>
        <w:rPr>
          <w:rFonts w:hint="eastAsia" w:ascii="微软雅黑" w:hAnsi="微软雅黑" w:eastAsia="微软雅黑"/>
          <w:b w:val="0"/>
          <w:bCs w:val="0"/>
          <w:sz w:val="28"/>
          <w:szCs w:val="28"/>
        </w:rPr>
        <w:t>生物学院推荐</w:t>
      </w:r>
      <w:r>
        <w:rPr>
          <w:rFonts w:ascii="微软雅黑" w:hAnsi="微软雅黑" w:eastAsia="微软雅黑"/>
          <w:b w:val="0"/>
          <w:bCs w:val="0"/>
          <w:sz w:val="28"/>
          <w:szCs w:val="28"/>
        </w:rPr>
        <w:t>2024届优秀本科毕业生免试攻读研究生实施细则</w:t>
      </w:r>
    </w:p>
    <w:p>
      <w:pPr>
        <w:pStyle w:val="22"/>
      </w:pPr>
    </w:p>
    <w:p>
      <w:pPr>
        <w:spacing w:after="100" w:afterAutospacing="1" w:line="360" w:lineRule="auto"/>
        <w:ind w:left="-141" w:leftChars="-67" w:right="-483" w:rightChars="-230" w:firstLine="560" w:firstLineChars="200"/>
        <w:rPr>
          <w:rFonts w:ascii="宋体" w:hAnsi="宋体"/>
          <w:sz w:val="30"/>
          <w:szCs w:val="30"/>
        </w:rPr>
      </w:pPr>
      <w:r>
        <w:rPr>
          <w:rFonts w:cs="宋体" w:asciiTheme="minorEastAsia" w:hAnsiTheme="minorEastAsia" w:eastAsiaTheme="minorEastAsia"/>
          <w:kern w:val="0"/>
          <w:sz w:val="28"/>
          <w:szCs w:val="28"/>
        </w:rPr>
        <w:t xml:space="preserve"> </w:t>
      </w:r>
      <w:r>
        <w:rPr>
          <w:rFonts w:hint="eastAsia" w:ascii="宋体" w:hAnsi="宋体"/>
          <w:sz w:val="30"/>
          <w:szCs w:val="30"/>
        </w:rPr>
        <w:t>根据《中国农业大学推荐优秀应届本科毕业生免试攻读研究生实施办法（</w:t>
      </w:r>
      <w:r>
        <w:rPr>
          <w:rFonts w:ascii="宋体" w:hAnsi="宋体"/>
          <w:sz w:val="30"/>
          <w:szCs w:val="30"/>
        </w:rPr>
        <w:t xml:space="preserve">2020 </w:t>
      </w:r>
      <w:r>
        <w:rPr>
          <w:rFonts w:hint="eastAsia" w:ascii="宋体" w:hAnsi="宋体"/>
          <w:sz w:val="30"/>
          <w:szCs w:val="30"/>
        </w:rPr>
        <w:t>年修订）》的有关要求，结合我院实际，特制定推荐优秀应届本科毕业生免试攻读研究生（以下简称推免）工作实施方案：</w:t>
      </w:r>
    </w:p>
    <w:p>
      <w:pPr>
        <w:spacing w:after="100" w:afterAutospacing="1" w:line="360" w:lineRule="auto"/>
        <w:ind w:left="-141" w:leftChars="-67" w:right="-483" w:rightChars="-230" w:firstLine="602" w:firstLineChars="200"/>
        <w:rPr>
          <w:rFonts w:ascii="宋体" w:hAnsi="宋体"/>
          <w:b/>
          <w:sz w:val="30"/>
          <w:szCs w:val="30"/>
        </w:rPr>
      </w:pPr>
      <w:r>
        <w:rPr>
          <w:rFonts w:hint="eastAsia" w:ascii="宋体" w:hAnsi="宋体"/>
          <w:b/>
          <w:sz w:val="30"/>
          <w:szCs w:val="30"/>
        </w:rPr>
        <w:t>一、组织管理</w:t>
      </w:r>
    </w:p>
    <w:p>
      <w:pPr>
        <w:spacing w:after="100" w:afterAutospacing="1" w:line="360" w:lineRule="auto"/>
        <w:ind w:left="-141" w:leftChars="-67" w:right="-483" w:rightChars="-230" w:firstLine="600" w:firstLineChars="200"/>
        <w:rPr>
          <w:rFonts w:ascii="宋体" w:hAnsi="宋体"/>
          <w:sz w:val="30"/>
          <w:szCs w:val="30"/>
        </w:rPr>
      </w:pPr>
      <w:r>
        <w:rPr>
          <w:rFonts w:hint="eastAsia" w:ascii="宋体" w:hAnsi="宋体"/>
          <w:sz w:val="30"/>
          <w:szCs w:val="30"/>
        </w:rPr>
        <w:t>为做好推免工作，学院成立“生物学院推免工作领导小组”，由</w:t>
      </w:r>
      <w:r>
        <w:rPr>
          <w:rFonts w:ascii="宋体" w:hAnsi="宋体"/>
          <w:sz w:val="30"/>
          <w:szCs w:val="30"/>
        </w:rPr>
        <w:t>教学副院长担任组长，院长、书记担任副组长，</w:t>
      </w:r>
      <w:r>
        <w:rPr>
          <w:rFonts w:hint="eastAsia" w:ascii="宋体" w:hAnsi="宋体"/>
          <w:sz w:val="30"/>
          <w:szCs w:val="30"/>
        </w:rPr>
        <w:t>学院领导、系主任担任成员。主要负责规则制定，负责解释工作程序、办法，处理质疑和投诉。领导小组成员如下：</w:t>
      </w:r>
    </w:p>
    <w:p>
      <w:pPr>
        <w:pStyle w:val="8"/>
        <w:shd w:val="clear" w:color="auto" w:fill="FFFFFF"/>
        <w:spacing w:before="0" w:beforeAutospacing="0" w:after="0" w:afterAutospacing="0"/>
        <w:ind w:firstLine="480"/>
        <w:rPr>
          <w:rFonts w:cs="Times New Roman"/>
          <w:kern w:val="2"/>
          <w:sz w:val="30"/>
          <w:szCs w:val="30"/>
        </w:rPr>
      </w:pPr>
      <w:r>
        <w:rPr>
          <w:rFonts w:hint="eastAsia" w:cs="Times New Roman"/>
          <w:kern w:val="2"/>
          <w:sz w:val="30"/>
          <w:szCs w:val="30"/>
        </w:rPr>
        <w:t>组 长：于静娟</w:t>
      </w:r>
    </w:p>
    <w:p>
      <w:pPr>
        <w:pStyle w:val="8"/>
        <w:shd w:val="clear" w:color="auto" w:fill="FFFFFF"/>
        <w:spacing w:before="0" w:beforeAutospacing="0" w:after="0" w:afterAutospacing="0"/>
        <w:ind w:firstLine="480"/>
        <w:rPr>
          <w:rFonts w:cs="Times New Roman"/>
          <w:kern w:val="2"/>
          <w:sz w:val="30"/>
          <w:szCs w:val="30"/>
        </w:rPr>
      </w:pPr>
      <w:r>
        <w:rPr>
          <w:rFonts w:hint="eastAsia" w:cs="Times New Roman"/>
          <w:kern w:val="2"/>
          <w:sz w:val="30"/>
          <w:szCs w:val="30"/>
        </w:rPr>
        <w:t>副组长：郭岩</w:t>
      </w:r>
      <w:r>
        <w:rPr>
          <w:rFonts w:cs="Times New Roman"/>
          <w:kern w:val="2"/>
          <w:sz w:val="30"/>
          <w:szCs w:val="30"/>
        </w:rPr>
        <w:t xml:space="preserve"> </w:t>
      </w:r>
      <w:r>
        <w:rPr>
          <w:rFonts w:hint="eastAsia" w:cs="Times New Roman"/>
          <w:kern w:val="2"/>
          <w:sz w:val="30"/>
          <w:szCs w:val="30"/>
        </w:rPr>
        <w:t>孙德昊</w:t>
      </w:r>
    </w:p>
    <w:p>
      <w:pPr>
        <w:pStyle w:val="8"/>
        <w:shd w:val="clear" w:color="auto" w:fill="FFFFFF"/>
        <w:spacing w:before="0" w:beforeAutospacing="0" w:after="0" w:afterAutospacing="0"/>
        <w:ind w:firstLine="480"/>
        <w:rPr>
          <w:rFonts w:cs="Times New Roman"/>
          <w:kern w:val="2"/>
          <w:sz w:val="30"/>
          <w:szCs w:val="30"/>
        </w:rPr>
      </w:pPr>
      <w:r>
        <w:rPr>
          <w:rFonts w:hint="eastAsia" w:cs="Times New Roman"/>
          <w:kern w:val="2"/>
          <w:sz w:val="30"/>
          <w:szCs w:val="30"/>
        </w:rPr>
        <w:t>成 员：楼慧强</w:t>
      </w:r>
      <w:r>
        <w:rPr>
          <w:rFonts w:cs="Times New Roman"/>
          <w:kern w:val="2"/>
          <w:sz w:val="30"/>
          <w:szCs w:val="30"/>
        </w:rPr>
        <w:t xml:space="preserve"> </w:t>
      </w:r>
      <w:r>
        <w:rPr>
          <w:rFonts w:hint="eastAsia" w:cs="Times New Roman"/>
          <w:kern w:val="2"/>
          <w:sz w:val="30"/>
          <w:szCs w:val="30"/>
        </w:rPr>
        <w:t>杨淑华</w:t>
      </w:r>
      <w:r>
        <w:rPr>
          <w:rFonts w:cs="Times New Roman"/>
          <w:kern w:val="2"/>
          <w:sz w:val="30"/>
          <w:szCs w:val="30"/>
        </w:rPr>
        <w:t xml:space="preserve"> </w:t>
      </w:r>
      <w:r>
        <w:rPr>
          <w:rFonts w:hint="eastAsia" w:cs="Times New Roman"/>
          <w:kern w:val="2"/>
          <w:sz w:val="30"/>
          <w:szCs w:val="30"/>
        </w:rPr>
        <w:t>赵要风</w:t>
      </w:r>
      <w:r>
        <w:rPr>
          <w:rFonts w:cs="Times New Roman"/>
          <w:kern w:val="2"/>
          <w:sz w:val="30"/>
          <w:szCs w:val="30"/>
        </w:rPr>
        <w:t xml:space="preserve"> </w:t>
      </w:r>
      <w:r>
        <w:rPr>
          <w:rFonts w:hint="eastAsia" w:cs="Times New Roman"/>
          <w:kern w:val="2"/>
          <w:sz w:val="30"/>
          <w:szCs w:val="30"/>
        </w:rPr>
        <w:t>张华</w:t>
      </w:r>
      <w:r>
        <w:rPr>
          <w:rFonts w:cs="Times New Roman"/>
          <w:kern w:val="2"/>
          <w:sz w:val="30"/>
          <w:szCs w:val="30"/>
        </w:rPr>
        <w:t xml:space="preserve"> </w:t>
      </w:r>
      <w:r>
        <w:rPr>
          <w:rFonts w:hint="eastAsia" w:cs="Times New Roman"/>
          <w:kern w:val="2"/>
          <w:sz w:val="30"/>
          <w:szCs w:val="30"/>
        </w:rPr>
        <w:t>田长富</w:t>
      </w:r>
      <w:r>
        <w:rPr>
          <w:rFonts w:cs="Times New Roman"/>
          <w:kern w:val="2"/>
          <w:sz w:val="30"/>
          <w:szCs w:val="30"/>
        </w:rPr>
        <w:t xml:space="preserve"> </w:t>
      </w:r>
      <w:r>
        <w:rPr>
          <w:rFonts w:hint="eastAsia" w:cs="Times New Roman"/>
          <w:kern w:val="2"/>
          <w:sz w:val="30"/>
          <w:szCs w:val="30"/>
        </w:rPr>
        <w:t>宋致远</w:t>
      </w:r>
    </w:p>
    <w:p>
      <w:pPr>
        <w:pStyle w:val="8"/>
        <w:shd w:val="clear" w:color="auto" w:fill="FFFFFF"/>
        <w:spacing w:before="0" w:beforeAutospacing="0" w:after="0" w:afterAutospacing="0"/>
        <w:ind w:firstLine="480"/>
        <w:rPr>
          <w:rFonts w:cs="Times New Roman"/>
          <w:kern w:val="2"/>
          <w:sz w:val="30"/>
          <w:szCs w:val="30"/>
        </w:rPr>
      </w:pPr>
      <w:r>
        <w:rPr>
          <w:rFonts w:hint="eastAsia" w:cs="Times New Roman"/>
          <w:kern w:val="2"/>
          <w:sz w:val="30"/>
          <w:szCs w:val="30"/>
        </w:rPr>
        <w:t>领导小组下设推免工作小组，负责具体工作的实施。</w:t>
      </w:r>
    </w:p>
    <w:p>
      <w:pPr>
        <w:spacing w:after="100" w:afterAutospacing="1" w:line="360" w:lineRule="auto"/>
        <w:ind w:right="-483" w:rightChars="-230" w:firstLine="600" w:firstLineChars="200"/>
        <w:rPr>
          <w:rFonts w:ascii="宋体" w:hAnsi="宋体"/>
          <w:sz w:val="30"/>
          <w:szCs w:val="30"/>
        </w:rPr>
      </w:pPr>
      <w:r>
        <w:rPr>
          <w:rFonts w:hint="eastAsia" w:ascii="宋体" w:hAnsi="宋体"/>
          <w:sz w:val="30"/>
          <w:szCs w:val="30"/>
        </w:rPr>
        <w:t>推免工作小组由本科教务秘书、辅导员、应届毕业班班主任代表共</w:t>
      </w:r>
      <w:r>
        <w:rPr>
          <w:rFonts w:ascii="宋体" w:hAnsi="宋体"/>
          <w:sz w:val="30"/>
          <w:szCs w:val="30"/>
        </w:rPr>
        <w:t>5-7人组成，主要负责组织报名、资格审查</w:t>
      </w:r>
      <w:r>
        <w:rPr>
          <w:rFonts w:hint="eastAsia" w:ascii="宋体" w:hAnsi="宋体"/>
          <w:sz w:val="30"/>
          <w:szCs w:val="30"/>
        </w:rPr>
        <w:t>、综合评价、推荐排序、上报学校等具体工作实施。由教学副院长任组长、分管学生工作领导任副组长，推免工作小组成员如下：</w:t>
      </w:r>
    </w:p>
    <w:p>
      <w:pPr>
        <w:spacing w:after="100" w:afterAutospacing="1" w:line="360" w:lineRule="auto"/>
        <w:ind w:right="-483" w:rightChars="-230" w:firstLine="600" w:firstLineChars="200"/>
        <w:rPr>
          <w:rFonts w:ascii="宋体" w:hAnsi="宋体"/>
          <w:sz w:val="30"/>
          <w:szCs w:val="30"/>
        </w:rPr>
      </w:pPr>
      <w:r>
        <w:rPr>
          <w:rFonts w:hint="eastAsia" w:ascii="宋体" w:hAnsi="宋体"/>
          <w:sz w:val="30"/>
          <w:szCs w:val="30"/>
        </w:rPr>
        <w:t>组长：于静娟</w:t>
      </w:r>
    </w:p>
    <w:p>
      <w:pPr>
        <w:spacing w:after="100" w:afterAutospacing="1" w:line="360" w:lineRule="auto"/>
        <w:ind w:right="-483" w:rightChars="-230" w:firstLine="600" w:firstLineChars="200"/>
        <w:rPr>
          <w:rFonts w:ascii="宋体" w:hAnsi="宋体"/>
          <w:sz w:val="30"/>
          <w:szCs w:val="30"/>
        </w:rPr>
      </w:pPr>
      <w:r>
        <w:rPr>
          <w:rFonts w:hint="eastAsia" w:ascii="宋体" w:hAnsi="宋体"/>
          <w:sz w:val="30"/>
          <w:szCs w:val="30"/>
        </w:rPr>
        <w:t>副组长：宋致远</w:t>
      </w:r>
    </w:p>
    <w:p>
      <w:pPr>
        <w:spacing w:after="100" w:afterAutospacing="1" w:line="360" w:lineRule="auto"/>
        <w:ind w:right="-483" w:rightChars="-230" w:firstLine="600" w:firstLineChars="200"/>
        <w:rPr>
          <w:rFonts w:ascii="宋体" w:hAnsi="宋体"/>
          <w:sz w:val="30"/>
          <w:szCs w:val="30"/>
        </w:rPr>
      </w:pPr>
      <w:r>
        <w:rPr>
          <w:rFonts w:hint="eastAsia" w:ascii="宋体" w:hAnsi="宋体"/>
          <w:sz w:val="30"/>
          <w:szCs w:val="30"/>
        </w:rPr>
        <w:t>成员：马俊瑜、孙浙、贾昊晨、孙雪敏、李</w:t>
      </w:r>
      <w:r>
        <w:rPr>
          <w:rFonts w:ascii="宋体" w:hAnsi="宋体"/>
          <w:sz w:val="30"/>
          <w:szCs w:val="30"/>
        </w:rPr>
        <w:t xml:space="preserve">溱 </w:t>
      </w:r>
    </w:p>
    <w:p>
      <w:pPr>
        <w:spacing w:after="100" w:afterAutospacing="1" w:line="360" w:lineRule="auto"/>
        <w:ind w:left="-141" w:leftChars="-67" w:right="-483" w:rightChars="-230" w:firstLine="602" w:firstLineChars="200"/>
        <w:rPr>
          <w:rFonts w:ascii="宋体" w:hAnsi="宋体"/>
          <w:b/>
          <w:sz w:val="30"/>
          <w:szCs w:val="30"/>
        </w:rPr>
      </w:pPr>
      <w:r>
        <w:rPr>
          <w:rFonts w:hint="eastAsia" w:ascii="宋体" w:hAnsi="宋体"/>
          <w:b/>
          <w:sz w:val="30"/>
          <w:szCs w:val="30"/>
        </w:rPr>
        <w:t>二、推荐条件</w:t>
      </w:r>
    </w:p>
    <w:p>
      <w:pPr>
        <w:spacing w:after="100" w:afterAutospacing="1" w:line="360" w:lineRule="auto"/>
        <w:ind w:left="-141" w:leftChars="-67" w:right="-483" w:rightChars="-230" w:firstLine="600" w:firstLineChars="200"/>
        <w:rPr>
          <w:rFonts w:ascii="宋体" w:hAnsi="宋体"/>
          <w:sz w:val="30"/>
          <w:szCs w:val="30"/>
        </w:rPr>
      </w:pPr>
      <w:r>
        <w:rPr>
          <w:rFonts w:hint="eastAsia" w:ascii="宋体" w:hAnsi="宋体"/>
          <w:sz w:val="30"/>
          <w:szCs w:val="30"/>
        </w:rPr>
        <w:t>具有</w:t>
      </w:r>
      <w:r>
        <w:rPr>
          <w:rFonts w:ascii="宋体" w:hAnsi="宋体"/>
          <w:sz w:val="30"/>
          <w:szCs w:val="30"/>
        </w:rPr>
        <w:t>高尚的爱国主义情操和集体主义精神，社会</w:t>
      </w:r>
      <w:r>
        <w:rPr>
          <w:rFonts w:hint="eastAsia" w:ascii="宋体" w:hAnsi="宋体"/>
          <w:sz w:val="30"/>
          <w:szCs w:val="30"/>
        </w:rPr>
        <w:t>主义</w:t>
      </w:r>
      <w:r>
        <w:rPr>
          <w:rFonts w:ascii="宋体" w:hAnsi="宋体"/>
          <w:sz w:val="30"/>
          <w:szCs w:val="30"/>
        </w:rPr>
        <w:t>信念</w:t>
      </w:r>
      <w:r>
        <w:rPr>
          <w:rFonts w:hint="eastAsia" w:ascii="宋体" w:hAnsi="宋体"/>
          <w:sz w:val="30"/>
          <w:szCs w:val="30"/>
        </w:rPr>
        <w:t>坚定，社会责任感强，遵纪守法，积极向上，心理健康。诚实守信，学风端正。原则上推免生申请者应修完专业前三年（动物医学专业四年）培养方案规定的必修课程，特殊情况经学院推免工作领导小组集体讨论研究确定。</w:t>
      </w:r>
    </w:p>
    <w:p>
      <w:pPr>
        <w:spacing w:after="100" w:afterAutospacing="1" w:line="360" w:lineRule="auto"/>
        <w:ind w:left="-141" w:leftChars="-67" w:right="-483" w:rightChars="-230" w:firstLine="600" w:firstLineChars="200"/>
        <w:rPr>
          <w:rFonts w:ascii="宋体" w:hAnsi="宋体"/>
          <w:sz w:val="30"/>
          <w:szCs w:val="30"/>
        </w:rPr>
      </w:pPr>
      <w:r>
        <w:rPr>
          <w:rFonts w:hint="eastAsia" w:ascii="宋体" w:hAnsi="宋体"/>
          <w:sz w:val="30"/>
          <w:szCs w:val="30"/>
        </w:rPr>
        <w:t>（一）一般类推免生</w:t>
      </w:r>
    </w:p>
    <w:p>
      <w:pPr>
        <w:spacing w:after="100" w:afterAutospacing="1" w:line="360" w:lineRule="auto"/>
        <w:ind w:left="-141" w:leftChars="-67" w:right="-483" w:rightChars="-230" w:firstLine="600" w:firstLineChars="200"/>
        <w:rPr>
          <w:rFonts w:ascii="宋体" w:hAnsi="宋体"/>
          <w:sz w:val="30"/>
          <w:szCs w:val="30"/>
        </w:rPr>
      </w:pPr>
      <w:r>
        <w:rPr>
          <w:rFonts w:hint="eastAsia" w:ascii="宋体" w:hAnsi="宋体"/>
          <w:sz w:val="30"/>
          <w:szCs w:val="30"/>
        </w:rPr>
        <w:t>一般类推免生申请者应符合《中国农业大学推荐优秀应届本科毕业生免试攻读研究生实施办法（</w:t>
      </w:r>
      <w:r>
        <w:rPr>
          <w:rFonts w:ascii="宋体" w:hAnsi="宋体"/>
          <w:sz w:val="30"/>
          <w:szCs w:val="30"/>
        </w:rPr>
        <w:t xml:space="preserve">2020 </w:t>
      </w:r>
      <w:r>
        <w:rPr>
          <w:rFonts w:hint="eastAsia" w:ascii="宋体" w:hAnsi="宋体"/>
          <w:sz w:val="30"/>
          <w:szCs w:val="30"/>
        </w:rPr>
        <w:t>年修订）》的有关要求。</w:t>
      </w:r>
    </w:p>
    <w:p>
      <w:pPr>
        <w:widowControl/>
        <w:spacing w:before="120" w:after="100" w:afterAutospacing="1" w:line="360" w:lineRule="auto"/>
        <w:ind w:firstLine="600" w:firstLineChars="200"/>
        <w:jc w:val="left"/>
        <w:rPr>
          <w:rFonts w:ascii="宋体" w:hAnsi="宋体"/>
          <w:sz w:val="30"/>
          <w:szCs w:val="30"/>
        </w:rPr>
      </w:pPr>
      <w:r>
        <w:rPr>
          <w:rFonts w:hint="eastAsia" w:ascii="宋体" w:hAnsi="宋体"/>
          <w:sz w:val="30"/>
          <w:szCs w:val="30"/>
        </w:rPr>
        <w:t>（二）特殊学术专长推免生</w:t>
      </w:r>
    </w:p>
    <w:p>
      <w:pPr>
        <w:spacing w:after="100" w:afterAutospacing="1" w:line="360" w:lineRule="auto"/>
        <w:ind w:left="-141" w:leftChars="-67" w:right="-483" w:rightChars="-230" w:firstLine="600" w:firstLineChars="200"/>
        <w:rPr>
          <w:rFonts w:ascii="宋体" w:hAnsi="宋体"/>
          <w:sz w:val="30"/>
          <w:szCs w:val="30"/>
          <w:highlight w:val="yellow"/>
        </w:rPr>
      </w:pPr>
      <w:r>
        <w:rPr>
          <w:rFonts w:hint="eastAsia" w:ascii="宋体" w:hAnsi="宋体"/>
          <w:sz w:val="30"/>
          <w:szCs w:val="30"/>
        </w:rPr>
        <w:t>特殊学术专长的学生：</w:t>
      </w:r>
      <w:r>
        <w:rPr>
          <w:rFonts w:hint="eastAsia" w:ascii="宋体" w:hAnsi="宋体"/>
          <w:sz w:val="30"/>
          <w:szCs w:val="30"/>
          <w:highlight w:val="yellow"/>
        </w:rPr>
        <w:t>前三学年平均学分绩点（GPA）不低于3.0，外语成绩达到国家大学英语四级425 分以上</w:t>
      </w:r>
      <w:r>
        <w:rPr>
          <w:rFonts w:hint="eastAsia" w:ascii="宋体" w:hAnsi="宋体"/>
          <w:sz w:val="30"/>
          <w:szCs w:val="30"/>
        </w:rPr>
        <w:t>；经</w:t>
      </w:r>
      <w:r>
        <w:rPr>
          <w:rFonts w:hint="eastAsia" w:ascii="宋体" w:hAnsi="宋体"/>
          <w:sz w:val="30"/>
          <w:szCs w:val="30"/>
          <w:highlight w:val="yellow"/>
        </w:rPr>
        <w:t>三名以上本校本专业教授联名推荐</w:t>
      </w:r>
      <w:r>
        <w:rPr>
          <w:rFonts w:hint="eastAsia" w:ascii="宋体" w:hAnsi="宋体"/>
          <w:sz w:val="30"/>
          <w:szCs w:val="30"/>
        </w:rPr>
        <w:t>；符合以下所列条件之一者，经学院评审，公开答辩，方可取得推荐资格。取得推荐资格后，将按照学院特殊学术专长评分细则计算分数并排名后报学校审核组鉴定。特别优秀者经学校推免生遴选工作领导小组审定后可降低学业要求标准：</w:t>
      </w:r>
      <w:r>
        <w:rPr>
          <w:rFonts w:hint="eastAsia" w:ascii="宋体" w:hAnsi="宋体"/>
          <w:sz w:val="30"/>
          <w:szCs w:val="30"/>
          <w:highlight w:val="yellow"/>
        </w:rPr>
        <w:t>前三学年平均学分绩点（</w:t>
      </w:r>
      <w:r>
        <w:rPr>
          <w:rFonts w:ascii="宋体" w:hAnsi="宋体"/>
          <w:sz w:val="30"/>
          <w:szCs w:val="30"/>
          <w:highlight w:val="yellow"/>
        </w:rPr>
        <w:t>GPA</w:t>
      </w:r>
      <w:r>
        <w:rPr>
          <w:rFonts w:hint="eastAsia" w:ascii="宋体" w:hAnsi="宋体"/>
          <w:sz w:val="30"/>
          <w:szCs w:val="30"/>
          <w:highlight w:val="yellow"/>
        </w:rPr>
        <w:t>）不低于</w:t>
      </w:r>
      <w:r>
        <w:rPr>
          <w:rFonts w:ascii="宋体" w:hAnsi="宋体"/>
          <w:sz w:val="30"/>
          <w:szCs w:val="30"/>
          <w:highlight w:val="yellow"/>
        </w:rPr>
        <w:t>2.8</w:t>
      </w:r>
      <w:r>
        <w:rPr>
          <w:rFonts w:hint="eastAsia" w:ascii="宋体" w:hAnsi="宋体"/>
          <w:sz w:val="30"/>
          <w:szCs w:val="30"/>
          <w:highlight w:val="yellow"/>
        </w:rPr>
        <w:t>。</w:t>
      </w:r>
    </w:p>
    <w:p>
      <w:pPr>
        <w:spacing w:after="100" w:afterAutospacing="1" w:line="360" w:lineRule="auto"/>
        <w:ind w:left="-141" w:leftChars="-67" w:right="-483" w:rightChars="-230" w:firstLine="600" w:firstLineChars="200"/>
        <w:rPr>
          <w:rFonts w:ascii="宋体" w:hAnsi="宋体"/>
          <w:sz w:val="30"/>
          <w:szCs w:val="30"/>
        </w:rPr>
      </w:pPr>
      <w:r>
        <w:rPr>
          <w:rFonts w:hint="eastAsia" w:ascii="宋体" w:hAnsi="宋体"/>
          <w:sz w:val="30"/>
          <w:szCs w:val="30"/>
        </w:rPr>
        <w:t>符合所列</w:t>
      </w:r>
      <w:r>
        <w:rPr>
          <w:rFonts w:ascii="宋体" w:hAnsi="宋体"/>
          <w:sz w:val="30"/>
          <w:szCs w:val="30"/>
        </w:rPr>
        <w:t>条件如下：</w:t>
      </w:r>
    </w:p>
    <w:p>
      <w:pPr>
        <w:spacing w:before="120" w:after="100" w:afterAutospacing="1" w:line="360" w:lineRule="auto"/>
        <w:ind w:left="-141" w:right="-483" w:rightChars="-230" w:firstLine="640"/>
        <w:rPr>
          <w:rFonts w:ascii="宋体" w:hAnsi="宋体"/>
          <w:sz w:val="30"/>
          <w:szCs w:val="30"/>
        </w:rPr>
      </w:pPr>
      <w:r>
        <w:rPr>
          <w:rFonts w:hint="eastAsia" w:ascii="宋体" w:hAnsi="宋体"/>
          <w:sz w:val="30"/>
          <w:szCs w:val="30"/>
        </w:rPr>
        <w:t>（</w:t>
      </w:r>
      <w:r>
        <w:rPr>
          <w:rFonts w:ascii="宋体" w:hAnsi="宋体"/>
          <w:sz w:val="30"/>
          <w:szCs w:val="30"/>
        </w:rPr>
        <w:t>1</w:t>
      </w:r>
      <w:r>
        <w:rPr>
          <w:rFonts w:hint="eastAsia" w:ascii="宋体" w:hAnsi="宋体"/>
          <w:sz w:val="30"/>
          <w:szCs w:val="30"/>
        </w:rPr>
        <w:t>）</w:t>
      </w:r>
      <w:r>
        <w:rPr>
          <w:rFonts w:hint="eastAsia" w:ascii="宋体" w:hAnsi="宋体"/>
          <w:sz w:val="30"/>
          <w:szCs w:val="30"/>
          <w:highlight w:val="yellow"/>
        </w:rPr>
        <w:t>学生本科阶段在北大中文核心期刊、</w:t>
      </w:r>
      <w:r>
        <w:rPr>
          <w:rFonts w:ascii="宋体" w:hAnsi="宋体"/>
          <w:sz w:val="30"/>
          <w:szCs w:val="30"/>
          <w:highlight w:val="yellow"/>
        </w:rPr>
        <w:t>SCI</w:t>
      </w:r>
      <w:r>
        <w:rPr>
          <w:rFonts w:hint="eastAsia" w:ascii="宋体" w:hAnsi="宋体"/>
          <w:sz w:val="30"/>
          <w:szCs w:val="30"/>
          <w:highlight w:val="yellow"/>
        </w:rPr>
        <w:t>、</w:t>
      </w:r>
      <w:r>
        <w:rPr>
          <w:rFonts w:ascii="宋体" w:hAnsi="宋体"/>
          <w:sz w:val="30"/>
          <w:szCs w:val="30"/>
          <w:highlight w:val="yellow"/>
        </w:rPr>
        <w:t>EI</w:t>
      </w:r>
      <w:r>
        <w:rPr>
          <w:rFonts w:hint="eastAsia" w:ascii="宋体" w:hAnsi="宋体"/>
          <w:sz w:val="30"/>
          <w:szCs w:val="30"/>
          <w:highlight w:val="yellow"/>
        </w:rPr>
        <w:t>、</w:t>
      </w:r>
      <w:r>
        <w:rPr>
          <w:rFonts w:ascii="宋体" w:hAnsi="宋体"/>
          <w:sz w:val="30"/>
          <w:szCs w:val="30"/>
          <w:highlight w:val="yellow"/>
        </w:rPr>
        <w:t>SSCI</w:t>
      </w:r>
      <w:r>
        <w:rPr>
          <w:rFonts w:hint="eastAsia" w:ascii="宋体" w:hAnsi="宋体"/>
          <w:sz w:val="30"/>
          <w:szCs w:val="30"/>
          <w:highlight w:val="yellow"/>
        </w:rPr>
        <w:t>、</w:t>
      </w:r>
      <w:r>
        <w:rPr>
          <w:rFonts w:ascii="宋体" w:hAnsi="宋体"/>
          <w:sz w:val="30"/>
          <w:szCs w:val="30"/>
          <w:highlight w:val="yellow"/>
        </w:rPr>
        <w:t>A&amp;HCI</w:t>
      </w:r>
      <w:r>
        <w:rPr>
          <w:rFonts w:hint="eastAsia" w:ascii="宋体" w:hAnsi="宋体"/>
          <w:sz w:val="30"/>
          <w:szCs w:val="30"/>
          <w:highlight w:val="yellow"/>
        </w:rPr>
        <w:t>、</w:t>
      </w:r>
      <w:r>
        <w:rPr>
          <w:rFonts w:ascii="宋体" w:hAnsi="宋体"/>
          <w:sz w:val="30"/>
          <w:szCs w:val="30"/>
          <w:highlight w:val="yellow"/>
        </w:rPr>
        <w:t>CSSCI</w:t>
      </w:r>
      <w:r>
        <w:rPr>
          <w:rFonts w:hint="eastAsia" w:ascii="宋体" w:hAnsi="宋体"/>
          <w:sz w:val="30"/>
          <w:szCs w:val="30"/>
          <w:highlight w:val="yellow"/>
        </w:rPr>
        <w:t>、</w:t>
      </w:r>
      <w:r>
        <w:rPr>
          <w:rFonts w:ascii="宋体" w:hAnsi="宋体"/>
          <w:sz w:val="30"/>
          <w:szCs w:val="30"/>
          <w:highlight w:val="yellow"/>
        </w:rPr>
        <w:t>CSCD</w:t>
      </w:r>
      <w:r>
        <w:rPr>
          <w:rFonts w:hint="eastAsia" w:ascii="宋体" w:hAnsi="宋体"/>
          <w:sz w:val="30"/>
          <w:szCs w:val="30"/>
          <w:highlight w:val="yellow"/>
        </w:rPr>
        <w:t>或</w:t>
      </w:r>
      <w:r>
        <w:rPr>
          <w:rFonts w:ascii="宋体" w:hAnsi="宋体"/>
          <w:sz w:val="30"/>
          <w:szCs w:val="30"/>
          <w:highlight w:val="yellow"/>
        </w:rPr>
        <w:t>CPCI</w:t>
      </w:r>
      <w:r>
        <w:rPr>
          <w:rFonts w:hint="eastAsia" w:ascii="宋体" w:hAnsi="宋体"/>
          <w:sz w:val="30"/>
          <w:szCs w:val="30"/>
          <w:highlight w:val="yellow"/>
        </w:rPr>
        <w:t>收录的期刊上以独立作者或第一作者发表与学业相关的科研论文</w:t>
      </w:r>
      <w:r>
        <w:rPr>
          <w:rFonts w:hint="eastAsia" w:ascii="宋体" w:hAnsi="宋体"/>
          <w:sz w:val="30"/>
          <w:szCs w:val="30"/>
        </w:rPr>
        <w:t>，且</w:t>
      </w:r>
      <w:r>
        <w:rPr>
          <w:rFonts w:hint="eastAsia" w:ascii="宋体" w:hAnsi="宋体"/>
          <w:sz w:val="30"/>
          <w:szCs w:val="30"/>
          <w:highlight w:val="yellow"/>
          <w:u w:val="single"/>
        </w:rPr>
        <w:t>第一作者单位为中国农业大学</w:t>
      </w:r>
      <w:r>
        <w:rPr>
          <w:rFonts w:hint="eastAsia" w:ascii="宋体" w:hAnsi="宋体"/>
          <w:sz w:val="30"/>
          <w:szCs w:val="30"/>
        </w:rPr>
        <w:t>。发表</w:t>
      </w:r>
      <w:r>
        <w:rPr>
          <w:rFonts w:ascii="宋体" w:hAnsi="宋体"/>
          <w:sz w:val="30"/>
          <w:szCs w:val="30"/>
        </w:rPr>
        <w:t>论文</w:t>
      </w:r>
      <w:r>
        <w:rPr>
          <w:rFonts w:hint="eastAsia" w:ascii="宋体" w:hAnsi="宋体"/>
          <w:sz w:val="30"/>
          <w:szCs w:val="30"/>
        </w:rPr>
        <w:t>需提交</w:t>
      </w:r>
      <w:r>
        <w:rPr>
          <w:rFonts w:ascii="宋体" w:hAnsi="宋体"/>
          <w:sz w:val="30"/>
          <w:szCs w:val="30"/>
        </w:rPr>
        <w:t>已刊印纸质版期刊</w:t>
      </w:r>
      <w:r>
        <w:rPr>
          <w:rFonts w:hint="eastAsia" w:ascii="宋体" w:hAnsi="宋体"/>
          <w:sz w:val="30"/>
          <w:szCs w:val="30"/>
        </w:rPr>
        <w:t>论文抽印本</w:t>
      </w:r>
      <w:r>
        <w:rPr>
          <w:rFonts w:ascii="宋体" w:hAnsi="宋体"/>
          <w:sz w:val="30"/>
          <w:szCs w:val="30"/>
        </w:rPr>
        <w:t>或</w:t>
      </w:r>
      <w:r>
        <w:rPr>
          <w:rFonts w:hint="eastAsia" w:ascii="宋体" w:hAnsi="宋体"/>
          <w:sz w:val="30"/>
          <w:szCs w:val="30"/>
        </w:rPr>
        <w:t>提交网络首发</w:t>
      </w:r>
      <w:r>
        <w:rPr>
          <w:rFonts w:ascii="宋体" w:hAnsi="宋体"/>
          <w:sz w:val="30"/>
          <w:szCs w:val="30"/>
        </w:rPr>
        <w:t>DOI号证明</w:t>
      </w:r>
      <w:r>
        <w:rPr>
          <w:rFonts w:hint="eastAsia" w:ascii="宋体" w:hAnsi="宋体"/>
          <w:sz w:val="30"/>
          <w:szCs w:val="30"/>
        </w:rPr>
        <w:t>，并提供教育部科技查新机构出具的论文收录证明（我校图书馆可开具）；（</w:t>
      </w:r>
      <w:r>
        <w:rPr>
          <w:rFonts w:ascii="宋体" w:hAnsi="宋体"/>
          <w:sz w:val="30"/>
          <w:szCs w:val="30"/>
        </w:rPr>
        <w:t>2</w:t>
      </w:r>
      <w:r>
        <w:rPr>
          <w:rFonts w:hint="eastAsia" w:ascii="宋体" w:hAnsi="宋体"/>
          <w:sz w:val="30"/>
          <w:szCs w:val="30"/>
        </w:rPr>
        <w:t>）</w:t>
      </w:r>
      <w:r>
        <w:rPr>
          <w:rFonts w:hint="eastAsia" w:ascii="宋体" w:hAnsi="宋体"/>
          <w:sz w:val="30"/>
          <w:szCs w:val="30"/>
          <w:highlight w:val="yellow"/>
        </w:rPr>
        <w:t>作为主力成员参加与学业相关的国内权威科研竞赛（全国赛）并获得三等奖以上奖励（国际赛事参照执行）</w:t>
      </w:r>
      <w:r>
        <w:rPr>
          <w:rFonts w:hint="eastAsia" w:ascii="宋体" w:hAnsi="宋体"/>
          <w:sz w:val="30"/>
          <w:szCs w:val="30"/>
        </w:rPr>
        <w:t>。一般不包含外语、体育、艺术类等与学业不相关的竞赛，以报名参赛时学校认定的竞赛级别为准。其中主力成员原则上为队伍学生负责人或获奖排名前三人员。（3）鼓励学生勇于创新、协同攻关，</w:t>
      </w:r>
      <w:r>
        <w:rPr>
          <w:rFonts w:hint="eastAsia" w:ascii="宋体" w:hAnsi="宋体"/>
          <w:sz w:val="30"/>
          <w:szCs w:val="30"/>
          <w:highlight w:val="yellow"/>
        </w:rPr>
        <w:t>本科学业指导教师和科研训练项目指导教师及相关课题组人员与学生合作所产生的科研成果、竞赛奖项可予以认可评价。</w:t>
      </w:r>
      <w:r>
        <w:rPr>
          <w:rFonts w:hint="eastAsia" w:ascii="宋体" w:hAnsi="宋体"/>
          <w:sz w:val="30"/>
          <w:szCs w:val="30"/>
        </w:rPr>
        <w:t>其他学生与直系亲属或学历、职称、职务明显高于本人者合作的科研成果、竞赛奖项等仅作为参考，不纳入学生本人推免遴选综合评价成绩计算体系，同等情况下可优先考虑。</w:t>
      </w:r>
    </w:p>
    <w:p>
      <w:pPr>
        <w:spacing w:after="100" w:afterAutospacing="1" w:line="360" w:lineRule="auto"/>
        <w:ind w:left="-141" w:leftChars="-67" w:right="-483" w:rightChars="-230" w:firstLine="600" w:firstLineChars="200"/>
        <w:rPr>
          <w:rFonts w:ascii="宋体" w:hAnsi="宋体"/>
          <w:sz w:val="30"/>
          <w:szCs w:val="30"/>
        </w:rPr>
      </w:pPr>
      <w:r>
        <w:rPr>
          <w:rFonts w:hint="eastAsia" w:ascii="宋体" w:hAnsi="宋体"/>
          <w:sz w:val="30"/>
          <w:szCs w:val="30"/>
        </w:rPr>
        <w:t>（三）其他类型推免生</w:t>
      </w:r>
    </w:p>
    <w:p>
      <w:pPr>
        <w:spacing w:after="100" w:afterAutospacing="1" w:line="360" w:lineRule="auto"/>
        <w:ind w:right="-483" w:rightChars="-230" w:firstLine="750" w:firstLineChars="250"/>
        <w:rPr>
          <w:rFonts w:ascii="宋体" w:hAnsi="宋体"/>
          <w:sz w:val="30"/>
          <w:szCs w:val="30"/>
        </w:rPr>
      </w:pPr>
      <w:r>
        <w:rPr>
          <w:rFonts w:hint="eastAsia" w:ascii="宋体" w:hAnsi="宋体"/>
          <w:sz w:val="30"/>
          <w:szCs w:val="30"/>
        </w:rPr>
        <w:t>保留研究生入学资格从事学生辅导员、参加支教团的学生，以及在校园文化艺术活动、社会工作中做出特殊贡献的学生；在校园体育活动中做出特殊贡献的高水平运动员等其他类型推免生推荐条件应符合《中国农业大学推荐优秀应届本科毕业生免试攻读研究生实施办法（</w:t>
      </w:r>
      <w:r>
        <w:rPr>
          <w:rFonts w:ascii="宋体" w:hAnsi="宋体"/>
          <w:sz w:val="30"/>
          <w:szCs w:val="30"/>
        </w:rPr>
        <w:t xml:space="preserve">2020 </w:t>
      </w:r>
      <w:r>
        <w:rPr>
          <w:rFonts w:hint="eastAsia" w:ascii="宋体" w:hAnsi="宋体"/>
          <w:sz w:val="30"/>
          <w:szCs w:val="30"/>
        </w:rPr>
        <w:t>年修订）》的有关要求。</w:t>
      </w:r>
    </w:p>
    <w:p>
      <w:pPr>
        <w:spacing w:after="100" w:afterAutospacing="1" w:line="360" w:lineRule="auto"/>
        <w:ind w:right="-483" w:rightChars="-230" w:firstLine="452" w:firstLineChars="150"/>
        <w:rPr>
          <w:rFonts w:ascii="宋体" w:hAnsi="宋体"/>
          <w:b/>
          <w:sz w:val="30"/>
          <w:szCs w:val="30"/>
        </w:rPr>
      </w:pPr>
      <w:r>
        <w:rPr>
          <w:rFonts w:hint="eastAsia" w:ascii="宋体" w:hAnsi="宋体"/>
          <w:b/>
          <w:sz w:val="30"/>
          <w:szCs w:val="30"/>
        </w:rPr>
        <w:t>三、推荐程序</w:t>
      </w:r>
    </w:p>
    <w:p>
      <w:pPr>
        <w:spacing w:after="100" w:afterAutospacing="1" w:line="360" w:lineRule="auto"/>
        <w:ind w:right="-483" w:rightChars="-230" w:firstLine="750" w:firstLineChars="250"/>
        <w:rPr>
          <w:rFonts w:ascii="宋体" w:hAnsi="宋体"/>
          <w:sz w:val="30"/>
          <w:szCs w:val="30"/>
        </w:rPr>
      </w:pPr>
      <w:r>
        <w:rPr>
          <w:rFonts w:hint="eastAsia" w:ascii="宋体" w:hAnsi="宋体"/>
          <w:sz w:val="30"/>
          <w:szCs w:val="30"/>
        </w:rPr>
        <w:t>（一）学院推免工作小组具体组织报名学生进行选拔推荐。工作坚持公开、公平、公正原则。在对考生进行全面考查的基础上，实行择优选拔，做到程序透明，操作规范，结果公开。推荐程序在符合学校相关规定的基础上，主要从思想品德素质、学习成绩、创新能力及学术潜力进行选拔推荐。</w:t>
      </w:r>
    </w:p>
    <w:p>
      <w:pPr>
        <w:spacing w:after="100" w:afterAutospacing="1" w:line="360" w:lineRule="auto"/>
        <w:ind w:right="-483" w:rightChars="-230" w:firstLine="750" w:firstLineChars="250"/>
        <w:rPr>
          <w:rFonts w:ascii="宋体" w:hAnsi="宋体"/>
          <w:sz w:val="30"/>
          <w:szCs w:val="30"/>
        </w:rPr>
      </w:pPr>
      <w:r>
        <w:rPr>
          <w:rFonts w:hint="eastAsia" w:ascii="宋体" w:hAnsi="宋体"/>
          <w:sz w:val="30"/>
          <w:szCs w:val="30"/>
        </w:rPr>
        <w:t>（二）对报名人进行思想品德素质评价，由推免工作小组成员对学生的日常思想政治水平进行审查。思想道德素质考核分为合格、不合格两个等级，不合格者不予推荐。</w:t>
      </w:r>
    </w:p>
    <w:p>
      <w:pPr>
        <w:spacing w:after="100" w:afterAutospacing="1" w:line="360" w:lineRule="auto"/>
        <w:ind w:right="-483" w:rightChars="-230" w:firstLine="750" w:firstLineChars="250"/>
        <w:rPr>
          <w:rFonts w:ascii="宋体" w:hAnsi="宋体"/>
          <w:sz w:val="30"/>
          <w:szCs w:val="30"/>
        </w:rPr>
      </w:pPr>
      <w:r>
        <w:rPr>
          <w:rFonts w:hint="eastAsia" w:ascii="宋体" w:hAnsi="宋体"/>
          <w:sz w:val="30"/>
          <w:szCs w:val="30"/>
        </w:rPr>
        <w:t>（三）符合推免资格的学生应于规定时间内提交申请表格及相关证明材料，未按时提交相关表格和材料者视为自愿放弃推免资格。</w:t>
      </w:r>
    </w:p>
    <w:p>
      <w:pPr>
        <w:spacing w:after="100" w:afterAutospacing="1" w:line="360" w:lineRule="auto"/>
        <w:ind w:right="-483" w:rightChars="-230" w:firstLine="750" w:firstLineChars="250"/>
        <w:rPr>
          <w:rFonts w:ascii="宋体" w:hAnsi="宋体"/>
          <w:sz w:val="30"/>
          <w:szCs w:val="30"/>
        </w:rPr>
      </w:pPr>
      <w:r>
        <w:rPr>
          <w:rFonts w:hint="eastAsia" w:ascii="宋体" w:hAnsi="宋体"/>
          <w:sz w:val="30"/>
          <w:szCs w:val="30"/>
        </w:rPr>
        <w:t xml:space="preserve">（四）学院按公布本届所有毕业生的综合评价最终成绩确定普通推免生推荐人选，将符合推免条件的学生按推荐名额的110%上报学校，由学校审核确定最终推荐名单。入选学校推荐名单且经公示无异议者，即取得推免生资格。特殊学术专长推免生及其他类型推免生单独上报学校，由学校审核确定最终推荐名单。  </w:t>
      </w:r>
      <w:r>
        <w:rPr>
          <w:rFonts w:ascii="宋体" w:hAnsi="宋体"/>
          <w:sz w:val="30"/>
          <w:szCs w:val="30"/>
        </w:rPr>
        <w:t xml:space="preserve"> </w:t>
      </w:r>
    </w:p>
    <w:p>
      <w:pPr>
        <w:spacing w:after="100" w:afterAutospacing="1" w:line="360" w:lineRule="auto"/>
        <w:ind w:right="-483" w:rightChars="-230" w:firstLine="750" w:firstLineChars="250"/>
        <w:rPr>
          <w:rFonts w:ascii="宋体" w:hAnsi="宋体"/>
          <w:sz w:val="30"/>
          <w:szCs w:val="30"/>
        </w:rPr>
      </w:pPr>
      <w:r>
        <w:rPr>
          <w:rFonts w:ascii="宋体" w:hAnsi="宋体"/>
          <w:sz w:val="30"/>
          <w:szCs w:val="30"/>
        </w:rPr>
        <w:t xml:space="preserve"> </w:t>
      </w:r>
      <w:r>
        <w:rPr>
          <w:rFonts w:hint="eastAsia" w:ascii="宋体" w:hAnsi="宋体"/>
          <w:sz w:val="30"/>
          <w:szCs w:val="30"/>
        </w:rPr>
        <w:t>（五）在推免过程中，如存在材料造假或考核作弊等情况，一经确认取消推免资格。</w:t>
      </w:r>
    </w:p>
    <w:p>
      <w:pPr>
        <w:spacing w:after="100" w:afterAutospacing="1" w:line="360" w:lineRule="auto"/>
        <w:ind w:right="-483" w:rightChars="-230" w:firstLine="750" w:firstLineChars="250"/>
        <w:rPr>
          <w:rFonts w:ascii="宋体" w:hAnsi="宋体"/>
          <w:sz w:val="30"/>
          <w:szCs w:val="30"/>
        </w:rPr>
      </w:pPr>
      <w:r>
        <w:rPr>
          <w:rFonts w:hint="eastAsia" w:ascii="宋体" w:hAnsi="宋体"/>
          <w:sz w:val="30"/>
          <w:szCs w:val="30"/>
        </w:rPr>
        <w:t>（六）具有推荐免试资格的学生，须在国家规定时间内登录“全国推荐优秀应届本科毕业生免试攻读研究生信息公开暨管理服务系统”（网址：http://yz.chsi.com.cn/tm）填报志愿并参加复试。截止规定日期仍未落实接收单位的推免生不再保留推免资格。已被招生单位接收的推免生，不得再报名参加当年硕士研究生考试招生，否则取消其推免录取资格。</w:t>
      </w:r>
    </w:p>
    <w:p>
      <w:pPr>
        <w:spacing w:after="100" w:afterAutospacing="1" w:line="360" w:lineRule="auto"/>
        <w:ind w:right="-483" w:rightChars="-230" w:firstLine="452" w:firstLineChars="150"/>
        <w:rPr>
          <w:rFonts w:ascii="宋体" w:hAnsi="宋体"/>
          <w:b/>
          <w:sz w:val="30"/>
          <w:szCs w:val="30"/>
        </w:rPr>
      </w:pPr>
      <w:r>
        <w:rPr>
          <w:rFonts w:hint="eastAsia" w:ascii="宋体" w:hAnsi="宋体"/>
          <w:b/>
          <w:sz w:val="30"/>
          <w:szCs w:val="30"/>
        </w:rPr>
        <w:t>四、考核方案</w:t>
      </w:r>
      <w:r>
        <w:rPr>
          <w:rFonts w:ascii="宋体" w:hAnsi="宋体"/>
          <w:b/>
          <w:sz w:val="30"/>
          <w:szCs w:val="30"/>
        </w:rPr>
        <w:t>（</w:t>
      </w:r>
      <w:r>
        <w:rPr>
          <w:rFonts w:hint="eastAsia" w:ascii="宋体" w:hAnsi="宋体"/>
          <w:b/>
          <w:sz w:val="30"/>
          <w:szCs w:val="30"/>
        </w:rPr>
        <w:t>满分</w:t>
      </w:r>
      <w:r>
        <w:rPr>
          <w:rFonts w:ascii="宋体" w:hAnsi="宋体"/>
          <w:b/>
          <w:sz w:val="30"/>
          <w:szCs w:val="30"/>
        </w:rPr>
        <w:t>100分）</w:t>
      </w:r>
    </w:p>
    <w:p>
      <w:pPr>
        <w:spacing w:after="100" w:afterAutospacing="1" w:line="360" w:lineRule="auto"/>
        <w:ind w:right="-483" w:rightChars="-230"/>
        <w:rPr>
          <w:rFonts w:ascii="宋体" w:hAnsi="宋体"/>
          <w:sz w:val="30"/>
          <w:szCs w:val="30"/>
        </w:rPr>
      </w:pPr>
      <w:r>
        <w:rPr>
          <w:rFonts w:hint="eastAsia" w:ascii="宋体" w:hAnsi="宋体"/>
          <w:sz w:val="30"/>
          <w:szCs w:val="30"/>
        </w:rPr>
        <w:t>（一）一般</w:t>
      </w:r>
      <w:r>
        <w:rPr>
          <w:rFonts w:ascii="宋体" w:hAnsi="宋体"/>
          <w:sz w:val="30"/>
          <w:szCs w:val="30"/>
        </w:rPr>
        <w:t>推免考核内容及所占权重</w:t>
      </w:r>
    </w:p>
    <w:p>
      <w:pPr>
        <w:spacing w:after="100" w:afterAutospacing="1" w:line="360" w:lineRule="auto"/>
        <w:ind w:right="-483" w:rightChars="-230" w:firstLine="450" w:firstLineChars="150"/>
        <w:rPr>
          <w:rFonts w:ascii="宋体" w:hAnsi="宋体"/>
          <w:sz w:val="30"/>
          <w:szCs w:val="30"/>
          <w:highlight w:val="yellow"/>
        </w:rPr>
      </w:pPr>
      <w:r>
        <w:rPr>
          <w:rFonts w:hint="eastAsia" w:ascii="宋体" w:hAnsi="宋体"/>
          <w:sz w:val="30"/>
          <w:szCs w:val="30"/>
        </w:rPr>
        <w:t>一般推免考核最终</w:t>
      </w:r>
      <w:r>
        <w:rPr>
          <w:rFonts w:ascii="宋体" w:hAnsi="宋体"/>
          <w:sz w:val="30"/>
          <w:szCs w:val="30"/>
        </w:rPr>
        <w:t>成绩</w:t>
      </w:r>
      <w:r>
        <w:rPr>
          <w:rFonts w:hint="eastAsia" w:ascii="宋体" w:hAnsi="宋体"/>
          <w:sz w:val="30"/>
          <w:szCs w:val="30"/>
        </w:rPr>
        <w:t>得分采用四元综合测评进行打分，各单项得分满分均为100分，具体标准参考《生物学院本科生综合评价细则》。综合测评分数构成为：</w:t>
      </w:r>
      <w:r>
        <w:rPr>
          <w:rFonts w:hint="eastAsia" w:ascii="宋体" w:hAnsi="宋体"/>
          <w:sz w:val="30"/>
          <w:szCs w:val="30"/>
          <w:highlight w:val="yellow"/>
        </w:rPr>
        <w:t>思想品行（德）（10%）+学业成绩（智）（75%）+科技创新与学科竞赛（科）（10%）+社会实践与文体活动（能）（5%）。</w:t>
      </w:r>
    </w:p>
    <w:p>
      <w:pPr>
        <w:spacing w:after="100" w:afterAutospacing="1" w:line="360" w:lineRule="auto"/>
        <w:ind w:right="-483" w:rightChars="-230"/>
        <w:rPr>
          <w:rFonts w:ascii="宋体" w:hAnsi="宋体"/>
          <w:sz w:val="30"/>
          <w:szCs w:val="30"/>
        </w:rPr>
      </w:pPr>
      <w:r>
        <w:rPr>
          <w:rFonts w:hint="eastAsia" w:ascii="宋体" w:hAnsi="宋体"/>
          <w:sz w:val="30"/>
          <w:szCs w:val="30"/>
        </w:rPr>
        <w:t>（二）学术专长</w:t>
      </w:r>
      <w:r>
        <w:rPr>
          <w:rFonts w:ascii="宋体" w:hAnsi="宋体"/>
          <w:sz w:val="30"/>
          <w:szCs w:val="30"/>
        </w:rPr>
        <w:t>推免考核内容及所占权重</w:t>
      </w:r>
      <w:bookmarkStart w:id="2" w:name="_GoBack"/>
      <w:bookmarkEnd w:id="2"/>
    </w:p>
    <w:p>
      <w:pPr>
        <w:spacing w:after="100" w:afterAutospacing="1" w:line="360" w:lineRule="auto"/>
        <w:ind w:right="-483" w:rightChars="-230" w:firstLine="600" w:firstLineChars="200"/>
        <w:rPr>
          <w:rFonts w:hint="eastAsia" w:ascii="宋体" w:hAnsi="宋体"/>
          <w:sz w:val="30"/>
          <w:szCs w:val="30"/>
        </w:rPr>
      </w:pPr>
      <w:r>
        <w:rPr>
          <w:rFonts w:hint="eastAsia" w:ascii="宋体" w:hAnsi="宋体"/>
          <w:sz w:val="30"/>
          <w:szCs w:val="30"/>
        </w:rPr>
        <w:t>学术专长推免考核内容包括科研潜质考察、学业成绩和科技创新成果，科研潜质考察不合格者不予推荐。分数构成为：满分1</w:t>
      </w:r>
      <w:r>
        <w:rPr>
          <w:rFonts w:ascii="宋体" w:hAnsi="宋体"/>
          <w:sz w:val="30"/>
          <w:szCs w:val="30"/>
        </w:rPr>
        <w:t>00</w:t>
      </w:r>
      <w:r>
        <w:rPr>
          <w:rFonts w:hint="eastAsia" w:ascii="宋体" w:hAnsi="宋体"/>
          <w:sz w:val="30"/>
          <w:szCs w:val="30"/>
        </w:rPr>
        <w:t>分，学业成绩考核5</w:t>
      </w:r>
      <w:r>
        <w:rPr>
          <w:rFonts w:ascii="宋体" w:hAnsi="宋体"/>
          <w:sz w:val="30"/>
          <w:szCs w:val="30"/>
        </w:rPr>
        <w:t>0</w:t>
      </w:r>
      <w:r>
        <w:rPr>
          <w:rFonts w:hint="eastAsia" w:ascii="宋体" w:hAnsi="宋体"/>
          <w:sz w:val="30"/>
          <w:szCs w:val="30"/>
        </w:rPr>
        <w:t>分</w:t>
      </w:r>
      <w:r>
        <w:rPr>
          <w:rFonts w:ascii="宋体" w:hAnsi="宋体"/>
          <w:sz w:val="30"/>
          <w:szCs w:val="30"/>
        </w:rPr>
        <w:t>+</w:t>
      </w:r>
      <w:r>
        <w:rPr>
          <w:rFonts w:hint="eastAsia" w:ascii="宋体" w:hAnsi="宋体"/>
          <w:sz w:val="30"/>
          <w:szCs w:val="30"/>
        </w:rPr>
        <w:t>科技创新成果5</w:t>
      </w:r>
      <w:r>
        <w:rPr>
          <w:rFonts w:ascii="宋体" w:hAnsi="宋体"/>
          <w:sz w:val="30"/>
          <w:szCs w:val="30"/>
        </w:rPr>
        <w:t>0</w:t>
      </w:r>
      <w:r>
        <w:rPr>
          <w:rFonts w:hint="eastAsia" w:ascii="宋体" w:hAnsi="宋体"/>
          <w:sz w:val="30"/>
          <w:szCs w:val="30"/>
        </w:rPr>
        <w:t xml:space="preserve">分。具体计算办法详见下表： </w:t>
      </w:r>
    </w:p>
    <w:tbl>
      <w:tblPr>
        <w:tblStyle w:val="10"/>
        <w:tblW w:w="7366" w:type="dxa"/>
        <w:jc w:val="center"/>
        <w:tblLayout w:type="autofit"/>
        <w:tblCellMar>
          <w:top w:w="0" w:type="dxa"/>
          <w:left w:w="108" w:type="dxa"/>
          <w:bottom w:w="0" w:type="dxa"/>
          <w:right w:w="108" w:type="dxa"/>
        </w:tblCellMar>
      </w:tblPr>
      <w:tblGrid>
        <w:gridCol w:w="1660"/>
        <w:gridCol w:w="4289"/>
        <w:gridCol w:w="1417"/>
      </w:tblGrid>
      <w:tr>
        <w:tblPrEx>
          <w:tblCellMar>
            <w:top w:w="0" w:type="dxa"/>
            <w:left w:w="108" w:type="dxa"/>
            <w:bottom w:w="0" w:type="dxa"/>
            <w:right w:w="108" w:type="dxa"/>
          </w:tblCellMar>
        </w:tblPrEx>
        <w:trPr>
          <w:trHeight w:val="285" w:hRule="atLeast"/>
          <w:jc w:val="center"/>
        </w:trPr>
        <w:tc>
          <w:tcPr>
            <w:tcW w:w="16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类别</w:t>
            </w:r>
          </w:p>
        </w:tc>
        <w:tc>
          <w:tcPr>
            <w:tcW w:w="428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考核内容</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总分</w:t>
            </w:r>
          </w:p>
        </w:tc>
      </w:tr>
      <w:tr>
        <w:tblPrEx>
          <w:tblCellMar>
            <w:top w:w="0" w:type="dxa"/>
            <w:left w:w="108" w:type="dxa"/>
            <w:bottom w:w="0" w:type="dxa"/>
            <w:right w:w="108" w:type="dxa"/>
          </w:tblCellMar>
        </w:tblPrEx>
        <w:trPr>
          <w:trHeight w:val="1995" w:hRule="atLeast"/>
          <w:jc w:val="center"/>
        </w:trPr>
        <w:tc>
          <w:tcPr>
            <w:tcW w:w="166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科研</w:t>
            </w:r>
            <w:r>
              <w:rPr>
                <w:rFonts w:ascii="等线" w:hAnsi="等线" w:eastAsia="等线" w:cs="宋体"/>
                <w:color w:val="000000"/>
                <w:kern w:val="0"/>
                <w:sz w:val="22"/>
              </w:rPr>
              <w:t>潜质</w:t>
            </w:r>
            <w:r>
              <w:rPr>
                <w:rFonts w:hint="eastAsia" w:ascii="等线" w:hAnsi="等线" w:eastAsia="等线" w:cs="宋体"/>
                <w:color w:val="000000"/>
                <w:kern w:val="0"/>
                <w:sz w:val="22"/>
              </w:rPr>
              <w:t>考察</w:t>
            </w:r>
          </w:p>
        </w:tc>
        <w:tc>
          <w:tcPr>
            <w:tcW w:w="428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xml:space="preserve">  由工作小组成员对学生的日常思想政治水平及学习能力、科研潜质等进行审查，对于本科生在读期间存在违反校规校纪、学术不端、弄虚作假等情况的同学，考核为</w:t>
            </w:r>
            <w:r>
              <w:rPr>
                <w:rFonts w:ascii="等线" w:hAnsi="等线" w:eastAsia="等线" w:cs="宋体"/>
                <w:color w:val="000000"/>
                <w:kern w:val="0"/>
                <w:sz w:val="22"/>
              </w:rPr>
              <w:t>不合格</w:t>
            </w:r>
            <w:r>
              <w:rPr>
                <w:rFonts w:hint="eastAsia" w:ascii="等线" w:hAnsi="等线" w:eastAsia="等线" w:cs="宋体"/>
                <w:color w:val="000000"/>
                <w:kern w:val="0"/>
                <w:sz w:val="22"/>
              </w:rPr>
              <w:t>并</w:t>
            </w:r>
            <w:r>
              <w:rPr>
                <w:rFonts w:ascii="等线" w:hAnsi="等线" w:eastAsia="等线" w:cs="宋体"/>
                <w:color w:val="000000"/>
                <w:kern w:val="0"/>
                <w:sz w:val="22"/>
              </w:rPr>
              <w:t>取消其资格。</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合格/不合格</w:t>
            </w:r>
          </w:p>
        </w:tc>
      </w:tr>
      <w:tr>
        <w:tblPrEx>
          <w:tblCellMar>
            <w:top w:w="0" w:type="dxa"/>
            <w:left w:w="108" w:type="dxa"/>
            <w:bottom w:w="0" w:type="dxa"/>
            <w:right w:w="108" w:type="dxa"/>
          </w:tblCellMar>
        </w:tblPrEx>
        <w:trPr>
          <w:trHeight w:val="285" w:hRule="atLeast"/>
          <w:jc w:val="center"/>
        </w:trPr>
        <w:tc>
          <w:tcPr>
            <w:tcW w:w="166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学业成绩考核</w:t>
            </w:r>
          </w:p>
        </w:tc>
        <w:tc>
          <w:tcPr>
            <w:tcW w:w="4289" w:type="dxa"/>
            <w:tcBorders>
              <w:top w:val="nil"/>
              <w:left w:val="nil"/>
              <w:bottom w:val="single" w:color="auto" w:sz="4" w:space="0"/>
              <w:right w:val="single" w:color="auto" w:sz="4" w:space="0"/>
            </w:tcBorders>
            <w:shd w:val="clear" w:color="auto" w:fill="auto"/>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得分= GPA*25</w:t>
            </w:r>
            <w:r>
              <w:rPr>
                <w:rFonts w:ascii="等线" w:hAnsi="等线" w:eastAsia="等线" w:cs="宋体"/>
                <w:color w:val="000000"/>
                <w:kern w:val="0"/>
                <w:sz w:val="22"/>
              </w:rPr>
              <w:t>*50%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ascii="等线" w:hAnsi="等线" w:eastAsia="等线" w:cs="宋体"/>
                <w:color w:val="000000"/>
                <w:kern w:val="0"/>
                <w:sz w:val="22"/>
              </w:rPr>
              <w:t>50</w:t>
            </w:r>
          </w:p>
        </w:tc>
      </w:tr>
      <w:tr>
        <w:tblPrEx>
          <w:tblCellMar>
            <w:top w:w="0" w:type="dxa"/>
            <w:left w:w="108" w:type="dxa"/>
            <w:bottom w:w="0" w:type="dxa"/>
            <w:right w:w="108" w:type="dxa"/>
          </w:tblCellMar>
        </w:tblPrEx>
        <w:trPr>
          <w:trHeight w:val="4650" w:hRule="atLeast"/>
          <w:jc w:val="center"/>
        </w:trPr>
        <w:tc>
          <w:tcPr>
            <w:tcW w:w="166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科技创新成果</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tcPr>
                <w:p>
                  <w:pPr>
                    <w:autoSpaceDE w:val="0"/>
                    <w:autoSpaceDN w:val="0"/>
                    <w:adjustRightInd w:val="0"/>
                    <w:jc w:val="left"/>
                    <w:rPr>
                      <w:rFonts w:ascii="宋体" w:cs="宋体" w:hAnsiTheme="minorHAnsi"/>
                      <w:color w:val="000000"/>
                      <w:kern w:val="0"/>
                      <w:szCs w:val="21"/>
                    </w:rPr>
                  </w:pPr>
                  <w:r>
                    <w:rPr>
                      <w:rFonts w:hint="eastAsia" w:ascii="等线" w:hAnsi="等线" w:eastAsia="等线" w:cs="宋体"/>
                      <w:color w:val="000000"/>
                      <w:kern w:val="0"/>
                      <w:sz w:val="22"/>
                    </w:rPr>
                    <w:t>（累计加分，最高不超过</w:t>
                  </w:r>
                  <w:r>
                    <w:rPr>
                      <w:rFonts w:ascii="等线" w:hAnsi="等线" w:eastAsia="等线" w:cs="宋体"/>
                      <w:color w:val="000000"/>
                      <w:kern w:val="0"/>
                      <w:sz w:val="22"/>
                    </w:rPr>
                    <w:t>50</w:t>
                  </w:r>
                  <w:r>
                    <w:rPr>
                      <w:rFonts w:hint="eastAsia" w:ascii="等线" w:hAnsi="等线" w:eastAsia="等线" w:cs="宋体"/>
                      <w:color w:val="000000"/>
                      <w:kern w:val="0"/>
                      <w:sz w:val="22"/>
                    </w:rPr>
                    <w:t>分）</w:t>
                  </w:r>
                  <w:r>
                    <w:rPr>
                      <w:rFonts w:ascii="宋体" w:cs="宋体" w:hAnsiTheme="minorHAnsi"/>
                      <w:color w:val="000000"/>
                      <w:kern w:val="0"/>
                      <w:szCs w:val="21"/>
                    </w:rPr>
                    <w:t xml:space="preserve"> </w:t>
                  </w:r>
                </w:p>
              </w:tc>
            </w:tr>
          </w:tbl>
          <w:p>
            <w:pPr>
              <w:widowControl/>
              <w:jc w:val="left"/>
              <w:rPr>
                <w:rFonts w:ascii="等线" w:hAnsi="等线" w:eastAsia="等线" w:cs="宋体"/>
                <w:color w:val="000000"/>
                <w:kern w:val="0"/>
                <w:sz w:val="22"/>
              </w:rPr>
            </w:pPr>
          </w:p>
        </w:tc>
        <w:tc>
          <w:tcPr>
            <w:tcW w:w="4289" w:type="dxa"/>
            <w:tcBorders>
              <w:top w:val="nil"/>
              <w:left w:val="nil"/>
              <w:bottom w:val="single" w:color="auto" w:sz="4" w:space="0"/>
              <w:right w:val="single" w:color="auto" w:sz="4" w:space="0"/>
            </w:tcBorders>
            <w:shd w:val="clear" w:color="auto" w:fill="auto"/>
            <w:vAlign w:val="center"/>
          </w:tcPr>
          <w:p>
            <w:pPr>
              <w:pStyle w:val="20"/>
              <w:widowControl/>
              <w:numPr>
                <w:ilvl w:val="0"/>
                <w:numId w:val="1"/>
              </w:numPr>
              <w:ind w:firstLineChars="0"/>
              <w:jc w:val="left"/>
              <w:rPr>
                <w:rFonts w:ascii="等线" w:hAnsi="等线" w:eastAsia="等线" w:cs="宋体"/>
                <w:color w:val="000000"/>
                <w:kern w:val="0"/>
                <w:sz w:val="22"/>
              </w:rPr>
            </w:pPr>
            <w:r>
              <w:rPr>
                <w:rFonts w:ascii="等线" w:hAnsi="等线" w:eastAsia="等线" w:cs="宋体"/>
                <w:b/>
                <w:color w:val="000000"/>
                <w:kern w:val="0"/>
                <w:sz w:val="22"/>
              </w:rPr>
              <w:t>科研论文</w:t>
            </w:r>
            <w:r>
              <w:rPr>
                <w:rFonts w:hint="eastAsia" w:ascii="等线" w:hAnsi="等线" w:eastAsia="等线" w:cs="宋体"/>
                <w:b/>
                <w:color w:val="000000"/>
                <w:kern w:val="0"/>
                <w:sz w:val="22"/>
              </w:rPr>
              <w:t>：</w:t>
            </w:r>
            <w:r>
              <w:rPr>
                <w:rFonts w:hint="eastAsia" w:ascii="等线" w:hAnsi="等线" w:eastAsia="等线" w:cs="宋体"/>
                <w:color w:val="000000"/>
                <w:kern w:val="0"/>
                <w:sz w:val="22"/>
              </w:rPr>
              <w:t xml:space="preserve">                                                                   本科阶段以第一作者（第一位）或通讯作者（含共同）在生物学院学术期刊目录中权威期刊及以上发表科研论文一篇加5</w:t>
            </w:r>
            <w:r>
              <w:rPr>
                <w:rFonts w:ascii="等线" w:hAnsi="等线" w:eastAsia="等线" w:cs="宋体"/>
                <w:color w:val="000000"/>
                <w:kern w:val="0"/>
                <w:sz w:val="22"/>
              </w:rPr>
              <w:t>0</w:t>
            </w:r>
            <w:r>
              <w:rPr>
                <w:rFonts w:hint="eastAsia" w:ascii="等线" w:hAnsi="等线" w:eastAsia="等线" w:cs="宋体"/>
                <w:color w:val="000000"/>
                <w:kern w:val="0"/>
                <w:sz w:val="22"/>
              </w:rPr>
              <w:t>分，共同第一作者其他位次加</w:t>
            </w:r>
            <w:r>
              <w:rPr>
                <w:rFonts w:ascii="等线" w:hAnsi="等线" w:eastAsia="等线" w:cs="宋体"/>
                <w:color w:val="000000"/>
                <w:kern w:val="0"/>
                <w:sz w:val="22"/>
              </w:rPr>
              <w:t>25</w:t>
            </w:r>
            <w:r>
              <w:rPr>
                <w:rFonts w:hint="eastAsia" w:ascii="等线" w:hAnsi="等线" w:eastAsia="等线" w:cs="宋体"/>
                <w:color w:val="000000"/>
                <w:kern w:val="0"/>
                <w:sz w:val="22"/>
              </w:rPr>
              <w:t>分，</w:t>
            </w:r>
            <w:r>
              <w:rPr>
                <w:rFonts w:ascii="等线" w:hAnsi="等线" w:eastAsia="等线" w:cs="宋体"/>
                <w:color w:val="000000"/>
                <w:kern w:val="0"/>
                <w:sz w:val="22"/>
              </w:rPr>
              <w:t>参与作者不加分</w:t>
            </w:r>
            <w:r>
              <w:rPr>
                <w:rFonts w:hint="eastAsia" w:ascii="等线" w:hAnsi="等线" w:eastAsia="等线" w:cs="宋体"/>
                <w:color w:val="000000"/>
                <w:kern w:val="0"/>
                <w:sz w:val="22"/>
              </w:rPr>
              <w:t>。</w:t>
            </w:r>
          </w:p>
          <w:p>
            <w:pPr>
              <w:pStyle w:val="20"/>
              <w:widowControl/>
              <w:ind w:left="360" w:firstLine="0" w:firstLineChars="0"/>
              <w:jc w:val="left"/>
              <w:rPr>
                <w:rFonts w:ascii="等线" w:hAnsi="等线" w:eastAsia="等线" w:cs="宋体"/>
                <w:color w:val="000000"/>
                <w:kern w:val="0"/>
                <w:sz w:val="22"/>
              </w:rPr>
            </w:pPr>
            <w:r>
              <w:rPr>
                <w:rFonts w:hint="eastAsia" w:ascii="等线" w:hAnsi="等线" w:eastAsia="等线" w:cs="宋体"/>
                <w:color w:val="000000"/>
                <w:kern w:val="0"/>
                <w:sz w:val="22"/>
              </w:rPr>
              <w:t>以第一作者（第一位）或通讯作者（含共同）在SCI、EI、SSCI收录期刊发表科研论文一篇加</w:t>
            </w:r>
            <w:r>
              <w:rPr>
                <w:rFonts w:ascii="等线" w:hAnsi="等线" w:eastAsia="等线" w:cs="宋体"/>
                <w:color w:val="000000"/>
                <w:kern w:val="0"/>
                <w:sz w:val="22"/>
              </w:rPr>
              <w:t>40</w:t>
            </w:r>
            <w:r>
              <w:rPr>
                <w:rFonts w:hint="eastAsia" w:ascii="等线" w:hAnsi="等线" w:eastAsia="等线" w:cs="宋体"/>
                <w:color w:val="000000"/>
                <w:kern w:val="0"/>
                <w:sz w:val="22"/>
              </w:rPr>
              <w:t>分，共同第一作者其他位次加</w:t>
            </w:r>
            <w:r>
              <w:rPr>
                <w:rFonts w:ascii="等线" w:hAnsi="等线" w:eastAsia="等线" w:cs="宋体"/>
                <w:color w:val="000000"/>
                <w:kern w:val="0"/>
                <w:sz w:val="22"/>
              </w:rPr>
              <w:t>20</w:t>
            </w:r>
            <w:r>
              <w:rPr>
                <w:rFonts w:hint="eastAsia" w:ascii="等线" w:hAnsi="等线" w:eastAsia="等线" w:cs="宋体"/>
                <w:color w:val="000000"/>
                <w:kern w:val="0"/>
                <w:sz w:val="22"/>
              </w:rPr>
              <w:t>分，</w:t>
            </w:r>
            <w:r>
              <w:rPr>
                <w:rFonts w:ascii="等线" w:hAnsi="等线" w:eastAsia="等线" w:cs="宋体"/>
                <w:color w:val="000000"/>
                <w:kern w:val="0"/>
                <w:sz w:val="22"/>
              </w:rPr>
              <w:t>参与作者不加分</w:t>
            </w:r>
            <w:r>
              <w:rPr>
                <w:rFonts w:hint="eastAsia" w:ascii="等线" w:hAnsi="等线" w:eastAsia="等线" w:cs="宋体"/>
                <w:color w:val="000000"/>
                <w:kern w:val="0"/>
                <w:sz w:val="22"/>
              </w:rPr>
              <w:t>。</w:t>
            </w:r>
          </w:p>
          <w:p>
            <w:pPr>
              <w:pStyle w:val="20"/>
              <w:widowControl/>
              <w:ind w:left="360" w:firstLine="0" w:firstLineChars="0"/>
              <w:jc w:val="left"/>
              <w:rPr>
                <w:rFonts w:ascii="等线" w:hAnsi="等线" w:eastAsia="等线" w:cs="宋体"/>
                <w:color w:val="000000"/>
                <w:kern w:val="0"/>
                <w:sz w:val="22"/>
              </w:rPr>
            </w:pPr>
            <w:r>
              <w:rPr>
                <w:rFonts w:hint="eastAsia" w:ascii="等线" w:hAnsi="等线" w:eastAsia="等线" w:cs="宋体"/>
                <w:color w:val="000000"/>
                <w:kern w:val="0"/>
                <w:sz w:val="22"/>
              </w:rPr>
              <w:t>以第一作者（第一位）或通讯作者（含共同）在北大中文核心期刊、A&amp;HCI、CSSCI、CSCD或CPCI收录期刊发表科研论文一篇加</w:t>
            </w:r>
            <w:r>
              <w:rPr>
                <w:rFonts w:ascii="等线" w:hAnsi="等线" w:eastAsia="等线" w:cs="宋体"/>
                <w:color w:val="000000"/>
                <w:kern w:val="0"/>
                <w:sz w:val="22"/>
              </w:rPr>
              <w:t>30</w:t>
            </w:r>
            <w:r>
              <w:rPr>
                <w:rFonts w:hint="eastAsia" w:ascii="等线" w:hAnsi="等线" w:eastAsia="等线" w:cs="宋体"/>
                <w:color w:val="000000"/>
                <w:kern w:val="0"/>
                <w:sz w:val="22"/>
              </w:rPr>
              <w:t>分，共同第一作者其他位次加</w:t>
            </w:r>
            <w:r>
              <w:rPr>
                <w:rFonts w:ascii="等线" w:hAnsi="等线" w:eastAsia="等线" w:cs="宋体"/>
                <w:color w:val="000000"/>
                <w:kern w:val="0"/>
                <w:sz w:val="22"/>
              </w:rPr>
              <w:t>15</w:t>
            </w:r>
            <w:r>
              <w:rPr>
                <w:rFonts w:hint="eastAsia" w:ascii="等线" w:hAnsi="等线" w:eastAsia="等线" w:cs="宋体"/>
                <w:color w:val="000000"/>
                <w:kern w:val="0"/>
                <w:sz w:val="22"/>
              </w:rPr>
              <w:t>分，</w:t>
            </w:r>
            <w:r>
              <w:rPr>
                <w:rFonts w:ascii="等线" w:hAnsi="等线" w:eastAsia="等线" w:cs="宋体"/>
                <w:color w:val="000000"/>
                <w:kern w:val="0"/>
                <w:sz w:val="22"/>
              </w:rPr>
              <w:t>参与作者不加分</w:t>
            </w:r>
            <w:r>
              <w:rPr>
                <w:rFonts w:hint="eastAsia" w:ascii="等线" w:hAnsi="等线" w:eastAsia="等线" w:cs="宋体"/>
                <w:color w:val="000000"/>
                <w:kern w:val="0"/>
                <w:sz w:val="22"/>
              </w:rPr>
              <w:t xml:space="preserve">。                                                               </w:t>
            </w:r>
            <w:r>
              <w:rPr>
                <w:rFonts w:ascii="等线" w:hAnsi="等线" w:eastAsia="等线" w:cs="宋体"/>
                <w:b/>
                <w:color w:val="000000"/>
                <w:kern w:val="0"/>
                <w:sz w:val="22"/>
              </w:rPr>
              <w:t>2.科研竞赛：</w:t>
            </w:r>
            <w:r>
              <w:rPr>
                <w:rFonts w:hint="eastAsia" w:ascii="等线" w:hAnsi="等线" w:eastAsia="等线" w:cs="宋体"/>
                <w:color w:val="000000"/>
                <w:kern w:val="0"/>
                <w:sz w:val="22"/>
              </w:rPr>
              <w:t xml:space="preserve">                                                 【国内权威科研竞赛（全国赛）具体参考2018 </w:t>
            </w:r>
            <w:r>
              <w:rPr>
                <w:rFonts w:ascii="等线" w:hAnsi="等线" w:eastAsia="等线" w:cs="宋体"/>
                <w:color w:val="000000"/>
                <w:kern w:val="0"/>
                <w:sz w:val="22"/>
              </w:rPr>
              <w:t>-2021</w:t>
            </w:r>
            <w:r>
              <w:rPr>
                <w:rFonts w:hint="eastAsia" w:ascii="等线" w:hAnsi="等线" w:eastAsia="等线" w:cs="宋体"/>
                <w:color w:val="000000"/>
                <w:kern w:val="0"/>
                <w:sz w:val="22"/>
              </w:rPr>
              <w:t>年学科竞赛级别认定结果）】获得国家级学科竞赛国家级一等奖（及以上）得</w:t>
            </w:r>
            <w:r>
              <w:rPr>
                <w:rFonts w:ascii="等线" w:hAnsi="等线" w:eastAsia="等线" w:cs="宋体"/>
                <w:color w:val="000000"/>
                <w:kern w:val="0"/>
                <w:sz w:val="22"/>
              </w:rPr>
              <w:t>40</w:t>
            </w:r>
            <w:r>
              <w:rPr>
                <w:rFonts w:hint="eastAsia" w:ascii="等线" w:hAnsi="等线" w:eastAsia="等线" w:cs="宋体"/>
                <w:color w:val="000000"/>
                <w:kern w:val="0"/>
                <w:sz w:val="22"/>
              </w:rPr>
              <w:t xml:space="preserve"> 分，国家级二等奖得</w:t>
            </w:r>
            <w:r>
              <w:rPr>
                <w:rFonts w:ascii="等线" w:hAnsi="等线" w:eastAsia="等线" w:cs="宋体"/>
                <w:color w:val="000000"/>
                <w:kern w:val="0"/>
                <w:sz w:val="22"/>
              </w:rPr>
              <w:t>30</w:t>
            </w:r>
            <w:r>
              <w:rPr>
                <w:rFonts w:hint="eastAsia" w:ascii="等线" w:hAnsi="等线" w:eastAsia="等线" w:cs="宋体"/>
                <w:color w:val="000000"/>
                <w:kern w:val="0"/>
                <w:sz w:val="22"/>
              </w:rPr>
              <w:t>分，国家级三等奖得</w:t>
            </w:r>
            <w:r>
              <w:rPr>
                <w:rFonts w:ascii="等线" w:hAnsi="等线" w:eastAsia="等线" w:cs="宋体"/>
                <w:color w:val="000000"/>
                <w:kern w:val="0"/>
                <w:sz w:val="22"/>
              </w:rPr>
              <w:t>20</w:t>
            </w:r>
            <w:r>
              <w:rPr>
                <w:rFonts w:hint="eastAsia" w:ascii="等线" w:hAnsi="等线" w:eastAsia="等线" w:cs="宋体"/>
                <w:color w:val="000000"/>
                <w:kern w:val="0"/>
                <w:sz w:val="22"/>
              </w:rPr>
              <w:t>分。多人共同获奖，所得分数按照人数均分。</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等线" w:hAnsi="等线" w:eastAsia="等线" w:cs="宋体"/>
                <w:color w:val="000000"/>
                <w:kern w:val="0"/>
                <w:sz w:val="22"/>
              </w:rPr>
            </w:pPr>
            <w:r>
              <w:rPr>
                <w:rFonts w:ascii="等线" w:hAnsi="等线" w:eastAsia="等线" w:cs="宋体"/>
                <w:color w:val="000000"/>
                <w:kern w:val="0"/>
                <w:sz w:val="22"/>
              </w:rPr>
              <w:t>50</w:t>
            </w:r>
          </w:p>
        </w:tc>
      </w:tr>
    </w:tbl>
    <w:p>
      <w:pPr>
        <w:spacing w:after="100" w:afterAutospacing="1" w:line="360" w:lineRule="auto"/>
        <w:ind w:right="-483" w:rightChars="-230"/>
        <w:rPr>
          <w:rFonts w:ascii="宋体" w:hAnsi="宋体"/>
          <w:sz w:val="30"/>
          <w:szCs w:val="30"/>
        </w:rPr>
      </w:pPr>
      <w:r>
        <w:rPr>
          <w:rFonts w:hint="eastAsia" w:ascii="宋体" w:hAnsi="宋体"/>
          <w:sz w:val="30"/>
          <w:szCs w:val="30"/>
        </w:rPr>
        <w:t>说明</w:t>
      </w:r>
      <w:r>
        <w:rPr>
          <w:rFonts w:ascii="宋体" w:hAnsi="宋体"/>
          <w:sz w:val="30"/>
          <w:szCs w:val="30"/>
        </w:rPr>
        <w:t>：</w:t>
      </w:r>
    </w:p>
    <w:p>
      <w:pPr>
        <w:spacing w:after="100" w:afterAutospacing="1" w:line="360" w:lineRule="auto"/>
        <w:ind w:right="-483" w:rightChars="-230" w:firstLine="600" w:firstLineChars="200"/>
        <w:rPr>
          <w:rFonts w:ascii="宋体" w:hAnsi="宋体"/>
          <w:sz w:val="30"/>
          <w:szCs w:val="30"/>
        </w:rPr>
      </w:pPr>
      <w:r>
        <w:rPr>
          <w:rFonts w:hint="eastAsia" w:ascii="宋体" w:hAnsi="宋体"/>
          <w:sz w:val="30"/>
          <w:szCs w:val="30"/>
        </w:rPr>
        <w:t>工作小组对各位同学报名材料进行审核，并根据材料核算分数。按照考核得分高低进行排序确定推免名单。按推荐名额的</w:t>
      </w:r>
      <w:r>
        <w:rPr>
          <w:rFonts w:ascii="宋体" w:hAnsi="宋体"/>
          <w:sz w:val="30"/>
          <w:szCs w:val="30"/>
        </w:rPr>
        <w:t>110%</w:t>
      </w:r>
      <w:r>
        <w:rPr>
          <w:rFonts w:hint="eastAsia" w:ascii="宋体" w:hAnsi="宋体"/>
          <w:sz w:val="30"/>
          <w:szCs w:val="30"/>
        </w:rPr>
        <w:t>上报学院推荐名单。【其中</w:t>
      </w:r>
      <w:r>
        <w:rPr>
          <w:rFonts w:ascii="宋体" w:hAnsi="宋体"/>
          <w:sz w:val="30"/>
          <w:szCs w:val="30"/>
        </w:rPr>
        <w:t>100%-110%</w:t>
      </w:r>
      <w:r>
        <w:rPr>
          <w:rFonts w:hint="eastAsia" w:ascii="宋体" w:hAnsi="宋体"/>
          <w:sz w:val="30"/>
          <w:szCs w:val="30"/>
        </w:rPr>
        <w:t>部分同学加入候补名单，如学校有候补名额即按排名递补考虑】（得分相同者，以必修</w:t>
      </w:r>
      <w:r>
        <w:rPr>
          <w:rFonts w:ascii="宋体" w:hAnsi="宋体"/>
          <w:sz w:val="30"/>
          <w:szCs w:val="30"/>
        </w:rPr>
        <w:t>GPA</w:t>
      </w:r>
      <w:r>
        <w:rPr>
          <w:rFonts w:hint="eastAsia" w:ascii="宋体" w:hAnsi="宋体"/>
          <w:sz w:val="30"/>
          <w:szCs w:val="30"/>
        </w:rPr>
        <w:t>高低进行先后排名，必修</w:t>
      </w:r>
      <w:r>
        <w:rPr>
          <w:rFonts w:ascii="宋体" w:hAnsi="宋体"/>
          <w:sz w:val="30"/>
          <w:szCs w:val="30"/>
        </w:rPr>
        <w:t>GPA</w:t>
      </w:r>
      <w:r>
        <w:rPr>
          <w:rFonts w:hint="eastAsia" w:ascii="宋体" w:hAnsi="宋体"/>
          <w:sz w:val="30"/>
          <w:szCs w:val="30"/>
        </w:rPr>
        <w:t>仍相同者，以总</w:t>
      </w:r>
      <w:r>
        <w:rPr>
          <w:rFonts w:ascii="宋体" w:hAnsi="宋体"/>
          <w:sz w:val="30"/>
          <w:szCs w:val="30"/>
        </w:rPr>
        <w:t>GPA</w:t>
      </w:r>
      <w:r>
        <w:rPr>
          <w:rFonts w:hint="eastAsia" w:ascii="宋体" w:hAnsi="宋体"/>
          <w:sz w:val="30"/>
          <w:szCs w:val="30"/>
        </w:rPr>
        <w:t>高低进行先后排名，总</w:t>
      </w:r>
      <w:r>
        <w:rPr>
          <w:rFonts w:ascii="宋体" w:hAnsi="宋体"/>
          <w:sz w:val="30"/>
          <w:szCs w:val="30"/>
        </w:rPr>
        <w:t>GPA</w:t>
      </w:r>
      <w:r>
        <w:rPr>
          <w:rFonts w:hint="eastAsia" w:ascii="宋体" w:hAnsi="宋体"/>
          <w:sz w:val="30"/>
          <w:szCs w:val="30"/>
        </w:rPr>
        <w:t>排名仍相同者，以综合测评排名高低进行排名。）</w:t>
      </w:r>
    </w:p>
    <w:p>
      <w:pPr>
        <w:spacing w:after="100" w:afterAutospacing="1" w:line="360" w:lineRule="auto"/>
        <w:ind w:right="-483" w:rightChars="-230"/>
        <w:rPr>
          <w:rFonts w:ascii="宋体" w:hAnsi="宋体"/>
          <w:sz w:val="30"/>
          <w:szCs w:val="30"/>
        </w:rPr>
      </w:pPr>
      <w:bookmarkStart w:id="0" w:name="_Toc302728640"/>
      <w:bookmarkStart w:id="1" w:name="_Toc304820123"/>
      <w:r>
        <w:rPr>
          <w:rFonts w:hint="eastAsia" w:ascii="宋体" w:hAnsi="宋体"/>
          <w:sz w:val="30"/>
          <w:szCs w:val="30"/>
        </w:rPr>
        <w:t>五、附则</w:t>
      </w:r>
    </w:p>
    <w:p>
      <w:pPr>
        <w:spacing w:after="100" w:afterAutospacing="1" w:line="360" w:lineRule="auto"/>
        <w:ind w:right="-483" w:rightChars="-230" w:firstLine="450" w:firstLineChars="150"/>
        <w:rPr>
          <w:rFonts w:ascii="宋体" w:hAnsi="宋体"/>
          <w:sz w:val="30"/>
          <w:szCs w:val="30"/>
        </w:rPr>
      </w:pPr>
      <w:r>
        <w:rPr>
          <w:rFonts w:hint="eastAsia" w:ascii="宋体" w:hAnsi="宋体"/>
          <w:sz w:val="30"/>
          <w:szCs w:val="30"/>
        </w:rPr>
        <w:t>（一）如学生对结果有疑问，可在公示期内向学院推免工作领导小组进行实名书面申诉。</w:t>
      </w:r>
      <w:r>
        <w:rPr>
          <w:rFonts w:ascii="宋体" w:hAnsi="宋体"/>
          <w:sz w:val="30"/>
          <w:szCs w:val="30"/>
        </w:rPr>
        <w:t xml:space="preserve"> </w:t>
      </w:r>
    </w:p>
    <w:p>
      <w:pPr>
        <w:spacing w:after="100" w:afterAutospacing="1" w:line="360" w:lineRule="auto"/>
        <w:ind w:right="-483" w:rightChars="-230" w:firstLine="450" w:firstLineChars="150"/>
        <w:rPr>
          <w:rFonts w:ascii="宋体" w:hAnsi="宋体"/>
          <w:sz w:val="30"/>
          <w:szCs w:val="30"/>
        </w:rPr>
      </w:pPr>
      <w:r>
        <w:rPr>
          <w:rFonts w:hint="eastAsia" w:ascii="宋体" w:hAnsi="宋体"/>
          <w:sz w:val="30"/>
          <w:szCs w:val="30"/>
        </w:rPr>
        <w:t>（二）本办法由生物学院负责解释。</w:t>
      </w:r>
    </w:p>
    <w:p>
      <w:pPr>
        <w:spacing w:after="100" w:afterAutospacing="1" w:line="360" w:lineRule="auto"/>
        <w:ind w:right="-483" w:rightChars="-230" w:firstLine="450" w:firstLineChars="150"/>
        <w:rPr>
          <w:rFonts w:ascii="宋体" w:hAnsi="宋体"/>
          <w:sz w:val="30"/>
          <w:szCs w:val="30"/>
        </w:rPr>
      </w:pPr>
      <w:r>
        <w:rPr>
          <w:rFonts w:hint="eastAsia" w:ascii="宋体" w:hAnsi="宋体"/>
          <w:sz w:val="30"/>
          <w:szCs w:val="30"/>
        </w:rPr>
        <w:t>（三）本方案未尽事宜，以学校文件为准。</w:t>
      </w:r>
    </w:p>
    <w:p>
      <w:pPr>
        <w:spacing w:after="100" w:afterAutospacing="1" w:line="360" w:lineRule="auto"/>
        <w:ind w:right="-483" w:rightChars="-230" w:firstLine="450" w:firstLineChars="150"/>
        <w:rPr>
          <w:rFonts w:ascii="宋体" w:hAnsi="宋体"/>
          <w:sz w:val="30"/>
          <w:szCs w:val="30"/>
        </w:rPr>
      </w:pPr>
    </w:p>
    <w:p>
      <w:pPr>
        <w:spacing w:after="100" w:afterAutospacing="1" w:line="360" w:lineRule="auto"/>
        <w:ind w:right="-483" w:rightChars="-230" w:firstLine="450" w:firstLineChars="150"/>
        <w:rPr>
          <w:rFonts w:ascii="宋体" w:hAnsi="宋体"/>
          <w:sz w:val="30"/>
          <w:szCs w:val="30"/>
        </w:rPr>
      </w:pPr>
      <w:r>
        <w:rPr>
          <w:rFonts w:ascii="宋体" w:hAnsi="宋体"/>
          <w:sz w:val="30"/>
          <w:szCs w:val="30"/>
        </w:rPr>
        <w:t xml:space="preserve">                     </w:t>
      </w:r>
      <w:r>
        <w:rPr>
          <w:rFonts w:ascii="宋体" w:hAnsi="宋体"/>
          <w:sz w:val="30"/>
          <w:szCs w:val="30"/>
        </w:rPr>
        <mc:AlternateContent>
          <mc:Choice Requires="wps">
            <w:drawing>
              <wp:anchor distT="0" distB="0" distL="114300" distR="114300" simplePos="0" relativeHeight="251659264" behindDoc="0" locked="0" layoutInCell="1" allowOverlap="1">
                <wp:simplePos x="0" y="0"/>
                <wp:positionH relativeFrom="column">
                  <wp:posOffset>4044315</wp:posOffset>
                </wp:positionH>
                <wp:positionV relativeFrom="paragraph">
                  <wp:posOffset>3486150</wp:posOffset>
                </wp:positionV>
                <wp:extent cx="0" cy="311785"/>
                <wp:effectExtent l="76200" t="0" r="57150" b="50165"/>
                <wp:wrapNone/>
                <wp:docPr id="29" name="AutoShape 2306"/>
                <wp:cNvGraphicFramePr/>
                <a:graphic xmlns:a="http://schemas.openxmlformats.org/drawingml/2006/main">
                  <a:graphicData uri="http://schemas.microsoft.com/office/word/2010/wordprocessingShape">
                    <wps:wsp>
                      <wps:cNvCnPr>
                        <a:cxnSpLocks noChangeShapeType="1"/>
                      </wps:cNvCnPr>
                      <wps:spPr bwMode="auto">
                        <a:xfrm>
                          <a:off x="0" y="0"/>
                          <a:ext cx="0" cy="311785"/>
                        </a:xfrm>
                        <a:prstGeom prst="straightConnector1">
                          <a:avLst/>
                        </a:prstGeom>
                        <a:noFill/>
                        <a:ln w="9525">
                          <a:solidFill>
                            <a:srgbClr val="000000"/>
                          </a:solidFill>
                          <a:round/>
                          <a:tailEnd type="triangle" w="med" len="med"/>
                        </a:ln>
                      </wps:spPr>
                      <wps:bodyPr/>
                    </wps:wsp>
                  </a:graphicData>
                </a:graphic>
              </wp:anchor>
            </w:drawing>
          </mc:Choice>
          <mc:Fallback>
            <w:pict>
              <v:shape id="AutoShape 2306" o:spid="_x0000_s1026" o:spt="32" type="#_x0000_t32" style="position:absolute;left:0pt;margin-left:318.45pt;margin-top:274.5pt;height:24.55pt;width:0pt;z-index:251659264;mso-width-relative:page;mso-height-relative:page;" filled="f" stroked="t" coordsize="21600,21600" o:gfxdata="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Mn5DH2AAAAAsBAAAPAAAAAAAAAAEAIAAAACIAAABkcnMvZG93bnJldi54bWxQSwECFAAU&#10;AAAACACHTuJAgwJXhfEBAADjAwAADgAAAAAAAAABACAAAAAnAQAAZHJzL2Uyb0RvYy54bWxQSwUG&#10;AAAAAAYABgBZAQAAigUAAAAA&#10;">
                <v:fill on="f" focussize="0,0"/>
                <v:stroke color="#000000" joinstyle="round" endarrow="block"/>
                <v:imagedata o:title=""/>
                <o:lock v:ext="edit" aspectratio="f"/>
              </v:shape>
            </w:pict>
          </mc:Fallback>
        </mc:AlternateContent>
      </w:r>
      <w:bookmarkEnd w:id="0"/>
      <w:bookmarkEnd w:id="1"/>
      <w:r>
        <w:rPr>
          <w:rFonts w:ascii="宋体" w:hAnsi="宋体"/>
          <w:sz w:val="30"/>
          <w:szCs w:val="30"/>
        </w:rPr>
        <w:t xml:space="preserve"> </w:t>
      </w:r>
      <w:r>
        <w:rPr>
          <w:rFonts w:hint="eastAsia" w:ascii="宋体" w:hAnsi="宋体"/>
          <w:sz w:val="30"/>
          <w:szCs w:val="30"/>
        </w:rPr>
        <w:t>中国农业大学生物学院</w:t>
      </w:r>
    </w:p>
    <w:p>
      <w:pPr>
        <w:spacing w:after="100" w:afterAutospacing="1" w:line="360" w:lineRule="auto"/>
        <w:ind w:right="-483" w:rightChars="-230" w:firstLine="450" w:firstLineChars="150"/>
        <w:rPr>
          <w:rFonts w:ascii="宋体" w:hAnsi="宋体"/>
          <w:sz w:val="30"/>
          <w:szCs w:val="30"/>
        </w:rPr>
      </w:pPr>
      <w:r>
        <w:rPr>
          <w:rFonts w:ascii="宋体" w:hAnsi="宋体"/>
          <w:sz w:val="30"/>
          <w:szCs w:val="30"/>
        </w:rPr>
        <w:t xml:space="preserve">                         2023</w:t>
      </w:r>
      <w:r>
        <w:rPr>
          <w:rFonts w:hint="eastAsia" w:ascii="宋体" w:hAnsi="宋体"/>
          <w:sz w:val="30"/>
          <w:szCs w:val="30"/>
        </w:rPr>
        <w:t>年</w:t>
      </w:r>
      <w:r>
        <w:rPr>
          <w:rFonts w:ascii="宋体" w:hAnsi="宋体"/>
          <w:sz w:val="30"/>
          <w:szCs w:val="30"/>
        </w:rPr>
        <w:t>8</w:t>
      </w:r>
      <w:r>
        <w:rPr>
          <w:rFonts w:hint="eastAsia" w:ascii="宋体" w:hAnsi="宋体"/>
          <w:sz w:val="30"/>
          <w:szCs w:val="30"/>
        </w:rPr>
        <w:t>月</w:t>
      </w:r>
      <w:r>
        <w:rPr>
          <w:rFonts w:ascii="宋体" w:hAnsi="宋体"/>
          <w:sz w:val="30"/>
          <w:szCs w:val="30"/>
        </w:rPr>
        <w:t>23</w:t>
      </w:r>
      <w:r>
        <w:rPr>
          <w:rFonts w:hint="eastAsia" w:ascii="宋体" w:hAnsi="宋体"/>
          <w:sz w:val="30"/>
          <w:szCs w:val="3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293AD9"/>
    <w:multiLevelType w:val="multilevel"/>
    <w:tmpl w:val="08293AD9"/>
    <w:lvl w:ilvl="0" w:tentative="0">
      <w:start w:val="1"/>
      <w:numFmt w:val="decimal"/>
      <w:lvlText w:val="%1."/>
      <w:lvlJc w:val="left"/>
      <w:pPr>
        <w:ind w:left="360" w:hanging="360"/>
      </w:pPr>
      <w:rPr>
        <w:rFonts w:hint="default"/>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VjMDAwZGFkMTk4MDliYTA2NGFiZGVmOWE5ZGVjMDcifQ=="/>
  </w:docVars>
  <w:rsids>
    <w:rsidRoot w:val="00FD0875"/>
    <w:rsid w:val="000044E7"/>
    <w:rsid w:val="0002375C"/>
    <w:rsid w:val="000242BF"/>
    <w:rsid w:val="00027602"/>
    <w:rsid w:val="00050A7B"/>
    <w:rsid w:val="00052437"/>
    <w:rsid w:val="000708A9"/>
    <w:rsid w:val="000724A5"/>
    <w:rsid w:val="00076DFF"/>
    <w:rsid w:val="00080AC9"/>
    <w:rsid w:val="00097A0E"/>
    <w:rsid w:val="000A364C"/>
    <w:rsid w:val="000A3A9D"/>
    <w:rsid w:val="000B35F0"/>
    <w:rsid w:val="000B68A3"/>
    <w:rsid w:val="000F1169"/>
    <w:rsid w:val="000F377E"/>
    <w:rsid w:val="00115BA1"/>
    <w:rsid w:val="00132E6C"/>
    <w:rsid w:val="0013581C"/>
    <w:rsid w:val="001705BB"/>
    <w:rsid w:val="0017553B"/>
    <w:rsid w:val="001820D2"/>
    <w:rsid w:val="001870FF"/>
    <w:rsid w:val="001A07CC"/>
    <w:rsid w:val="001A466F"/>
    <w:rsid w:val="001A5F79"/>
    <w:rsid w:val="001C36F3"/>
    <w:rsid w:val="001F3607"/>
    <w:rsid w:val="00206C91"/>
    <w:rsid w:val="00224B10"/>
    <w:rsid w:val="002263C2"/>
    <w:rsid w:val="002368F0"/>
    <w:rsid w:val="002B3A1D"/>
    <w:rsid w:val="002C4F86"/>
    <w:rsid w:val="002D5B38"/>
    <w:rsid w:val="002F2A2B"/>
    <w:rsid w:val="0035038E"/>
    <w:rsid w:val="00353A93"/>
    <w:rsid w:val="00354D61"/>
    <w:rsid w:val="00355D7A"/>
    <w:rsid w:val="00383879"/>
    <w:rsid w:val="0039150A"/>
    <w:rsid w:val="003917C6"/>
    <w:rsid w:val="00394682"/>
    <w:rsid w:val="00395412"/>
    <w:rsid w:val="0039707B"/>
    <w:rsid w:val="003A038C"/>
    <w:rsid w:val="003B7937"/>
    <w:rsid w:val="003E0246"/>
    <w:rsid w:val="004022A1"/>
    <w:rsid w:val="00424517"/>
    <w:rsid w:val="00435C89"/>
    <w:rsid w:val="004557D6"/>
    <w:rsid w:val="00456C3E"/>
    <w:rsid w:val="00464BC6"/>
    <w:rsid w:val="004656D2"/>
    <w:rsid w:val="00471373"/>
    <w:rsid w:val="00475679"/>
    <w:rsid w:val="00475CB0"/>
    <w:rsid w:val="004C1463"/>
    <w:rsid w:val="004E2AE5"/>
    <w:rsid w:val="004E55AB"/>
    <w:rsid w:val="004E55CE"/>
    <w:rsid w:val="004F35A9"/>
    <w:rsid w:val="005077D5"/>
    <w:rsid w:val="00507EC4"/>
    <w:rsid w:val="005212FB"/>
    <w:rsid w:val="0052228F"/>
    <w:rsid w:val="00524F55"/>
    <w:rsid w:val="005252DA"/>
    <w:rsid w:val="005258E0"/>
    <w:rsid w:val="005377C2"/>
    <w:rsid w:val="005550D4"/>
    <w:rsid w:val="00563FDB"/>
    <w:rsid w:val="00565C50"/>
    <w:rsid w:val="005672DA"/>
    <w:rsid w:val="005678F2"/>
    <w:rsid w:val="00574BD6"/>
    <w:rsid w:val="00575975"/>
    <w:rsid w:val="005962F9"/>
    <w:rsid w:val="005A33E1"/>
    <w:rsid w:val="005A3CA6"/>
    <w:rsid w:val="005B7D4A"/>
    <w:rsid w:val="005E487D"/>
    <w:rsid w:val="006079C2"/>
    <w:rsid w:val="00614FC4"/>
    <w:rsid w:val="00617170"/>
    <w:rsid w:val="006313CF"/>
    <w:rsid w:val="00637F2B"/>
    <w:rsid w:val="00643518"/>
    <w:rsid w:val="00644D0D"/>
    <w:rsid w:val="00646C5E"/>
    <w:rsid w:val="00665D3D"/>
    <w:rsid w:val="00667ABC"/>
    <w:rsid w:val="006B18A8"/>
    <w:rsid w:val="006C4273"/>
    <w:rsid w:val="006C62D6"/>
    <w:rsid w:val="006C791E"/>
    <w:rsid w:val="006D083E"/>
    <w:rsid w:val="006D143F"/>
    <w:rsid w:val="00704BF7"/>
    <w:rsid w:val="00707D73"/>
    <w:rsid w:val="00715455"/>
    <w:rsid w:val="007300C5"/>
    <w:rsid w:val="00733A30"/>
    <w:rsid w:val="007340A1"/>
    <w:rsid w:val="0075073D"/>
    <w:rsid w:val="00767D47"/>
    <w:rsid w:val="00771430"/>
    <w:rsid w:val="00784016"/>
    <w:rsid w:val="0078524C"/>
    <w:rsid w:val="0078731F"/>
    <w:rsid w:val="0079128A"/>
    <w:rsid w:val="007920AA"/>
    <w:rsid w:val="00793EA4"/>
    <w:rsid w:val="0079648C"/>
    <w:rsid w:val="007A4248"/>
    <w:rsid w:val="007B6BBE"/>
    <w:rsid w:val="007B778A"/>
    <w:rsid w:val="007C238C"/>
    <w:rsid w:val="007D5858"/>
    <w:rsid w:val="007E0FEE"/>
    <w:rsid w:val="007E3A4F"/>
    <w:rsid w:val="007F14BD"/>
    <w:rsid w:val="0080414F"/>
    <w:rsid w:val="00813A58"/>
    <w:rsid w:val="00823E11"/>
    <w:rsid w:val="008257B7"/>
    <w:rsid w:val="00832574"/>
    <w:rsid w:val="00846313"/>
    <w:rsid w:val="008551AC"/>
    <w:rsid w:val="008920C6"/>
    <w:rsid w:val="008921D2"/>
    <w:rsid w:val="008A55E4"/>
    <w:rsid w:val="008C63C8"/>
    <w:rsid w:val="008D5292"/>
    <w:rsid w:val="008E52B9"/>
    <w:rsid w:val="008F790B"/>
    <w:rsid w:val="00907F44"/>
    <w:rsid w:val="00925DD4"/>
    <w:rsid w:val="00943792"/>
    <w:rsid w:val="0097743F"/>
    <w:rsid w:val="00977498"/>
    <w:rsid w:val="00986F7F"/>
    <w:rsid w:val="00997AAE"/>
    <w:rsid w:val="009A0BAE"/>
    <w:rsid w:val="009A1075"/>
    <w:rsid w:val="009B5C34"/>
    <w:rsid w:val="009C17D9"/>
    <w:rsid w:val="009E0E80"/>
    <w:rsid w:val="009E4378"/>
    <w:rsid w:val="009F279B"/>
    <w:rsid w:val="009F787C"/>
    <w:rsid w:val="00A0307E"/>
    <w:rsid w:val="00A12DEE"/>
    <w:rsid w:val="00A26AA8"/>
    <w:rsid w:val="00A274BD"/>
    <w:rsid w:val="00A30027"/>
    <w:rsid w:val="00A32986"/>
    <w:rsid w:val="00A37DED"/>
    <w:rsid w:val="00A41E97"/>
    <w:rsid w:val="00A46F1C"/>
    <w:rsid w:val="00A479D0"/>
    <w:rsid w:val="00A62899"/>
    <w:rsid w:val="00A63872"/>
    <w:rsid w:val="00A6613A"/>
    <w:rsid w:val="00A74FCC"/>
    <w:rsid w:val="00A777E6"/>
    <w:rsid w:val="00A80A76"/>
    <w:rsid w:val="00A8117E"/>
    <w:rsid w:val="00A97C45"/>
    <w:rsid w:val="00AA2A9E"/>
    <w:rsid w:val="00AA48A7"/>
    <w:rsid w:val="00AC0D8F"/>
    <w:rsid w:val="00AD0CD8"/>
    <w:rsid w:val="00AD63B4"/>
    <w:rsid w:val="00AD7C45"/>
    <w:rsid w:val="00AE0240"/>
    <w:rsid w:val="00AE1525"/>
    <w:rsid w:val="00AF0BF4"/>
    <w:rsid w:val="00AF4CD6"/>
    <w:rsid w:val="00B02459"/>
    <w:rsid w:val="00B11F44"/>
    <w:rsid w:val="00B150EB"/>
    <w:rsid w:val="00B23D54"/>
    <w:rsid w:val="00B24140"/>
    <w:rsid w:val="00B41706"/>
    <w:rsid w:val="00B441F6"/>
    <w:rsid w:val="00B627D1"/>
    <w:rsid w:val="00B77EFB"/>
    <w:rsid w:val="00B83069"/>
    <w:rsid w:val="00B84370"/>
    <w:rsid w:val="00BB1705"/>
    <w:rsid w:val="00BD26BC"/>
    <w:rsid w:val="00BD5129"/>
    <w:rsid w:val="00BE669D"/>
    <w:rsid w:val="00C27D20"/>
    <w:rsid w:val="00C47CF9"/>
    <w:rsid w:val="00C60BEE"/>
    <w:rsid w:val="00C663D3"/>
    <w:rsid w:val="00C71604"/>
    <w:rsid w:val="00C73E30"/>
    <w:rsid w:val="00C92AE8"/>
    <w:rsid w:val="00C942C1"/>
    <w:rsid w:val="00C949C6"/>
    <w:rsid w:val="00CF18BF"/>
    <w:rsid w:val="00D1358B"/>
    <w:rsid w:val="00D14B47"/>
    <w:rsid w:val="00D469E8"/>
    <w:rsid w:val="00D737C1"/>
    <w:rsid w:val="00D739EB"/>
    <w:rsid w:val="00D8507C"/>
    <w:rsid w:val="00D94C7B"/>
    <w:rsid w:val="00DA0030"/>
    <w:rsid w:val="00DA74A6"/>
    <w:rsid w:val="00DC55F4"/>
    <w:rsid w:val="00DD0DD4"/>
    <w:rsid w:val="00DF6825"/>
    <w:rsid w:val="00DF6E85"/>
    <w:rsid w:val="00E15011"/>
    <w:rsid w:val="00E1550C"/>
    <w:rsid w:val="00E30F2B"/>
    <w:rsid w:val="00E84877"/>
    <w:rsid w:val="00EB5407"/>
    <w:rsid w:val="00ED1475"/>
    <w:rsid w:val="00EE2054"/>
    <w:rsid w:val="00EF4F82"/>
    <w:rsid w:val="00F023D7"/>
    <w:rsid w:val="00F039EA"/>
    <w:rsid w:val="00F21595"/>
    <w:rsid w:val="00F24BA0"/>
    <w:rsid w:val="00F31D39"/>
    <w:rsid w:val="00F34899"/>
    <w:rsid w:val="00F37683"/>
    <w:rsid w:val="00F43F44"/>
    <w:rsid w:val="00F82144"/>
    <w:rsid w:val="00F82779"/>
    <w:rsid w:val="00FB330A"/>
    <w:rsid w:val="00FC1262"/>
    <w:rsid w:val="00FD0875"/>
    <w:rsid w:val="00FD1EA8"/>
    <w:rsid w:val="00FE7509"/>
    <w:rsid w:val="19800F8C"/>
    <w:rsid w:val="2D035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8"/>
    <w:qFormat/>
    <w:uiPriority w:val="0"/>
    <w:pPr>
      <w:keepNext/>
      <w:keepLines/>
      <w:tabs>
        <w:tab w:val="left" w:pos="1341"/>
        <w:tab w:val="center" w:pos="4153"/>
      </w:tabs>
      <w:spacing w:before="156" w:beforeLines="50" w:after="260" w:line="416" w:lineRule="atLeast"/>
      <w:jc w:val="center"/>
      <w:outlineLvl w:val="1"/>
    </w:pPr>
    <w:rPr>
      <w:rFonts w:ascii="华文中宋" w:hAnsi="华文中宋" w:eastAsia="华文中宋"/>
      <w:b/>
      <w:bCs/>
      <w:color w:val="000000"/>
      <w:kern w:val="0"/>
      <w:sz w:val="30"/>
      <w:szCs w:val="30"/>
    </w:rPr>
  </w:style>
  <w:style w:type="paragraph" w:styleId="3">
    <w:name w:val="heading 3"/>
    <w:basedOn w:val="1"/>
    <w:next w:val="1"/>
    <w:link w:val="19"/>
    <w:qFormat/>
    <w:uiPriority w:val="0"/>
    <w:pPr>
      <w:keepNext/>
      <w:keepLines/>
      <w:tabs>
        <w:tab w:val="center" w:pos="4873"/>
      </w:tabs>
      <w:spacing w:before="156" w:beforeLines="50" w:after="260" w:line="416" w:lineRule="atLeast"/>
      <w:jc w:val="center"/>
      <w:outlineLvl w:val="2"/>
    </w:pPr>
    <w:rPr>
      <w:rFonts w:ascii="黑体" w:hAnsi="黑体" w:eastAsia="黑体"/>
      <w:b/>
      <w:bCs/>
      <w:color w:val="000000"/>
      <w:kern w:val="0"/>
      <w:sz w:val="28"/>
      <w:szCs w:val="28"/>
    </w:rPr>
  </w:style>
  <w:style w:type="character" w:default="1" w:styleId="12">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3"/>
    <w:semiHidden/>
    <w:unhideWhenUsed/>
    <w:uiPriority w:val="99"/>
    <w:pPr>
      <w:jc w:val="left"/>
    </w:pPr>
  </w:style>
  <w:style w:type="paragraph" w:styleId="5">
    <w:name w:val="Balloon Text"/>
    <w:basedOn w:val="1"/>
    <w:link w:val="21"/>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 w:type="paragraph" w:styleId="9">
    <w:name w:val="annotation subject"/>
    <w:basedOn w:val="4"/>
    <w:next w:val="4"/>
    <w:link w:val="24"/>
    <w:semiHidden/>
    <w:unhideWhenUsed/>
    <w:uiPriority w:val="99"/>
    <w:rPr>
      <w:b/>
      <w:bCs/>
    </w:rPr>
  </w:style>
  <w:style w:type="table" w:styleId="11">
    <w:name w:val="Table Grid"/>
    <w:basedOn w:val="10"/>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Hyperlink"/>
    <w:basedOn w:val="12"/>
    <w:unhideWhenUsed/>
    <w:uiPriority w:val="99"/>
    <w:rPr>
      <w:color w:val="0000FF" w:themeColor="hyperlink"/>
      <w:u w:val="single"/>
      <w14:textFill>
        <w14:solidFill>
          <w14:schemeClr w14:val="hlink"/>
        </w14:solidFill>
      </w14:textFill>
    </w:rPr>
  </w:style>
  <w:style w:type="character" w:styleId="15">
    <w:name w:val="annotation reference"/>
    <w:basedOn w:val="12"/>
    <w:semiHidden/>
    <w:unhideWhenUsed/>
    <w:uiPriority w:val="99"/>
    <w:rPr>
      <w:sz w:val="21"/>
      <w:szCs w:val="21"/>
    </w:rPr>
  </w:style>
  <w:style w:type="character" w:customStyle="1" w:styleId="16">
    <w:name w:val="页眉 字符"/>
    <w:basedOn w:val="12"/>
    <w:link w:val="7"/>
    <w:qFormat/>
    <w:uiPriority w:val="99"/>
    <w:rPr>
      <w:sz w:val="18"/>
      <w:szCs w:val="18"/>
    </w:rPr>
  </w:style>
  <w:style w:type="character" w:customStyle="1" w:styleId="17">
    <w:name w:val="页脚 字符"/>
    <w:basedOn w:val="12"/>
    <w:link w:val="6"/>
    <w:qFormat/>
    <w:uiPriority w:val="99"/>
    <w:rPr>
      <w:sz w:val="18"/>
      <w:szCs w:val="18"/>
    </w:rPr>
  </w:style>
  <w:style w:type="character" w:customStyle="1" w:styleId="18">
    <w:name w:val="标题 2 字符"/>
    <w:basedOn w:val="12"/>
    <w:link w:val="2"/>
    <w:qFormat/>
    <w:uiPriority w:val="0"/>
    <w:rPr>
      <w:rFonts w:ascii="华文中宋" w:hAnsi="华文中宋" w:eastAsia="华文中宋" w:cs="Times New Roman"/>
      <w:b/>
      <w:bCs/>
      <w:color w:val="000000"/>
      <w:kern w:val="0"/>
      <w:sz w:val="30"/>
      <w:szCs w:val="30"/>
    </w:rPr>
  </w:style>
  <w:style w:type="character" w:customStyle="1" w:styleId="19">
    <w:name w:val="标题 3 字符"/>
    <w:basedOn w:val="12"/>
    <w:link w:val="3"/>
    <w:qFormat/>
    <w:uiPriority w:val="0"/>
    <w:rPr>
      <w:rFonts w:ascii="黑体" w:hAnsi="黑体" w:eastAsia="黑体" w:cs="Times New Roman"/>
      <w:b/>
      <w:bCs/>
      <w:color w:val="000000"/>
      <w:kern w:val="0"/>
      <w:sz w:val="28"/>
      <w:szCs w:val="28"/>
    </w:rPr>
  </w:style>
  <w:style w:type="paragraph" w:styleId="20">
    <w:name w:val="List Paragraph"/>
    <w:basedOn w:val="1"/>
    <w:qFormat/>
    <w:uiPriority w:val="34"/>
    <w:pPr>
      <w:spacing w:before="156" w:beforeLines="50" w:line="460" w:lineRule="exact"/>
      <w:ind w:firstLine="420" w:firstLineChars="200"/>
    </w:pPr>
  </w:style>
  <w:style w:type="character" w:customStyle="1" w:styleId="21">
    <w:name w:val="批注框文本 字符"/>
    <w:basedOn w:val="12"/>
    <w:link w:val="5"/>
    <w:semiHidden/>
    <w:qFormat/>
    <w:uiPriority w:val="99"/>
    <w:rPr>
      <w:rFonts w:ascii="Calibri" w:hAnsi="Calibri" w:eastAsia="宋体" w:cs="Times New Roman"/>
      <w:sz w:val="18"/>
      <w:szCs w:val="18"/>
    </w:rPr>
  </w:style>
  <w:style w:type="paragraph" w:customStyle="1" w:styleId="22">
    <w:name w:val="Defaul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character" w:customStyle="1" w:styleId="23">
    <w:name w:val="批注文字 字符"/>
    <w:basedOn w:val="12"/>
    <w:link w:val="4"/>
    <w:semiHidden/>
    <w:uiPriority w:val="99"/>
    <w:rPr>
      <w:rFonts w:ascii="Calibri" w:hAnsi="Calibri" w:eastAsia="宋体" w:cs="Times New Roman"/>
      <w:kern w:val="2"/>
      <w:sz w:val="21"/>
      <w:szCs w:val="22"/>
    </w:rPr>
  </w:style>
  <w:style w:type="character" w:customStyle="1" w:styleId="24">
    <w:name w:val="批注主题 字符"/>
    <w:basedOn w:val="23"/>
    <w:link w:val="9"/>
    <w:semiHidden/>
    <w:uiPriority w:val="99"/>
    <w:rPr>
      <w:rFonts w:ascii="Calibri" w:hAnsi="Calibri" w:eastAsia="宋体" w:cs="Times New Roman"/>
      <w:b/>
      <w:bCs/>
      <w:kern w:val="2"/>
      <w:sz w:val="21"/>
      <w:szCs w:val="22"/>
    </w:rPr>
  </w:style>
  <w:style w:type="paragraph" w:customStyle="1" w:styleId="25">
    <w:name w:val="Revision"/>
    <w:hidden/>
    <w:semiHidden/>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C56BB9-040D-4910-8339-175D21AEA8F6}">
  <ds:schemaRefs/>
</ds:datastoreItem>
</file>

<file path=docProps/app.xml><?xml version="1.0" encoding="utf-8"?>
<Properties xmlns="http://schemas.openxmlformats.org/officeDocument/2006/extended-properties" xmlns:vt="http://schemas.openxmlformats.org/officeDocument/2006/docPropsVTypes">
  <Template>Normal</Template>
  <Pages>7</Pages>
  <Words>506</Words>
  <Characters>2885</Characters>
  <Lines>24</Lines>
  <Paragraphs>6</Paragraphs>
  <TotalTime>212</TotalTime>
  <ScaleCrop>false</ScaleCrop>
  <LinksUpToDate>false</LinksUpToDate>
  <CharactersWithSpaces>3385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2023-09-07T02:05:00Z</dcterms:created>
  <dc:creator>dell</dc:creator>
  <cp:lastModifiedBy>谓川</cp:lastModifiedBy>
  <cp:lastPrinted>2023-08-30T08:13:00Z</cp:lastPrinted>
  <dcterms:modified xsi:type="dcterms:W3CDTF">2023-10-06T06:35:38Z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50E6B0DD846745B083C97AA49C99FD3B_13</vt:lpwstr>
  </property>
</Properties>
</file>