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B6D0AE">
      <w:pPr>
        <w:autoSpaceDE w:val="0"/>
        <w:autoSpaceDN w:val="0"/>
        <w:adjustRightIn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园艺学院推荐优秀2027届本科毕业生</w:t>
      </w:r>
    </w:p>
    <w:p w14:paraId="69D2B238">
      <w:pPr>
        <w:autoSpaceDE w:val="0"/>
        <w:autoSpaceDN w:val="0"/>
        <w:adjustRightInd w:val="0"/>
        <w:spacing w:line="560" w:lineRule="exact"/>
        <w:jc w:val="center"/>
        <w:rPr>
          <w:rFonts w:hint="eastAsia" w:ascii="黑体" w:hAnsi="黑体" w:eastAsia="黑体" w:cs="^”˛"/>
          <w:b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普通类免试攻读研究生工作细则</w:t>
      </w:r>
    </w:p>
    <w:p w14:paraId="530BF30C">
      <w:pPr>
        <w:autoSpaceDE w:val="0"/>
        <w:autoSpaceDN w:val="0"/>
        <w:adjustRightInd w:val="0"/>
        <w:spacing w:line="560" w:lineRule="exact"/>
        <w:rPr>
          <w:rFonts w:hint="eastAsia" w:ascii="宋体" w:hAnsi="宋体" w:eastAsia="宋体" w:cs="^”˛"/>
          <w:color w:val="auto"/>
          <w:kern w:val="0"/>
          <w:sz w:val="32"/>
          <w:szCs w:val="32"/>
        </w:rPr>
      </w:pPr>
    </w:p>
    <w:p w14:paraId="0C77F1FF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color w:val="auto"/>
          <w:kern w:val="0"/>
          <w:sz w:val="28"/>
          <w:szCs w:val="28"/>
        </w:rPr>
        <w:t>根据</w:t>
      </w:r>
      <w:r>
        <w:rPr>
          <w:rFonts w:hint="eastAsia" w:ascii="宋体" w:hAnsi="宋体" w:eastAsia="宋体" w:cs="^”˛"/>
          <w:color w:val="auto"/>
          <w:kern w:val="0"/>
          <w:sz w:val="28"/>
          <w:szCs w:val="28"/>
          <w:lang w:val="en-US" w:eastAsia="zh-CN"/>
        </w:rPr>
        <w:t>教育部及学校</w:t>
      </w:r>
      <w:r>
        <w:rPr>
          <w:rFonts w:ascii="宋体" w:hAnsi="宋体" w:eastAsia="宋体" w:cs="^”˛"/>
          <w:color w:val="auto"/>
          <w:kern w:val="0"/>
          <w:sz w:val="28"/>
          <w:szCs w:val="28"/>
        </w:rPr>
        <w:t>《中国农业大学推荐优秀应届本科毕业生免试攻读研究生实施办法</w:t>
      </w:r>
      <w:r>
        <w:rPr>
          <w:rFonts w:hint="eastAsia" w:ascii="宋体" w:hAnsi="宋体" w:eastAsia="宋体" w:cs="^”˛"/>
          <w:color w:val="auto"/>
          <w:kern w:val="0"/>
          <w:sz w:val="28"/>
          <w:szCs w:val="28"/>
        </w:rPr>
        <w:t>（2</w:t>
      </w:r>
      <w:r>
        <w:rPr>
          <w:rFonts w:ascii="宋体" w:hAnsi="宋体" w:eastAsia="宋体" w:cs="^”˛"/>
          <w:color w:val="auto"/>
          <w:kern w:val="0"/>
          <w:sz w:val="28"/>
          <w:szCs w:val="28"/>
        </w:rPr>
        <w:t>020</w:t>
      </w:r>
      <w:r>
        <w:rPr>
          <w:rFonts w:hint="eastAsia" w:ascii="宋体" w:hAnsi="宋体" w:eastAsia="宋体" w:cs="^”˛"/>
          <w:color w:val="auto"/>
          <w:kern w:val="0"/>
          <w:sz w:val="28"/>
          <w:szCs w:val="28"/>
        </w:rPr>
        <w:t>年修订）</w:t>
      </w:r>
      <w:r>
        <w:rPr>
          <w:rFonts w:ascii="宋体" w:hAnsi="宋体" w:eastAsia="宋体" w:cs="^”˛"/>
          <w:color w:val="auto"/>
          <w:kern w:val="0"/>
          <w:sz w:val="28"/>
          <w:szCs w:val="28"/>
        </w:rPr>
        <w:t>》的有关</w:t>
      </w:r>
      <w:r>
        <w:rPr>
          <w:rFonts w:hint="eastAsia" w:ascii="宋体" w:hAnsi="宋体" w:eastAsia="宋体" w:cs="^”˛"/>
          <w:color w:val="auto"/>
          <w:kern w:val="0"/>
          <w:sz w:val="28"/>
          <w:szCs w:val="28"/>
          <w:lang w:val="en-US" w:eastAsia="zh-CN"/>
        </w:rPr>
        <w:t>推免工作</w:t>
      </w:r>
      <w:r>
        <w:rPr>
          <w:rFonts w:ascii="宋体" w:hAnsi="宋体" w:eastAsia="宋体" w:cs="^”˛"/>
          <w:color w:val="auto"/>
          <w:kern w:val="0"/>
          <w:sz w:val="28"/>
          <w:szCs w:val="28"/>
        </w:rPr>
        <w:t>要求，结合我院培养研究生的目标，树立培养</w:t>
      </w:r>
      <w:r>
        <w:rPr>
          <w:rFonts w:hint="eastAsia" w:ascii="宋体" w:hAnsi="宋体" w:eastAsia="宋体" w:cs="^”˛"/>
          <w:color w:val="auto"/>
          <w:kern w:val="0"/>
          <w:sz w:val="28"/>
          <w:szCs w:val="28"/>
        </w:rPr>
        <w:t>拔尖</w:t>
      </w:r>
      <w:r>
        <w:rPr>
          <w:rFonts w:ascii="宋体" w:hAnsi="宋体" w:eastAsia="宋体" w:cs="^”˛"/>
          <w:color w:val="auto"/>
          <w:kern w:val="0"/>
          <w:sz w:val="28"/>
          <w:szCs w:val="28"/>
        </w:rPr>
        <w:t>创新人才的理念</w:t>
      </w:r>
      <w:r>
        <w:rPr>
          <w:rFonts w:ascii="宋体" w:hAnsi="宋体" w:eastAsia="宋体" w:cs="^”˛"/>
          <w:kern w:val="0"/>
          <w:sz w:val="28"/>
          <w:szCs w:val="28"/>
        </w:rPr>
        <w:t>，全面考查、综合评价、择优选拔</w:t>
      </w:r>
      <w:r>
        <w:rPr>
          <w:rFonts w:hint="eastAsia" w:ascii="宋体" w:hAnsi="宋体" w:eastAsia="宋体" w:cs="^”˛"/>
          <w:kern w:val="0"/>
          <w:sz w:val="28"/>
          <w:szCs w:val="28"/>
        </w:rPr>
        <w:t>,</w:t>
      </w:r>
      <w:r>
        <w:rPr>
          <w:rFonts w:ascii="宋体" w:hAnsi="宋体" w:eastAsia="宋体" w:cs="^”˛"/>
          <w:kern w:val="0"/>
          <w:sz w:val="28"/>
          <w:szCs w:val="28"/>
        </w:rPr>
        <w:t>着力提高推免生选拔质量。坚持以德为先，德智体全面衡量，突出创新素质和能力考查。制定本工作细则：</w:t>
      </w:r>
    </w:p>
    <w:p w14:paraId="708B86EB">
      <w:pPr>
        <w:autoSpaceDE w:val="0"/>
        <w:autoSpaceDN w:val="0"/>
        <w:adjustRightInd w:val="0"/>
        <w:spacing w:line="560" w:lineRule="exact"/>
        <w:ind w:firstLine="643" w:firstLineChars="200"/>
        <w:rPr>
          <w:rFonts w:hint="eastAsia" w:ascii="宋体" w:hAnsi="宋体" w:eastAsia="宋体" w:cs="^”˛"/>
          <w:b/>
          <w:bCs/>
          <w:kern w:val="0"/>
          <w:sz w:val="32"/>
          <w:szCs w:val="32"/>
        </w:rPr>
      </w:pPr>
      <w:r>
        <w:rPr>
          <w:rFonts w:ascii="宋体" w:hAnsi="宋体" w:eastAsia="宋体" w:cs="^”˛"/>
          <w:b/>
          <w:bCs/>
          <w:kern w:val="0"/>
          <w:sz w:val="32"/>
          <w:szCs w:val="32"/>
        </w:rPr>
        <w:t>一、组织机构</w:t>
      </w:r>
    </w:p>
    <w:p w14:paraId="33C3E9EC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学院成立由院长、书记、分管教学工作的副院长、分管学生工作的副书记、分管本科教学的各系主任组成的工作小组。</w:t>
      </w:r>
    </w:p>
    <w:p w14:paraId="7DF1C2A5">
      <w:pPr>
        <w:autoSpaceDE w:val="0"/>
        <w:autoSpaceDN w:val="0"/>
        <w:adjustRightInd w:val="0"/>
        <w:spacing w:line="560" w:lineRule="exact"/>
        <w:ind w:firstLine="562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kern w:val="0"/>
          <w:sz w:val="28"/>
          <w:szCs w:val="28"/>
        </w:rPr>
        <w:t>组</w:t>
      </w:r>
      <w:r>
        <w:rPr>
          <w:rFonts w:hint="eastAsia" w:ascii="宋体" w:hAnsi="宋体" w:eastAsia="宋体" w:cs="^”˛"/>
          <w:b/>
          <w:bCs/>
          <w:kern w:val="0"/>
          <w:sz w:val="28"/>
          <w:szCs w:val="28"/>
        </w:rPr>
        <w:t xml:space="preserve">  </w:t>
      </w:r>
      <w:r>
        <w:rPr>
          <w:rFonts w:ascii="宋体" w:hAnsi="宋体" w:eastAsia="宋体" w:cs="^”˛"/>
          <w:b/>
          <w:bCs/>
          <w:kern w:val="0"/>
          <w:sz w:val="28"/>
          <w:szCs w:val="28"/>
        </w:rPr>
        <w:t>长</w:t>
      </w:r>
      <w:r>
        <w:rPr>
          <w:rFonts w:ascii="宋体" w:hAnsi="宋体" w:eastAsia="宋体" w:cs="^”˛"/>
          <w:kern w:val="0"/>
          <w:sz w:val="28"/>
          <w:szCs w:val="28"/>
        </w:rPr>
        <w:t>：</w:t>
      </w:r>
      <w:r>
        <w:rPr>
          <w:rFonts w:hint="eastAsia" w:ascii="宋体" w:hAnsi="宋体" w:eastAsia="宋体" w:cs="^”˛"/>
          <w:kern w:val="0"/>
          <w:sz w:val="28"/>
          <w:szCs w:val="28"/>
        </w:rPr>
        <w:t>张小兰 黄振翔</w:t>
      </w:r>
    </w:p>
    <w:p w14:paraId="3EC531D2">
      <w:pPr>
        <w:autoSpaceDE w:val="0"/>
        <w:autoSpaceDN w:val="0"/>
        <w:adjustRightInd w:val="0"/>
        <w:spacing w:line="560" w:lineRule="exact"/>
        <w:ind w:firstLine="562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kern w:val="0"/>
          <w:sz w:val="28"/>
          <w:szCs w:val="28"/>
        </w:rPr>
        <w:t>副组长</w:t>
      </w:r>
      <w:r>
        <w:rPr>
          <w:rFonts w:ascii="宋体" w:hAnsi="宋体" w:eastAsia="宋体" w:cs="^”˛"/>
          <w:kern w:val="0"/>
          <w:sz w:val="28"/>
          <w:szCs w:val="28"/>
        </w:rPr>
        <w:t>：</w:t>
      </w:r>
      <w:r>
        <w:rPr>
          <w:rFonts w:hint="eastAsia" w:ascii="宋体" w:hAnsi="宋体" w:eastAsia="宋体" w:cs="^”˛"/>
          <w:kern w:val="0"/>
          <w:sz w:val="28"/>
          <w:szCs w:val="28"/>
        </w:rPr>
        <w:t xml:space="preserve">田永强 </w:t>
      </w:r>
      <w:r>
        <w:rPr>
          <w:rFonts w:ascii="宋体" w:hAnsi="宋体" w:eastAsia="宋体" w:cs="^”˛"/>
          <w:kern w:val="0"/>
          <w:sz w:val="28"/>
          <w:szCs w:val="28"/>
        </w:rPr>
        <w:t>付国强</w:t>
      </w:r>
    </w:p>
    <w:p w14:paraId="2E152520">
      <w:pPr>
        <w:autoSpaceDE w:val="0"/>
        <w:autoSpaceDN w:val="0"/>
        <w:adjustRightInd w:val="0"/>
        <w:spacing w:line="560" w:lineRule="exact"/>
        <w:ind w:firstLine="562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kern w:val="0"/>
          <w:sz w:val="28"/>
          <w:szCs w:val="28"/>
        </w:rPr>
        <w:t>成</w:t>
      </w:r>
      <w:r>
        <w:rPr>
          <w:rFonts w:hint="eastAsia" w:ascii="宋体" w:hAnsi="宋体" w:eastAsia="宋体" w:cs="^”˛"/>
          <w:b/>
          <w:bCs/>
          <w:kern w:val="0"/>
          <w:sz w:val="28"/>
          <w:szCs w:val="28"/>
        </w:rPr>
        <w:t xml:space="preserve">  </w:t>
      </w:r>
      <w:r>
        <w:rPr>
          <w:rFonts w:ascii="宋体" w:hAnsi="宋体" w:eastAsia="宋体" w:cs="^”˛"/>
          <w:b/>
          <w:bCs/>
          <w:kern w:val="0"/>
          <w:sz w:val="28"/>
          <w:szCs w:val="28"/>
        </w:rPr>
        <w:t>员</w:t>
      </w:r>
      <w:r>
        <w:rPr>
          <w:rFonts w:ascii="宋体" w:hAnsi="宋体" w:eastAsia="宋体" w:cs="^”˛"/>
          <w:kern w:val="0"/>
          <w:sz w:val="28"/>
          <w:szCs w:val="28"/>
        </w:rPr>
        <w:t>：郑传林</w:t>
      </w:r>
      <w:r>
        <w:rPr>
          <w:rFonts w:hint="eastAsia" w:ascii="宋体" w:hAnsi="宋体" w:eastAsia="宋体" w:cs="^”˛"/>
          <w:kern w:val="0"/>
          <w:sz w:val="28"/>
          <w:szCs w:val="28"/>
        </w:rPr>
        <w:t xml:space="preserve"> 何俊娜 冯  旭</w:t>
      </w:r>
    </w:p>
    <w:p w14:paraId="7C3DFC50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工作小组具体负责资格审查及遴选等工作。</w:t>
      </w:r>
    </w:p>
    <w:p w14:paraId="71057209">
      <w:pPr>
        <w:autoSpaceDE w:val="0"/>
        <w:autoSpaceDN w:val="0"/>
        <w:adjustRightInd w:val="0"/>
        <w:spacing w:line="560" w:lineRule="exact"/>
        <w:ind w:firstLine="643" w:firstLineChars="200"/>
        <w:rPr>
          <w:rFonts w:hint="eastAsia" w:ascii="宋体" w:hAnsi="宋体" w:eastAsia="宋体" w:cs="^”˛"/>
          <w:b/>
          <w:bCs/>
          <w:kern w:val="0"/>
          <w:sz w:val="32"/>
          <w:szCs w:val="32"/>
        </w:rPr>
      </w:pPr>
      <w:r>
        <w:rPr>
          <w:rFonts w:ascii="宋体" w:hAnsi="宋体" w:eastAsia="宋体" w:cs="^”˛"/>
          <w:b/>
          <w:bCs/>
          <w:kern w:val="0"/>
          <w:sz w:val="32"/>
          <w:szCs w:val="32"/>
        </w:rPr>
        <w:t>二、推荐条件</w:t>
      </w:r>
    </w:p>
    <w:p w14:paraId="15D3BF0B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1.</w:t>
      </w:r>
      <w:r>
        <w:rPr>
          <w:rFonts w:hint="eastAsia" w:ascii="宋体" w:hAnsi="宋体" w:eastAsia="宋体" w:cs="^”˛"/>
          <w:kern w:val="0"/>
          <w:sz w:val="28"/>
          <w:szCs w:val="28"/>
          <w:lang w:eastAsia="zh-CN"/>
        </w:rPr>
        <w:t>思想行为测评</w:t>
      </w:r>
      <w:r>
        <w:rPr>
          <w:rFonts w:hint="eastAsia" w:ascii="宋体" w:hAnsi="宋体" w:eastAsia="宋体" w:cs="^”˛"/>
          <w:kern w:val="0"/>
          <w:sz w:val="28"/>
          <w:szCs w:val="28"/>
        </w:rPr>
        <w:t>成绩60分（含60分）以上。</w:t>
      </w:r>
    </w:p>
    <w:p w14:paraId="78F4AF8A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hint="eastAsia" w:ascii="宋体" w:hAnsi="宋体" w:eastAsia="宋体" w:cs="^”˛"/>
          <w:kern w:val="0"/>
          <w:sz w:val="28"/>
          <w:szCs w:val="28"/>
        </w:rPr>
        <w:t>2.尚</w:t>
      </w:r>
      <w:r>
        <w:rPr>
          <w:rFonts w:ascii="宋体" w:hAnsi="宋体" w:eastAsia="宋体" w:cs="^”˛"/>
          <w:kern w:val="0"/>
          <w:sz w:val="28"/>
          <w:szCs w:val="28"/>
        </w:rPr>
        <w:t>无不及格必修课。</w:t>
      </w:r>
    </w:p>
    <w:p w14:paraId="5DFF2D1A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hint="eastAsia" w:ascii="宋体" w:hAnsi="宋体" w:eastAsia="宋体" w:cs="^”˛"/>
          <w:kern w:val="0"/>
          <w:sz w:val="28"/>
          <w:szCs w:val="28"/>
        </w:rPr>
        <w:t>3</w:t>
      </w:r>
      <w:r>
        <w:rPr>
          <w:rFonts w:ascii="宋体" w:hAnsi="宋体" w:eastAsia="宋体" w:cs="^”˛"/>
          <w:kern w:val="0"/>
          <w:sz w:val="28"/>
          <w:szCs w:val="28"/>
        </w:rPr>
        <w:t>.前三学年总GPA不低于3.0。</w:t>
      </w:r>
    </w:p>
    <w:p w14:paraId="217234E9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hint="eastAsia" w:ascii="宋体" w:hAnsi="宋体" w:eastAsia="宋体" w:cs="^”˛"/>
          <w:kern w:val="0"/>
          <w:sz w:val="28"/>
          <w:szCs w:val="28"/>
        </w:rPr>
        <w:t>4</w:t>
      </w:r>
      <w:r>
        <w:rPr>
          <w:rFonts w:ascii="宋体" w:hAnsi="宋体" w:eastAsia="宋体" w:cs="^”˛"/>
          <w:kern w:val="0"/>
          <w:sz w:val="28"/>
          <w:szCs w:val="28"/>
        </w:rPr>
        <w:t>.前三学年总GPA排名列本专业前50％，综合测评列本班级前50％。（全部课程排名，排名方式不含有202</w:t>
      </w:r>
      <w:r>
        <w:rPr>
          <w:rFonts w:hint="eastAsia" w:ascii="宋体" w:hAnsi="宋体" w:eastAsia="宋体" w:cs="^”˛"/>
          <w:kern w:val="0"/>
          <w:sz w:val="28"/>
          <w:szCs w:val="28"/>
        </w:rPr>
        <w:t>6</w:t>
      </w:r>
      <w:r>
        <w:rPr>
          <w:rFonts w:ascii="宋体" w:hAnsi="宋体" w:eastAsia="宋体" w:cs="^”˛"/>
          <w:kern w:val="0"/>
          <w:sz w:val="28"/>
          <w:szCs w:val="28"/>
        </w:rPr>
        <w:t>年夏季学期成绩）</w:t>
      </w:r>
      <w:r>
        <w:rPr>
          <w:rFonts w:hint="eastAsia" w:ascii="宋体" w:hAnsi="宋体" w:eastAsia="宋体" w:cs="^”˛"/>
          <w:kern w:val="0"/>
          <w:sz w:val="28"/>
          <w:szCs w:val="28"/>
        </w:rPr>
        <w:t>。</w:t>
      </w:r>
    </w:p>
    <w:p w14:paraId="356488CA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hint="eastAsia" w:ascii="宋体" w:hAnsi="宋体" w:eastAsia="宋体" w:cs="^”˛"/>
          <w:kern w:val="0"/>
          <w:sz w:val="28"/>
          <w:szCs w:val="28"/>
        </w:rPr>
        <w:t>5</w:t>
      </w:r>
      <w:r>
        <w:rPr>
          <w:rFonts w:ascii="宋体" w:hAnsi="宋体" w:eastAsia="宋体" w:cs="^”˛"/>
          <w:kern w:val="0"/>
          <w:sz w:val="28"/>
          <w:szCs w:val="28"/>
        </w:rPr>
        <w:t>.外语成绩达到国家英语四级考试425分以上（外语语种为日语或俄语者，要求国家四级60分以上；英语专业要求通过专业四级）或全国外语水平考试（WSK）、托福考试、雅思考试达到同等水平。</w:t>
      </w:r>
    </w:p>
    <w:p w14:paraId="616267AE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6.</w:t>
      </w:r>
      <w:r>
        <w:rPr>
          <w:rFonts w:hint="eastAsia"/>
        </w:rPr>
        <w:t xml:space="preserve"> </w:t>
      </w:r>
      <w:r>
        <w:rPr>
          <w:rFonts w:hint="eastAsia" w:ascii="宋体" w:hAnsi="宋体" w:eastAsia="宋体" w:cs="^”˛"/>
          <w:kern w:val="0"/>
          <w:sz w:val="28"/>
          <w:szCs w:val="28"/>
        </w:rPr>
        <w:t>申请“工程硕博士专项”推荐类型的我院应届本科毕业生，应在规定时间内向我院提交推免申请表及相关证明材料，并按接收单位的招生通知要求提交招生报名材料。通过接收单位复试考核的学生，由我院按学院一般推免生推荐条件开展推荐资格审核。审核通过的，获拟推荐资格，其推免综合成绩按一般推免生遴选综合评价指标体系计算。审核不通过的，不予推荐。</w:t>
      </w:r>
    </w:p>
    <w:p w14:paraId="6CE0856C">
      <w:pPr>
        <w:autoSpaceDE w:val="0"/>
        <w:autoSpaceDN w:val="0"/>
        <w:adjustRightInd w:val="0"/>
        <w:spacing w:line="560" w:lineRule="exact"/>
        <w:ind w:firstLine="643" w:firstLineChars="200"/>
        <w:rPr>
          <w:rFonts w:hint="eastAsia" w:ascii="宋体" w:hAnsi="宋体" w:eastAsia="宋体" w:cs="^”˛"/>
          <w:b/>
          <w:bCs/>
          <w:kern w:val="0"/>
          <w:sz w:val="32"/>
          <w:szCs w:val="32"/>
        </w:rPr>
      </w:pPr>
      <w:r>
        <w:rPr>
          <w:rFonts w:ascii="宋体" w:hAnsi="宋体" w:eastAsia="宋体" w:cs="^”˛"/>
          <w:b/>
          <w:bCs/>
          <w:kern w:val="0"/>
          <w:sz w:val="32"/>
          <w:szCs w:val="32"/>
        </w:rPr>
        <w:t>三、名额分配</w:t>
      </w:r>
      <w:r>
        <w:rPr>
          <w:rFonts w:hint="eastAsia" w:ascii="宋体" w:hAnsi="宋体" w:eastAsia="宋体" w:cs="^”˛"/>
          <w:b/>
          <w:bCs/>
          <w:kern w:val="0"/>
          <w:sz w:val="32"/>
          <w:szCs w:val="32"/>
        </w:rPr>
        <w:t>、候补及同分排名规则</w:t>
      </w:r>
    </w:p>
    <w:p w14:paraId="7C6B6A7B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2027届各专业普通类推免生名额，依据学校下达至学院的名额总数，按各专业2027届本科毕业生人数占学院本届毕业生总人数的比例计算确定。</w:t>
      </w:r>
      <w:r>
        <w:rPr>
          <w:rFonts w:hint="eastAsia" w:ascii="宋体" w:hAnsi="宋体" w:eastAsia="宋体" w:cs="^”˛"/>
          <w:kern w:val="0"/>
          <w:sz w:val="28"/>
          <w:szCs w:val="28"/>
        </w:rPr>
        <w:t>候补学生顺序按照先园艺专业后园林专业依次交替排序，成绩由高到低。如总成绩相同，则按照总G</w:t>
      </w:r>
      <w:r>
        <w:rPr>
          <w:rFonts w:ascii="宋体" w:hAnsi="宋体" w:eastAsia="宋体" w:cs="^”˛"/>
          <w:kern w:val="0"/>
          <w:sz w:val="28"/>
          <w:szCs w:val="28"/>
        </w:rPr>
        <w:t>PA</w:t>
      </w:r>
      <w:r>
        <w:rPr>
          <w:rFonts w:hint="eastAsia" w:ascii="宋体" w:hAnsi="宋体" w:eastAsia="宋体" w:cs="^”˛"/>
          <w:kern w:val="0"/>
          <w:sz w:val="28"/>
          <w:szCs w:val="28"/>
        </w:rPr>
        <w:t>成绩由高到低排名。如总G</w:t>
      </w:r>
      <w:r>
        <w:rPr>
          <w:rFonts w:ascii="宋体" w:hAnsi="宋体" w:eastAsia="宋体" w:cs="^”˛"/>
          <w:kern w:val="0"/>
          <w:sz w:val="28"/>
          <w:szCs w:val="28"/>
        </w:rPr>
        <w:t>PA</w:t>
      </w:r>
      <w:r>
        <w:rPr>
          <w:rFonts w:hint="eastAsia" w:ascii="宋体" w:hAnsi="宋体" w:eastAsia="宋体" w:cs="^”˛"/>
          <w:kern w:val="0"/>
          <w:sz w:val="28"/>
          <w:szCs w:val="28"/>
        </w:rPr>
        <w:t>成绩相同，则按照必修课G</w:t>
      </w:r>
      <w:r>
        <w:rPr>
          <w:rFonts w:ascii="宋体" w:hAnsi="宋体" w:eastAsia="宋体" w:cs="^”˛"/>
          <w:kern w:val="0"/>
          <w:sz w:val="28"/>
          <w:szCs w:val="28"/>
        </w:rPr>
        <w:t>PA</w:t>
      </w:r>
      <w:r>
        <w:rPr>
          <w:rFonts w:hint="eastAsia" w:ascii="宋体" w:hAnsi="宋体" w:eastAsia="宋体" w:cs="^”˛"/>
          <w:kern w:val="0"/>
          <w:sz w:val="28"/>
          <w:szCs w:val="28"/>
        </w:rPr>
        <w:t>成绩由高到低排名。</w:t>
      </w:r>
    </w:p>
    <w:p w14:paraId="3FE0E067">
      <w:pPr>
        <w:autoSpaceDE w:val="0"/>
        <w:autoSpaceDN w:val="0"/>
        <w:adjustRightInd w:val="0"/>
        <w:spacing w:line="560" w:lineRule="exact"/>
        <w:ind w:firstLine="643" w:firstLineChars="200"/>
        <w:rPr>
          <w:rFonts w:hint="eastAsia" w:ascii="宋体" w:hAnsi="宋体" w:eastAsia="宋体" w:cs="^”˛"/>
          <w:b/>
          <w:bCs/>
          <w:kern w:val="0"/>
          <w:sz w:val="32"/>
          <w:szCs w:val="32"/>
        </w:rPr>
      </w:pPr>
      <w:r>
        <w:rPr>
          <w:rFonts w:ascii="宋体" w:hAnsi="宋体" w:eastAsia="宋体" w:cs="^”˛"/>
          <w:b/>
          <w:bCs/>
          <w:kern w:val="0"/>
          <w:sz w:val="32"/>
          <w:szCs w:val="32"/>
        </w:rPr>
        <w:t>四、考核方案</w:t>
      </w:r>
    </w:p>
    <w:p w14:paraId="310DA2AA">
      <w:pPr>
        <w:autoSpaceDE w:val="0"/>
        <w:autoSpaceDN w:val="0"/>
        <w:adjustRightInd w:val="0"/>
        <w:spacing w:line="560" w:lineRule="exact"/>
        <w:ind w:firstLine="562" w:firstLineChars="200"/>
        <w:rPr>
          <w:rFonts w:hint="eastAsia" w:ascii="宋体" w:hAnsi="宋体" w:eastAsia="宋体" w:cs="^”˛"/>
          <w:b/>
          <w:bCs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kern w:val="0"/>
          <w:sz w:val="28"/>
          <w:szCs w:val="28"/>
        </w:rPr>
        <w:t>1.总成绩构成</w:t>
      </w:r>
    </w:p>
    <w:p w14:paraId="73262607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由近3年总GPA成绩、科研创新综合能力考查、思想品德综合考核3部分组成，总GPA权重80%，科研创新综合能力权重15%，思想品德综合考核权重5%，满分共100分，按照总成绩择优录取。</w:t>
      </w:r>
    </w:p>
    <w:p w14:paraId="198DC552">
      <w:pPr>
        <w:autoSpaceDE w:val="0"/>
        <w:autoSpaceDN w:val="0"/>
        <w:adjustRightInd w:val="0"/>
        <w:spacing w:line="560" w:lineRule="exact"/>
        <w:ind w:firstLine="562" w:firstLineChars="200"/>
        <w:rPr>
          <w:rFonts w:hint="eastAsia" w:ascii="宋体" w:hAnsi="宋体" w:eastAsia="宋体" w:cs="^”˛"/>
          <w:b/>
          <w:bCs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kern w:val="0"/>
          <w:sz w:val="28"/>
          <w:szCs w:val="28"/>
        </w:rPr>
        <w:t>2.科研创新成绩构成</w:t>
      </w:r>
    </w:p>
    <w:p w14:paraId="6ED7881E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（1）在学术期刊发表或在线发表论文：以第一作者身份</w:t>
      </w:r>
      <w:r>
        <w:rPr>
          <w:rFonts w:hint="eastAsia" w:ascii="宋体" w:hAnsi="宋体" w:eastAsia="宋体" w:cs="^”˛"/>
          <w:kern w:val="0"/>
          <w:sz w:val="28"/>
          <w:szCs w:val="28"/>
        </w:rPr>
        <w:t>发表</w:t>
      </w:r>
      <w:r>
        <w:rPr>
          <w:rFonts w:ascii="宋体" w:hAnsi="宋体" w:eastAsia="宋体" w:cs="^”˛"/>
          <w:kern w:val="0"/>
          <w:sz w:val="28"/>
          <w:szCs w:val="28"/>
        </w:rPr>
        <w:t>SCI或EI收录期刊加100分，核心期刊加80分，其他加60分，非第一作者，按排名依次减10分，排名第五以后不再减分</w:t>
      </w:r>
      <w:r>
        <w:rPr>
          <w:rFonts w:hint="eastAsia" w:ascii="宋体" w:hAnsi="宋体" w:eastAsia="宋体" w:cs="^”˛"/>
          <w:kern w:val="0"/>
          <w:sz w:val="28"/>
          <w:szCs w:val="28"/>
        </w:rPr>
        <w:t>；获得发明专利授权教师排名第一（学生排名第二）的加100分，其他按排名顺序依次递减10分；获得实用新型专利（包括外观设计）、软件著作权教师排名第一（学生排名第二）加80分，其他按排名顺序依次递减10分。同一成果不重复计算，取最高分。上述成果中，论文第一及通讯单位、专利及软件著作权第一单位应为中国农业大学，否则不予加分。</w:t>
      </w:r>
    </w:p>
    <w:p w14:paraId="5D8DE2FA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（2）获国家级科技创新或设计一等奖</w:t>
      </w:r>
      <w:r>
        <w:rPr>
          <w:rFonts w:hint="eastAsia" w:ascii="宋体" w:hAnsi="宋体" w:eastAsia="宋体" w:cs="^”˛"/>
          <w:kern w:val="0"/>
          <w:sz w:val="28"/>
          <w:szCs w:val="28"/>
        </w:rPr>
        <w:t>及以上</w:t>
      </w:r>
      <w:r>
        <w:rPr>
          <w:rFonts w:ascii="宋体" w:hAnsi="宋体" w:eastAsia="宋体" w:cs="^”˛"/>
          <w:kern w:val="0"/>
          <w:sz w:val="28"/>
          <w:szCs w:val="28"/>
        </w:rPr>
        <w:t>加100分、二等奖加90分、三等奖加70分、鼓励奖加50分；获省部级科技创新或设计特等奖加100分、一等奖加80分、二等奖加70分、三等奖加60分、鼓励奖加40分；校级特等奖加80分、一等奖加70分、二等奖加60分、三等奖加50分、鼓励奖加30分；院级特等奖加70分、一等奖加60分、二等奖加50分、三等奖加40分、鼓励奖加20分。</w:t>
      </w:r>
      <w:r>
        <w:rPr>
          <w:rFonts w:hint="eastAsia" w:ascii="宋体" w:hAnsi="宋体" w:eastAsia="宋体" w:cs="^”˛"/>
          <w:kern w:val="0"/>
          <w:sz w:val="28"/>
          <w:szCs w:val="28"/>
        </w:rPr>
        <w:t>非第一获奖人，按排名依次减10分，排名第五以后不再减分。</w:t>
      </w:r>
      <w:r>
        <w:rPr>
          <w:rFonts w:ascii="宋体" w:hAnsi="宋体" w:eastAsia="宋体" w:cs="^”˛"/>
          <w:kern w:val="0"/>
          <w:sz w:val="28"/>
          <w:szCs w:val="28"/>
        </w:rPr>
        <w:t>若同一项目参加多个等级比赛，取最高成绩加分</w:t>
      </w:r>
      <w:r>
        <w:rPr>
          <w:rFonts w:hint="eastAsia" w:ascii="宋体" w:hAnsi="宋体" w:eastAsia="宋体" w:cs="^”˛"/>
          <w:kern w:val="0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^”˛"/>
          <w:color w:val="auto"/>
          <w:kern w:val="0"/>
          <w:sz w:val="28"/>
          <w:szCs w:val="28"/>
          <w:lang w:eastAsia="zh-CN"/>
        </w:rPr>
        <w:t>项目认定以系内审核为准。</w:t>
      </w:r>
    </w:p>
    <w:p w14:paraId="2749893B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（3）已结题并获得良及以上成绩，其中国家级大学生创业实践、创业训练或科研创新项目主持人加50分，北京市大学生科学研究与创业行动计划项目主持人加40分，校级URP主持人加30分。各类项目的参与者一项加10分，两项及以上加20分，结题考核为优秀的主持人另加20分，参与者另加10分。有多人参与的项目，主持人以项目负责导师出具的证明为准，且只能有一名主持人。如同一年度参加多项科研创新项目，只取加分最高的一项。</w:t>
      </w:r>
    </w:p>
    <w:p w14:paraId="4B22724D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（4）参加国家级有关学习方面的竞赛，一等奖</w:t>
      </w:r>
      <w:r>
        <w:rPr>
          <w:rFonts w:hint="eastAsia" w:ascii="宋体" w:hAnsi="宋体" w:eastAsia="宋体" w:cs="^”˛"/>
          <w:kern w:val="0"/>
          <w:sz w:val="28"/>
          <w:szCs w:val="28"/>
        </w:rPr>
        <w:t>及以上</w:t>
      </w:r>
      <w:r>
        <w:rPr>
          <w:rFonts w:ascii="宋体" w:hAnsi="宋体" w:eastAsia="宋体" w:cs="^”˛"/>
          <w:kern w:val="0"/>
          <w:sz w:val="28"/>
          <w:szCs w:val="28"/>
        </w:rPr>
        <w:t>加100分、二等奖加90分、三等奖加70分；参加省部级有关学习方面的竞赛，特等奖加100分、一等奖加80分、二等奖加70分、三等奖加60分；参加校级有关学习方面的竞赛，特等奖加80分、一等奖加70分、二等奖加60分、三等奖加50分；参加院级有关学习方面的竞赛，特等奖加70分、一等奖加60分、二等奖加50分、三等奖加40分。优秀奖加分为相应级别三等奖的一半。非第一获奖人，按排名依次减10分，排名第五以后不再减分。如多次参加同一竞赛，分别计分，可累加。大赛认定目录以本科生院发布的相关竞赛库为准。</w:t>
      </w:r>
    </w:p>
    <w:p w14:paraId="0387D3F6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科技创新总分累计不能超过100分，超过按100分计算。同一作品及项目不重复计算，取最高分，各项目加分以立项和获奖证书为准。</w:t>
      </w:r>
    </w:p>
    <w:p w14:paraId="0CDB2BA2">
      <w:pPr>
        <w:widowControl/>
        <w:jc w:val="left"/>
        <w:rPr>
          <w:rFonts w:hint="eastAsia" w:ascii="宋体" w:hAnsi="宋体" w:eastAsia="宋体" w:cs="^”˛"/>
          <w:b/>
          <w:bCs/>
          <w:kern w:val="0"/>
          <w:sz w:val="28"/>
          <w:szCs w:val="28"/>
        </w:rPr>
      </w:pPr>
      <w:r>
        <w:rPr>
          <w:rFonts w:hint="eastAsia" w:ascii="宋体" w:hAnsi="宋体" w:eastAsia="宋体" w:cs="^”˛"/>
          <w:b/>
          <w:bCs/>
          <w:kern w:val="0"/>
          <w:sz w:val="28"/>
          <w:szCs w:val="28"/>
          <w:lang w:eastAsia="zh-CN"/>
        </w:rPr>
        <w:t xml:space="preserve">    </w:t>
      </w:r>
      <w:r>
        <w:rPr>
          <w:rFonts w:ascii="宋体" w:hAnsi="宋体" w:eastAsia="宋体" w:cs="^”˛"/>
          <w:b/>
          <w:bCs/>
          <w:kern w:val="0"/>
          <w:sz w:val="28"/>
          <w:szCs w:val="28"/>
        </w:rPr>
        <w:t>3.</w:t>
      </w:r>
      <w:r>
        <w:rPr>
          <w:rFonts w:hint="default" w:ascii="宋体" w:hAnsi="宋体" w:eastAsia="宋体" w:cs="^”˛"/>
          <w:b/>
          <w:bCs/>
          <w:color w:val="auto"/>
          <w:kern w:val="0"/>
          <w:sz w:val="28"/>
          <w:szCs w:val="28"/>
          <w:lang w:val="en-US" w:eastAsia="zh-CN"/>
        </w:rPr>
        <w:t>思想品德素质</w:t>
      </w:r>
      <w:r>
        <w:rPr>
          <w:rFonts w:hint="eastAsia" w:ascii="宋体" w:hAnsi="宋体" w:eastAsia="宋体" w:cs="^”˛"/>
          <w:b/>
          <w:bCs/>
          <w:color w:val="auto"/>
          <w:kern w:val="0"/>
          <w:sz w:val="28"/>
          <w:szCs w:val="28"/>
          <w:lang w:val="en-US" w:eastAsia="zh-CN"/>
        </w:rPr>
        <w:t>考察</w:t>
      </w:r>
      <w:r>
        <w:rPr>
          <w:rFonts w:ascii="宋体" w:hAnsi="宋体" w:eastAsia="宋体" w:cs="^”˛"/>
          <w:b/>
          <w:bCs/>
          <w:kern w:val="0"/>
          <w:sz w:val="28"/>
          <w:szCs w:val="28"/>
        </w:rPr>
        <w:t>成绩构成</w:t>
      </w:r>
    </w:p>
    <w:p w14:paraId="4F25A038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（1）</w:t>
      </w:r>
      <w:r>
        <w:rPr>
          <w:rFonts w:hint="eastAsia" w:ascii="宋体" w:hAnsi="宋体" w:eastAsia="宋体" w:cs="^”˛"/>
          <w:kern w:val="0"/>
          <w:sz w:val="28"/>
          <w:szCs w:val="28"/>
        </w:rPr>
        <w:t>成绩构成</w:t>
      </w:r>
      <w:r>
        <w:rPr>
          <w:rFonts w:ascii="宋体" w:hAnsi="宋体" w:eastAsia="宋体" w:cs="^”˛"/>
          <w:kern w:val="0"/>
          <w:sz w:val="28"/>
          <w:szCs w:val="28"/>
        </w:rPr>
        <w:t>：思想行为测评、课外活动表现（不含科技创新部分）、</w:t>
      </w:r>
      <w:r>
        <w:rPr>
          <w:rFonts w:hint="eastAsia" w:ascii="宋体" w:hAnsi="宋体" w:eastAsia="宋体" w:cs="^”˛"/>
          <w:kern w:val="0"/>
          <w:sz w:val="28"/>
          <w:szCs w:val="28"/>
        </w:rPr>
        <w:t>奖惩赋</w:t>
      </w:r>
      <w:r>
        <w:rPr>
          <w:rFonts w:ascii="宋体" w:hAnsi="宋体" w:eastAsia="宋体" w:cs="^”˛"/>
          <w:kern w:val="0"/>
          <w:sz w:val="28"/>
          <w:szCs w:val="28"/>
        </w:rPr>
        <w:t>分。</w:t>
      </w:r>
    </w:p>
    <w:p w14:paraId="20A2CBD8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（2）</w:t>
      </w:r>
      <w:r>
        <w:rPr>
          <w:rFonts w:hint="eastAsia" w:ascii="宋体" w:hAnsi="宋体" w:eastAsia="宋体" w:cs="^”˛"/>
          <w:kern w:val="0"/>
          <w:sz w:val="28"/>
          <w:szCs w:val="28"/>
        </w:rPr>
        <w:t>打分规则</w:t>
      </w:r>
      <w:r>
        <w:rPr>
          <w:rFonts w:ascii="宋体" w:hAnsi="宋体" w:eastAsia="宋体" w:cs="^”˛"/>
          <w:kern w:val="0"/>
          <w:sz w:val="28"/>
          <w:szCs w:val="28"/>
        </w:rPr>
        <w:t>：以各项三年平均分按比例进行测算</w:t>
      </w:r>
      <w:r>
        <w:rPr>
          <w:rFonts w:hint="eastAsia" w:ascii="宋体" w:hAnsi="宋体" w:eastAsia="宋体" w:cs="^”˛"/>
          <w:kern w:val="0"/>
          <w:sz w:val="28"/>
          <w:szCs w:val="28"/>
        </w:rPr>
        <w:t>，</w:t>
      </w:r>
      <w:r>
        <w:rPr>
          <w:rFonts w:ascii="宋体" w:hAnsi="宋体" w:eastAsia="宋体" w:cs="^”˛"/>
          <w:kern w:val="0"/>
          <w:sz w:val="28"/>
          <w:szCs w:val="28"/>
        </w:rPr>
        <w:t>思想行为测评成绩占60%，课外活动表现（不含科技创新部分）占30%，</w:t>
      </w:r>
      <w:r>
        <w:rPr>
          <w:rFonts w:hint="eastAsia" w:ascii="宋体" w:hAnsi="宋体" w:eastAsia="宋体" w:cs="^”˛"/>
          <w:kern w:val="0"/>
          <w:sz w:val="28"/>
          <w:szCs w:val="28"/>
        </w:rPr>
        <w:t>奖惩赋分</w:t>
      </w:r>
      <w:r>
        <w:rPr>
          <w:rFonts w:ascii="宋体" w:hAnsi="宋体" w:eastAsia="宋体" w:cs="^”˛"/>
          <w:kern w:val="0"/>
          <w:sz w:val="28"/>
          <w:szCs w:val="28"/>
        </w:rPr>
        <w:t>（累计不超过100分）占10%。其中思想行为测评成绩需进行班级排名，</w:t>
      </w:r>
      <w:r>
        <w:rPr>
          <w:rFonts w:hint="eastAsia" w:ascii="宋体" w:hAnsi="宋体" w:eastAsia="宋体" w:cs="^”˛"/>
          <w:kern w:val="0"/>
          <w:sz w:val="28"/>
          <w:szCs w:val="28"/>
        </w:rPr>
        <w:t>思想行为测评成绩</w:t>
      </w:r>
      <w:r>
        <w:rPr>
          <w:rFonts w:ascii="宋体" w:hAnsi="宋体" w:eastAsia="宋体" w:cs="^”˛"/>
          <w:kern w:val="0"/>
          <w:sz w:val="28"/>
          <w:szCs w:val="28"/>
        </w:rPr>
        <w:t>60分（含60）以上为合格，60分以下为不合格，没有资格推荐推免生。班级排名前10%（含）的同学</w:t>
      </w:r>
      <w:r>
        <w:rPr>
          <w:rFonts w:hint="eastAsia" w:ascii="宋体" w:hAnsi="宋体" w:eastAsia="宋体" w:cs="^”˛"/>
          <w:kern w:val="0"/>
          <w:sz w:val="28"/>
          <w:szCs w:val="28"/>
        </w:rPr>
        <w:t>赋分</w:t>
      </w:r>
      <w:r>
        <w:rPr>
          <w:rFonts w:ascii="宋体" w:hAnsi="宋体" w:eastAsia="宋体" w:cs="^”˛"/>
          <w:kern w:val="0"/>
          <w:sz w:val="28"/>
          <w:szCs w:val="28"/>
        </w:rPr>
        <w:t>100分，排名10%-20%（含）的同学</w:t>
      </w:r>
      <w:r>
        <w:rPr>
          <w:rFonts w:hint="eastAsia" w:ascii="宋体" w:hAnsi="宋体" w:eastAsia="宋体" w:cs="^”˛"/>
          <w:kern w:val="0"/>
          <w:sz w:val="28"/>
          <w:szCs w:val="28"/>
        </w:rPr>
        <w:t>赋分</w:t>
      </w:r>
      <w:r>
        <w:rPr>
          <w:rFonts w:ascii="宋体" w:hAnsi="宋体" w:eastAsia="宋体" w:cs="^”˛"/>
          <w:kern w:val="0"/>
          <w:sz w:val="28"/>
          <w:szCs w:val="28"/>
        </w:rPr>
        <w:t>98分，公差为2，排名90%-100%（含）的同学</w:t>
      </w:r>
      <w:r>
        <w:rPr>
          <w:rFonts w:hint="eastAsia" w:ascii="宋体" w:hAnsi="宋体" w:eastAsia="宋体" w:cs="^”˛"/>
          <w:kern w:val="0"/>
          <w:sz w:val="28"/>
          <w:szCs w:val="28"/>
        </w:rPr>
        <w:t>赋分</w:t>
      </w:r>
      <w:r>
        <w:rPr>
          <w:rFonts w:ascii="宋体" w:hAnsi="宋体" w:eastAsia="宋体" w:cs="^”˛"/>
          <w:kern w:val="0"/>
          <w:sz w:val="28"/>
          <w:szCs w:val="28"/>
        </w:rPr>
        <w:t>82分。将</w:t>
      </w:r>
      <w:r>
        <w:rPr>
          <w:rFonts w:hint="eastAsia" w:ascii="宋体" w:hAnsi="宋体" w:eastAsia="宋体" w:cs="^”˛"/>
          <w:kern w:val="0"/>
          <w:sz w:val="28"/>
          <w:szCs w:val="28"/>
        </w:rPr>
        <w:t>各项三年平均分</w:t>
      </w:r>
      <w:r>
        <w:rPr>
          <w:rFonts w:ascii="宋体" w:hAnsi="宋体" w:eastAsia="宋体" w:cs="^”˛"/>
          <w:kern w:val="0"/>
          <w:sz w:val="28"/>
          <w:szCs w:val="28"/>
        </w:rPr>
        <w:t>按比例</w:t>
      </w:r>
      <w:r>
        <w:rPr>
          <w:rFonts w:hint="eastAsia" w:ascii="宋体" w:hAnsi="宋体" w:eastAsia="宋体" w:cs="^”˛"/>
          <w:kern w:val="0"/>
          <w:sz w:val="28"/>
          <w:szCs w:val="28"/>
        </w:rPr>
        <w:t>测算汇总后</w:t>
      </w:r>
      <w:r>
        <w:rPr>
          <w:rFonts w:ascii="宋体" w:hAnsi="宋体" w:eastAsia="宋体" w:cs="^”˛"/>
          <w:kern w:val="0"/>
          <w:sz w:val="28"/>
          <w:szCs w:val="28"/>
        </w:rPr>
        <w:t>的</w:t>
      </w:r>
      <w:r>
        <w:rPr>
          <w:rFonts w:hint="eastAsia" w:ascii="宋体" w:hAnsi="宋体" w:eastAsia="宋体" w:cs="^”˛"/>
          <w:kern w:val="0"/>
          <w:sz w:val="28"/>
          <w:szCs w:val="28"/>
        </w:rPr>
        <w:t>成绩乘以</w:t>
      </w:r>
      <w:r>
        <w:rPr>
          <w:rFonts w:ascii="宋体" w:hAnsi="宋体" w:eastAsia="宋体" w:cs="^”˛"/>
          <w:kern w:val="0"/>
          <w:sz w:val="28"/>
          <w:szCs w:val="28"/>
        </w:rPr>
        <w:t>5%为</w:t>
      </w:r>
      <w:r>
        <w:rPr>
          <w:rFonts w:hint="eastAsia" w:ascii="宋体" w:hAnsi="宋体" w:eastAsia="宋体" w:cs="^”˛"/>
          <w:kern w:val="0"/>
          <w:sz w:val="28"/>
          <w:szCs w:val="28"/>
        </w:rPr>
        <w:t>最终</w:t>
      </w:r>
      <w:bookmarkStart w:id="0" w:name="_GoBack"/>
      <w:r>
        <w:rPr>
          <w:rFonts w:hint="default" w:ascii="宋体" w:hAnsi="宋体" w:eastAsia="宋体" w:cs="^”˛"/>
          <w:b/>
          <w:bCs/>
          <w:color w:val="auto"/>
          <w:kern w:val="0"/>
          <w:sz w:val="28"/>
          <w:szCs w:val="28"/>
          <w:lang w:val="en-US" w:eastAsia="zh-CN"/>
        </w:rPr>
        <w:t>思想品德素质</w:t>
      </w:r>
      <w:r>
        <w:rPr>
          <w:rFonts w:hint="eastAsia" w:ascii="宋体" w:hAnsi="宋体" w:eastAsia="宋体" w:cs="^”˛"/>
          <w:b/>
          <w:bCs/>
          <w:color w:val="auto"/>
          <w:kern w:val="0"/>
          <w:sz w:val="28"/>
          <w:szCs w:val="28"/>
          <w:lang w:val="en-US" w:eastAsia="zh-CN"/>
        </w:rPr>
        <w:t>考察</w:t>
      </w:r>
      <w:r>
        <w:rPr>
          <w:rFonts w:hint="eastAsia" w:ascii="宋体" w:hAnsi="宋体" w:eastAsia="宋体" w:cs="^”˛"/>
          <w:color w:val="auto"/>
          <w:kern w:val="0"/>
          <w:sz w:val="28"/>
          <w:szCs w:val="28"/>
        </w:rPr>
        <w:t>成</w:t>
      </w:r>
      <w:bookmarkEnd w:id="0"/>
      <w:r>
        <w:rPr>
          <w:rFonts w:hint="eastAsia" w:ascii="宋体" w:hAnsi="宋体" w:eastAsia="宋体" w:cs="^”˛"/>
          <w:kern w:val="0"/>
          <w:sz w:val="28"/>
          <w:szCs w:val="28"/>
        </w:rPr>
        <w:t>绩，并计入总成绩</w:t>
      </w:r>
      <w:r>
        <w:rPr>
          <w:rFonts w:ascii="宋体" w:hAnsi="宋体" w:eastAsia="宋体" w:cs="^”˛"/>
          <w:kern w:val="0"/>
          <w:sz w:val="28"/>
          <w:szCs w:val="28"/>
        </w:rPr>
        <w:t>。</w:t>
      </w:r>
    </w:p>
    <w:p w14:paraId="678701C4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拟推荐名单经公示无异议后上报学校本科生院。</w:t>
      </w:r>
    </w:p>
    <w:p w14:paraId="40C7AA2C">
      <w:pPr>
        <w:widowControl/>
        <w:autoSpaceDE w:val="0"/>
        <w:autoSpaceDN w:val="0"/>
        <w:adjustRightInd w:val="0"/>
        <w:spacing w:line="560" w:lineRule="exact"/>
        <w:ind w:firstLine="643" w:firstLineChars="200"/>
        <w:jc w:val="left"/>
        <w:rPr>
          <w:rFonts w:hint="eastAsia" w:ascii="宋体" w:hAnsi="宋体" w:eastAsia="宋体" w:cs="^”˛"/>
          <w:b/>
          <w:bCs/>
          <w:kern w:val="0"/>
          <w:sz w:val="32"/>
          <w:szCs w:val="32"/>
          <w:lang w:bidi="ar"/>
        </w:rPr>
      </w:pPr>
      <w:r>
        <w:rPr>
          <w:rFonts w:ascii="宋体" w:hAnsi="宋体" w:eastAsia="宋体" w:cs="^”˛"/>
          <w:b/>
          <w:bCs/>
          <w:kern w:val="0"/>
          <w:sz w:val="32"/>
          <w:szCs w:val="32"/>
          <w:lang w:bidi="ar"/>
        </w:rPr>
        <w:t>五、其它</w:t>
      </w:r>
    </w:p>
    <w:p w14:paraId="2FA0CAD6">
      <w:pPr>
        <w:widowControl/>
        <w:autoSpaceDE w:val="0"/>
        <w:autoSpaceDN w:val="0"/>
        <w:adjustRightInd w:val="0"/>
        <w:spacing w:line="560" w:lineRule="exact"/>
        <w:ind w:firstLine="560" w:firstLineChars="200"/>
        <w:jc w:val="left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  <w:lang w:bidi="ar"/>
        </w:rPr>
        <w:t>如遇上级推免政策有新的调整，将按照上级的最新政策执行。</w:t>
      </w:r>
    </w:p>
    <w:p w14:paraId="415BACF8">
      <w:pPr>
        <w:autoSpaceDE w:val="0"/>
        <w:autoSpaceDN w:val="0"/>
        <w:adjustRightInd w:val="0"/>
        <w:spacing w:line="560" w:lineRule="exact"/>
        <w:ind w:firstLine="560" w:firstLineChars="200"/>
        <w:rPr>
          <w:rFonts w:hint="eastAsia" w:ascii="宋体" w:hAnsi="宋体" w:eastAsia="宋体" w:cs="^”˛"/>
          <w:kern w:val="0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本细则最终解释权归“园艺学院推荐优秀应届本科毕业生免试攻读研究生工作小组”所有。</w:t>
      </w:r>
    </w:p>
    <w:p w14:paraId="75078E17">
      <w:pPr>
        <w:wordWrap w:val="0"/>
        <w:autoSpaceDE w:val="0"/>
        <w:autoSpaceDN w:val="0"/>
        <w:adjustRightInd w:val="0"/>
        <w:spacing w:line="560" w:lineRule="exact"/>
        <w:jc w:val="right"/>
        <w:rPr>
          <w:rFonts w:hint="eastAsia" w:ascii="宋体" w:hAnsi="宋体" w:eastAsia="宋体" w:cs="^”˛"/>
          <w:b/>
          <w:bCs/>
          <w:kern w:val="0"/>
          <w:sz w:val="28"/>
          <w:szCs w:val="28"/>
        </w:rPr>
      </w:pPr>
      <w:r>
        <w:rPr>
          <w:rFonts w:ascii="宋体" w:hAnsi="宋体" w:eastAsia="宋体" w:cs="^”˛"/>
          <w:b w:val="0"/>
          <w:bCs w:val="0"/>
          <w:kern w:val="0"/>
          <w:sz w:val="28"/>
          <w:szCs w:val="28"/>
        </w:rPr>
        <w:t>园艺学院</w:t>
      </w:r>
      <w:r>
        <w:rPr>
          <w:rFonts w:hint="eastAsia" w:ascii="宋体" w:hAnsi="宋体" w:eastAsia="宋体" w:cs="^”˛"/>
          <w:b w:val="0"/>
          <w:bCs w:val="0"/>
          <w:kern w:val="0"/>
          <w:sz w:val="28"/>
          <w:szCs w:val="28"/>
        </w:rPr>
        <w:t xml:space="preserve"> </w:t>
      </w:r>
      <w:r>
        <w:rPr>
          <w:rFonts w:ascii="宋体" w:hAnsi="宋体" w:eastAsia="宋体" w:cs="^”˛"/>
          <w:b/>
          <w:bCs/>
          <w:kern w:val="0"/>
          <w:sz w:val="28"/>
          <w:szCs w:val="28"/>
        </w:rPr>
        <w:t xml:space="preserve">    </w:t>
      </w:r>
    </w:p>
    <w:p w14:paraId="3DE30D0E">
      <w:pPr>
        <w:spacing w:line="560" w:lineRule="exact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 w:cs="^”˛"/>
          <w:kern w:val="0"/>
          <w:sz w:val="28"/>
          <w:szCs w:val="28"/>
        </w:rPr>
        <w:t>202</w:t>
      </w:r>
      <w:r>
        <w:rPr>
          <w:rFonts w:hint="eastAsia" w:ascii="宋体" w:hAnsi="宋体" w:eastAsia="宋体" w:cs="^”˛"/>
          <w:kern w:val="0"/>
          <w:sz w:val="28"/>
          <w:szCs w:val="28"/>
        </w:rPr>
        <w:t>6</w:t>
      </w:r>
      <w:r>
        <w:rPr>
          <w:rFonts w:ascii="宋体" w:hAnsi="宋体" w:eastAsia="宋体" w:cs="^”˛"/>
          <w:kern w:val="0"/>
          <w:sz w:val="28"/>
          <w:szCs w:val="28"/>
        </w:rPr>
        <w:t>年</w:t>
      </w:r>
      <w:r>
        <w:rPr>
          <w:rFonts w:hint="eastAsia" w:ascii="宋体" w:hAnsi="宋体" w:eastAsia="宋体" w:cs="^”˛"/>
          <w:kern w:val="0"/>
          <w:sz w:val="28"/>
          <w:szCs w:val="28"/>
        </w:rPr>
        <w:t>8</w:t>
      </w:r>
      <w:r>
        <w:rPr>
          <w:rFonts w:ascii="宋体" w:hAnsi="宋体" w:eastAsia="宋体" w:cs="^”˛"/>
          <w:kern w:val="0"/>
          <w:sz w:val="28"/>
          <w:szCs w:val="28"/>
        </w:rPr>
        <w:t>月</w:t>
      </w:r>
      <w:r>
        <w:rPr>
          <w:rFonts w:hint="eastAsia" w:ascii="宋体" w:hAnsi="宋体" w:eastAsia="宋体" w:cs="^”˛"/>
          <w:kern w:val="0"/>
          <w:sz w:val="28"/>
          <w:szCs w:val="28"/>
        </w:rPr>
        <w:t>2</w:t>
      </w:r>
      <w:r>
        <w:rPr>
          <w:rFonts w:hint="eastAsia" w:ascii="宋体" w:hAnsi="宋体" w:eastAsia="宋体" w:cs="^”˛"/>
          <w:kern w:val="0"/>
          <w:sz w:val="28"/>
          <w:szCs w:val="28"/>
          <w:lang w:val="en-US" w:eastAsia="zh-CN"/>
        </w:rPr>
        <w:t>5</w:t>
      </w:r>
      <w:r>
        <w:rPr>
          <w:rFonts w:ascii="宋体" w:hAnsi="宋体" w:eastAsia="宋体" w:cs="^”˛"/>
          <w:kern w:val="0"/>
          <w:sz w:val="28"/>
          <w:szCs w:val="28"/>
        </w:rPr>
        <w:t>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^”˛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CB0902"/>
    <w:rsid w:val="31EB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unhideWhenUsed/>
    <w:qFormat/>
    <w:uiPriority w:val="99"/>
    <w:rPr>
      <w:b/>
      <w:bCs/>
    </w:r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3">
    <w:name w:val="批注文字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6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5">
    <w:name w:val="批注框文本 字符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IGDB</Company>
  <Pages>4</Pages>
  <Words>2217</Words>
  <Characters>2374</Characters>
  <Lines>17</Lines>
  <Paragraphs>4</Paragraphs>
  <TotalTime>2</TotalTime>
  <ScaleCrop>false</ScaleCrop>
  <LinksUpToDate>false</LinksUpToDate>
  <CharactersWithSpaces>2394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2025-08-06T02:16:00Z</dcterms:created>
  <dc:creator>zliu</dc:creator>
  <cp:lastModifiedBy>代代</cp:lastModifiedBy>
  <cp:lastPrinted>2024-09-06T10:33:00Z</cp:lastPrinted>
  <dcterms:modified xsi:type="dcterms:W3CDTF">2026-08-26T00:43:05Z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ECFE57D485AF48078993FAEF5CF36345_13</vt:lpwstr>
  </property>
  <property fmtid="{D5CDD505-2E9C-101B-9397-08002B2CF9AE}" pid="4" name="KSOTemplateDocerSaveRecord">
    <vt:lpwstr>eyJoZGlkIjoiNjM0NTgzYTgxNGVjYjQ3NTI1NjllMmNjYmY0ODU1ZDYiLCJ1c2VySWQiOiIxMjg3NDg3OTMwIn0=</vt:lpwstr>
  </property>
</Properties>
</file>