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jc w:val="center"/>
        <w:rPr>
          <w:rFonts w:ascii="黑体" w:hAnsi="黑体" w:eastAsia="黑体" w:cs="^”˛"/>
          <w:b/>
          <w:bCs/>
          <w:color w:val="3D3D3D"/>
          <w:kern w:val="0"/>
          <w:sz w:val="36"/>
          <w:szCs w:val="36"/>
        </w:rPr>
      </w:pPr>
      <w:r>
        <w:rPr>
          <w:rFonts w:ascii="黑体" w:hAnsi="黑体" w:eastAsia="黑体" w:cs="^”˛"/>
          <w:b/>
          <w:bCs/>
          <w:color w:val="3D3D3D"/>
          <w:kern w:val="0"/>
          <w:sz w:val="36"/>
          <w:szCs w:val="36"/>
        </w:rPr>
        <w:t>园艺学院推荐</w:t>
      </w:r>
      <w:r>
        <w:rPr>
          <w:rFonts w:hint="eastAsia" w:ascii="黑体" w:hAnsi="黑体" w:eastAsia="黑体" w:cs="^”˛"/>
          <w:b/>
          <w:bCs/>
          <w:color w:val="3D3D3D"/>
          <w:kern w:val="0"/>
          <w:sz w:val="36"/>
          <w:szCs w:val="36"/>
        </w:rPr>
        <w:t>优秀</w:t>
      </w:r>
      <w:r>
        <w:rPr>
          <w:rFonts w:ascii="黑体" w:hAnsi="黑体" w:eastAsia="黑体" w:cs="^”˛"/>
          <w:b/>
          <w:bCs/>
          <w:color w:val="3D3D3D"/>
          <w:kern w:val="0"/>
          <w:sz w:val="36"/>
          <w:szCs w:val="36"/>
        </w:rPr>
        <w:t>2024 届本科</w:t>
      </w:r>
      <w:r>
        <w:rPr>
          <w:rFonts w:hint="eastAsia" w:ascii="黑体" w:hAnsi="黑体" w:eastAsia="黑体" w:cs="^”˛"/>
          <w:b/>
          <w:bCs/>
          <w:color w:val="3D3D3D"/>
          <w:kern w:val="0"/>
          <w:sz w:val="36"/>
          <w:szCs w:val="36"/>
        </w:rPr>
        <w:t>毕业</w:t>
      </w:r>
      <w:r>
        <w:rPr>
          <w:rFonts w:ascii="黑体" w:hAnsi="黑体" w:eastAsia="黑体" w:cs="^”˛"/>
          <w:b/>
          <w:bCs/>
          <w:color w:val="3D3D3D"/>
          <w:kern w:val="0"/>
          <w:sz w:val="36"/>
          <w:szCs w:val="36"/>
        </w:rPr>
        <w:t>生普通类免试</w:t>
      </w:r>
      <w:r>
        <w:rPr>
          <w:rFonts w:hint="eastAsia" w:ascii="黑体" w:hAnsi="黑体" w:eastAsia="黑体" w:cs="^”˛"/>
          <w:b/>
          <w:bCs/>
          <w:color w:val="3D3D3D"/>
          <w:kern w:val="0"/>
          <w:sz w:val="36"/>
          <w:szCs w:val="36"/>
        </w:rPr>
        <w:t>攻读</w:t>
      </w:r>
      <w:r>
        <w:rPr>
          <w:rFonts w:ascii="黑体" w:hAnsi="黑体" w:eastAsia="黑体" w:cs="^”˛"/>
          <w:b/>
          <w:bCs/>
          <w:color w:val="3D3D3D"/>
          <w:kern w:val="0"/>
          <w:sz w:val="36"/>
          <w:szCs w:val="36"/>
        </w:rPr>
        <w:t>研究生工作细则</w:t>
      </w:r>
    </w:p>
    <w:p>
      <w:pPr>
        <w:autoSpaceDE w:val="0"/>
        <w:autoSpaceDN w:val="0"/>
        <w:adjustRightInd w:val="0"/>
        <w:rPr>
          <w:rFonts w:ascii="宋体" w:hAnsi="宋体" w:eastAsia="宋体" w:cs="^”˛"/>
          <w:color w:val="000000"/>
          <w:kern w:val="0"/>
          <w:sz w:val="32"/>
          <w:szCs w:val="32"/>
        </w:rPr>
      </w:pPr>
    </w:p>
    <w:p>
      <w:pPr>
        <w:autoSpaceDE w:val="0"/>
        <w:autoSpaceDN w:val="0"/>
        <w:adjustRightInd w:val="0"/>
        <w:ind w:firstLine="420"/>
        <w:rPr>
          <w:rFonts w:ascii="宋体" w:hAnsi="宋体" w:eastAsia="宋体" w:cs="^”˛"/>
          <w:color w:val="000000"/>
          <w:kern w:val="0"/>
          <w:sz w:val="28"/>
          <w:szCs w:val="28"/>
        </w:rPr>
      </w:pPr>
      <w:r>
        <w:rPr>
          <w:rFonts w:ascii="宋体" w:hAnsi="宋体" w:eastAsia="宋体" w:cs="^”˛"/>
          <w:color w:val="000000"/>
          <w:kern w:val="0"/>
          <w:sz w:val="28"/>
          <w:szCs w:val="28"/>
        </w:rPr>
        <w:t>根据《中国农业大学推荐优秀应届本科毕业生免试攻读研究生实施办法</w:t>
      </w:r>
      <w:r>
        <w:rPr>
          <w:rFonts w:hint="eastAsia" w:ascii="宋体" w:hAnsi="宋体" w:eastAsia="宋体" w:cs="^”˛"/>
          <w:color w:val="000000"/>
          <w:kern w:val="0"/>
          <w:sz w:val="28"/>
          <w:szCs w:val="28"/>
        </w:rPr>
        <w:t>（2</w:t>
      </w:r>
      <w:r>
        <w:rPr>
          <w:rFonts w:ascii="宋体" w:hAnsi="宋体" w:eastAsia="宋体" w:cs="^”˛"/>
          <w:color w:val="000000"/>
          <w:kern w:val="0"/>
          <w:sz w:val="28"/>
          <w:szCs w:val="28"/>
        </w:rPr>
        <w:t>020</w:t>
      </w:r>
      <w:r>
        <w:rPr>
          <w:rFonts w:hint="eastAsia" w:ascii="宋体" w:hAnsi="宋体" w:eastAsia="宋体" w:cs="^”˛"/>
          <w:color w:val="000000"/>
          <w:kern w:val="0"/>
          <w:sz w:val="28"/>
          <w:szCs w:val="28"/>
        </w:rPr>
        <w:t>年修订）</w:t>
      </w:r>
      <w:r>
        <w:rPr>
          <w:rFonts w:ascii="宋体" w:hAnsi="宋体" w:eastAsia="宋体" w:cs="^”˛"/>
          <w:color w:val="000000"/>
          <w:kern w:val="0"/>
          <w:sz w:val="28"/>
          <w:szCs w:val="28"/>
        </w:rPr>
        <w:t>》的有关要求，结合我院培养研究生的目标，树立培养拨尖创新人才的理念，全面考查、综合评价、择优选拔,着力提高推免生选拔质量。坚持以德为先，德智体全面衡量，突出创新素质和能力考查。制定本工作细则：</w:t>
      </w:r>
    </w:p>
    <w:p>
      <w:pPr>
        <w:autoSpaceDE w:val="0"/>
        <w:autoSpaceDN w:val="0"/>
        <w:adjustRightInd w:val="0"/>
        <w:rPr>
          <w:rFonts w:ascii="宋体" w:hAnsi="宋体" w:eastAsia="宋体" w:cs="^”˛"/>
          <w:b/>
          <w:bCs/>
          <w:color w:val="000000"/>
          <w:kern w:val="0"/>
          <w:sz w:val="32"/>
          <w:szCs w:val="32"/>
        </w:rPr>
      </w:pPr>
      <w:r>
        <w:rPr>
          <w:rFonts w:ascii="宋体" w:hAnsi="宋体" w:eastAsia="宋体" w:cs="^”˛"/>
          <w:b/>
          <w:bCs/>
          <w:color w:val="000000"/>
          <w:kern w:val="0"/>
          <w:sz w:val="32"/>
          <w:szCs w:val="32"/>
        </w:rPr>
        <w:t>一、组织机构</w:t>
      </w:r>
    </w:p>
    <w:p>
      <w:pPr>
        <w:autoSpaceDE w:val="0"/>
        <w:autoSpaceDN w:val="0"/>
        <w:adjustRightInd w:val="0"/>
        <w:ind w:firstLine="420"/>
        <w:rPr>
          <w:rFonts w:ascii="宋体" w:hAnsi="宋体" w:eastAsia="宋体" w:cs="^”˛"/>
          <w:color w:val="000000"/>
          <w:kern w:val="0"/>
          <w:sz w:val="28"/>
          <w:szCs w:val="28"/>
        </w:rPr>
      </w:pPr>
      <w:r>
        <w:rPr>
          <w:rFonts w:ascii="宋体" w:hAnsi="宋体" w:eastAsia="宋体" w:cs="^”˛"/>
          <w:color w:val="000000"/>
          <w:kern w:val="0"/>
          <w:sz w:val="28"/>
          <w:szCs w:val="28"/>
        </w:rPr>
        <w:t>学院成立由院长、书记、分管教学工作的副院长、分管学生工作的副书记、分管本科教学的各系主任组成的工作小组。</w:t>
      </w:r>
    </w:p>
    <w:p>
      <w:pPr>
        <w:autoSpaceDE w:val="0"/>
        <w:autoSpaceDN w:val="0"/>
        <w:adjustRightInd w:val="0"/>
        <w:ind w:firstLine="420"/>
        <w:rPr>
          <w:rFonts w:ascii="宋体" w:hAnsi="宋体" w:eastAsia="宋体" w:cs="^”˛"/>
          <w:color w:val="000000"/>
          <w:kern w:val="0"/>
          <w:sz w:val="28"/>
          <w:szCs w:val="28"/>
        </w:rPr>
      </w:pPr>
      <w:r>
        <w:rPr>
          <w:rFonts w:ascii="宋体" w:hAnsi="宋体" w:eastAsia="宋体" w:cs="^”˛"/>
          <w:b/>
          <w:bCs/>
          <w:color w:val="000000"/>
          <w:kern w:val="0"/>
          <w:sz w:val="28"/>
          <w:szCs w:val="28"/>
        </w:rPr>
        <w:t>组长</w:t>
      </w:r>
      <w:r>
        <w:rPr>
          <w:rFonts w:ascii="宋体" w:hAnsi="宋体" w:eastAsia="宋体" w:cs="^”˛"/>
          <w:color w:val="000000"/>
          <w:kern w:val="0"/>
          <w:sz w:val="28"/>
          <w:szCs w:val="28"/>
        </w:rPr>
        <w:t>：李天红</w:t>
      </w:r>
      <w:r>
        <w:rPr>
          <w:rFonts w:hint="eastAsia" w:ascii="宋体" w:hAnsi="宋体" w:eastAsia="宋体" w:cs="^”˛"/>
          <w:color w:val="000000"/>
          <w:kern w:val="0"/>
          <w:sz w:val="28"/>
          <w:szCs w:val="28"/>
        </w:rPr>
        <w:t xml:space="preserve"> </w:t>
      </w:r>
    </w:p>
    <w:p>
      <w:pPr>
        <w:autoSpaceDE w:val="0"/>
        <w:autoSpaceDN w:val="0"/>
        <w:adjustRightInd w:val="0"/>
        <w:ind w:firstLine="420"/>
        <w:rPr>
          <w:rFonts w:ascii="宋体" w:hAnsi="宋体" w:eastAsia="宋体" w:cs="^”˛"/>
          <w:color w:val="000000"/>
          <w:kern w:val="0"/>
          <w:sz w:val="28"/>
          <w:szCs w:val="28"/>
        </w:rPr>
      </w:pPr>
      <w:r>
        <w:rPr>
          <w:rFonts w:ascii="宋体" w:hAnsi="宋体" w:eastAsia="宋体" w:cs="^”˛"/>
          <w:b/>
          <w:bCs/>
          <w:color w:val="000000"/>
          <w:kern w:val="0"/>
          <w:sz w:val="28"/>
          <w:szCs w:val="28"/>
        </w:rPr>
        <w:t>副组长</w:t>
      </w:r>
      <w:r>
        <w:rPr>
          <w:rFonts w:ascii="宋体" w:hAnsi="宋体" w:eastAsia="宋体" w:cs="^”˛"/>
          <w:color w:val="000000"/>
          <w:kern w:val="0"/>
          <w:sz w:val="28"/>
          <w:szCs w:val="28"/>
        </w:rPr>
        <w:t>：张小兰</w:t>
      </w:r>
      <w:r>
        <w:rPr>
          <w:rFonts w:hint="eastAsia" w:ascii="宋体" w:hAnsi="宋体" w:eastAsia="宋体" w:cs="^”˛"/>
          <w:color w:val="000000"/>
          <w:kern w:val="0"/>
          <w:sz w:val="28"/>
          <w:szCs w:val="28"/>
        </w:rPr>
        <w:t xml:space="preserve"> </w:t>
      </w:r>
      <w:r>
        <w:rPr>
          <w:rFonts w:ascii="宋体" w:hAnsi="宋体" w:eastAsia="宋体" w:cs="^”˛"/>
          <w:color w:val="000000"/>
          <w:kern w:val="0"/>
          <w:sz w:val="28"/>
          <w:szCs w:val="28"/>
        </w:rPr>
        <w:t>付国强</w:t>
      </w:r>
    </w:p>
    <w:p>
      <w:pPr>
        <w:autoSpaceDE w:val="0"/>
        <w:autoSpaceDN w:val="0"/>
        <w:adjustRightInd w:val="0"/>
        <w:ind w:firstLine="420"/>
        <w:rPr>
          <w:rFonts w:ascii="宋体" w:hAnsi="宋体" w:eastAsia="宋体" w:cs="^”˛"/>
          <w:color w:val="000000"/>
          <w:kern w:val="0"/>
          <w:sz w:val="28"/>
          <w:szCs w:val="28"/>
        </w:rPr>
      </w:pPr>
      <w:r>
        <w:rPr>
          <w:rFonts w:ascii="宋体" w:hAnsi="宋体" w:eastAsia="宋体" w:cs="^”˛"/>
          <w:b/>
          <w:bCs/>
          <w:color w:val="000000"/>
          <w:kern w:val="0"/>
          <w:sz w:val="28"/>
          <w:szCs w:val="28"/>
        </w:rPr>
        <w:t>成员</w:t>
      </w:r>
      <w:r>
        <w:rPr>
          <w:rFonts w:ascii="宋体" w:hAnsi="宋体" w:eastAsia="宋体" w:cs="^”˛"/>
          <w:color w:val="000000"/>
          <w:kern w:val="0"/>
          <w:sz w:val="28"/>
          <w:szCs w:val="28"/>
        </w:rPr>
        <w:t>：郑传林</w:t>
      </w:r>
      <w:r>
        <w:rPr>
          <w:rFonts w:hint="eastAsia" w:ascii="宋体" w:hAnsi="宋体" w:eastAsia="宋体" w:cs="^”˛"/>
          <w:color w:val="000000"/>
          <w:kern w:val="0"/>
          <w:sz w:val="28"/>
          <w:szCs w:val="28"/>
        </w:rPr>
        <w:t xml:space="preserve"> </w:t>
      </w:r>
      <w:r>
        <w:rPr>
          <w:rFonts w:ascii="宋体" w:hAnsi="宋体" w:eastAsia="宋体" w:cs="^”˛"/>
          <w:color w:val="000000"/>
          <w:kern w:val="0"/>
          <w:sz w:val="28"/>
          <w:szCs w:val="28"/>
        </w:rPr>
        <w:t>田永强</w:t>
      </w:r>
      <w:r>
        <w:rPr>
          <w:rFonts w:hint="eastAsia" w:ascii="宋体" w:hAnsi="宋体" w:eastAsia="宋体" w:cs="^”˛"/>
          <w:color w:val="000000"/>
          <w:kern w:val="0"/>
          <w:sz w:val="28"/>
          <w:szCs w:val="28"/>
        </w:rPr>
        <w:t xml:space="preserve"> 何俊娜 冯旭</w:t>
      </w:r>
    </w:p>
    <w:p>
      <w:pPr>
        <w:autoSpaceDE w:val="0"/>
        <w:autoSpaceDN w:val="0"/>
        <w:adjustRightInd w:val="0"/>
        <w:ind w:firstLine="420"/>
        <w:rPr>
          <w:rFonts w:ascii="宋体" w:hAnsi="宋体" w:eastAsia="宋体" w:cs="^”˛"/>
          <w:color w:val="000000"/>
          <w:kern w:val="0"/>
          <w:sz w:val="28"/>
          <w:szCs w:val="28"/>
        </w:rPr>
      </w:pPr>
      <w:r>
        <w:rPr>
          <w:rFonts w:ascii="宋体" w:hAnsi="宋体" w:eastAsia="宋体" w:cs="^”˛"/>
          <w:color w:val="000000"/>
          <w:kern w:val="0"/>
          <w:sz w:val="28"/>
          <w:szCs w:val="28"/>
        </w:rPr>
        <w:t>工作小组具体负责资格审查及遴选等工作。</w:t>
      </w:r>
    </w:p>
    <w:p>
      <w:pPr>
        <w:autoSpaceDE w:val="0"/>
        <w:autoSpaceDN w:val="0"/>
        <w:adjustRightInd w:val="0"/>
        <w:rPr>
          <w:rFonts w:ascii="宋体" w:hAnsi="宋体" w:eastAsia="宋体" w:cs="^”˛"/>
          <w:b/>
          <w:bCs/>
          <w:color w:val="000000"/>
          <w:kern w:val="0"/>
          <w:sz w:val="32"/>
          <w:szCs w:val="32"/>
        </w:rPr>
      </w:pPr>
      <w:r>
        <w:rPr>
          <w:rFonts w:ascii="宋体" w:hAnsi="宋体" w:eastAsia="宋体" w:cs="^”˛"/>
          <w:b/>
          <w:bCs/>
          <w:color w:val="000000"/>
          <w:kern w:val="0"/>
          <w:sz w:val="32"/>
          <w:szCs w:val="32"/>
        </w:rPr>
        <w:t>二、推荐条件</w:t>
      </w:r>
    </w:p>
    <w:p>
      <w:pPr>
        <w:autoSpaceDE w:val="0"/>
        <w:autoSpaceDN w:val="0"/>
        <w:adjustRightInd w:val="0"/>
        <w:ind w:firstLine="420"/>
        <w:rPr>
          <w:rFonts w:ascii="宋体" w:hAnsi="宋体" w:eastAsia="宋体" w:cs="^”˛"/>
          <w:color w:val="000000"/>
          <w:kern w:val="0"/>
          <w:sz w:val="28"/>
          <w:szCs w:val="28"/>
        </w:rPr>
      </w:pPr>
      <w:r>
        <w:rPr>
          <w:rFonts w:ascii="宋体" w:hAnsi="宋体" w:eastAsia="宋体" w:cs="^”˛"/>
          <w:color w:val="000000"/>
          <w:kern w:val="0"/>
          <w:sz w:val="28"/>
          <w:szCs w:val="28"/>
        </w:rPr>
        <w:t>1.无不及格必修课。</w:t>
      </w:r>
    </w:p>
    <w:p>
      <w:pPr>
        <w:autoSpaceDE w:val="0"/>
        <w:autoSpaceDN w:val="0"/>
        <w:adjustRightInd w:val="0"/>
        <w:ind w:firstLine="420"/>
        <w:rPr>
          <w:rFonts w:ascii="宋体" w:hAnsi="宋体" w:eastAsia="宋体" w:cs="^”˛"/>
          <w:color w:val="000000"/>
          <w:kern w:val="0"/>
          <w:sz w:val="28"/>
          <w:szCs w:val="28"/>
        </w:rPr>
      </w:pPr>
      <w:r>
        <w:rPr>
          <w:rFonts w:ascii="宋体" w:hAnsi="宋体" w:eastAsia="宋体" w:cs="^”˛"/>
          <w:color w:val="000000"/>
          <w:kern w:val="0"/>
          <w:sz w:val="28"/>
          <w:szCs w:val="28"/>
        </w:rPr>
        <w:t>2.前三学年总GPA不低于3.0。</w:t>
      </w:r>
    </w:p>
    <w:p>
      <w:pPr>
        <w:autoSpaceDE w:val="0"/>
        <w:autoSpaceDN w:val="0"/>
        <w:adjustRightInd w:val="0"/>
        <w:ind w:left="420" w:leftChars="200"/>
        <w:rPr>
          <w:rFonts w:ascii="宋体" w:hAnsi="宋体" w:eastAsia="宋体" w:cs="^”˛"/>
          <w:color w:val="000000"/>
          <w:kern w:val="0"/>
          <w:sz w:val="28"/>
          <w:szCs w:val="28"/>
        </w:rPr>
      </w:pPr>
      <w:r>
        <w:rPr>
          <w:rFonts w:ascii="宋体" w:hAnsi="宋体" w:eastAsia="宋体" w:cs="^”˛"/>
          <w:color w:val="000000"/>
          <w:kern w:val="0"/>
          <w:sz w:val="28"/>
          <w:szCs w:val="28"/>
        </w:rPr>
        <w:t>3.前三学年总GPA排名列本专业前50％，综合测评列本班级前50％。（全部课程排名，排名方式不含有2023年夏季学期成绩）</w:t>
      </w:r>
      <w:r>
        <w:rPr>
          <w:rFonts w:hint="eastAsia" w:ascii="宋体" w:hAnsi="宋体" w:eastAsia="宋体" w:cs="^”˛"/>
          <w:color w:val="000000"/>
          <w:kern w:val="0"/>
          <w:sz w:val="28"/>
          <w:szCs w:val="28"/>
        </w:rPr>
        <w:t>。</w:t>
      </w:r>
    </w:p>
    <w:p>
      <w:pPr>
        <w:autoSpaceDE w:val="0"/>
        <w:autoSpaceDN w:val="0"/>
        <w:adjustRightInd w:val="0"/>
        <w:ind w:firstLine="420"/>
        <w:rPr>
          <w:rFonts w:ascii="宋体" w:hAnsi="宋体" w:eastAsia="宋体" w:cs="^”˛"/>
          <w:color w:val="000000"/>
          <w:kern w:val="0"/>
          <w:sz w:val="28"/>
          <w:szCs w:val="28"/>
        </w:rPr>
      </w:pPr>
      <w:r>
        <w:rPr>
          <w:rFonts w:ascii="宋体" w:hAnsi="宋体" w:eastAsia="宋体" w:cs="^”˛"/>
          <w:color w:val="000000"/>
          <w:kern w:val="0"/>
          <w:sz w:val="28"/>
          <w:szCs w:val="28"/>
        </w:rPr>
        <w:t>4.外语成绩达到国家英语四级考试425分以上（外语语种为日语或俄语者，要求国家四级60分以上；英语专业要求通过专业四级）或全国外语水平考试（WSK）、托福考试、雅思考试达到同等水平。</w:t>
      </w:r>
    </w:p>
    <w:p>
      <w:pPr>
        <w:autoSpaceDE w:val="0"/>
        <w:autoSpaceDN w:val="0"/>
        <w:adjustRightInd w:val="0"/>
        <w:rPr>
          <w:rFonts w:ascii="宋体" w:hAnsi="宋体" w:eastAsia="宋体" w:cs="^”˛"/>
          <w:b/>
          <w:bCs/>
          <w:kern w:val="0"/>
          <w:sz w:val="32"/>
          <w:szCs w:val="32"/>
        </w:rPr>
      </w:pPr>
      <w:r>
        <w:rPr>
          <w:rFonts w:ascii="宋体" w:hAnsi="宋体" w:eastAsia="宋体" w:cs="^”˛"/>
          <w:b/>
          <w:bCs/>
          <w:color w:val="000000"/>
          <w:kern w:val="0"/>
          <w:sz w:val="32"/>
          <w:szCs w:val="32"/>
        </w:rPr>
        <w:t>三、名额分配</w:t>
      </w:r>
      <w:r>
        <w:rPr>
          <w:rFonts w:hint="eastAsia" w:ascii="宋体" w:hAnsi="宋体" w:eastAsia="宋体" w:cs="^”˛"/>
          <w:b/>
          <w:bCs/>
          <w:color w:val="000000"/>
          <w:kern w:val="0"/>
          <w:sz w:val="32"/>
          <w:szCs w:val="32"/>
        </w:rPr>
        <w:t>、</w:t>
      </w:r>
      <w:r>
        <w:rPr>
          <w:rFonts w:hint="eastAsia" w:ascii="宋体" w:hAnsi="宋体" w:eastAsia="宋体" w:cs="^”˛"/>
          <w:b/>
          <w:bCs/>
          <w:kern w:val="0"/>
          <w:sz w:val="32"/>
          <w:szCs w:val="32"/>
        </w:rPr>
        <w:t>候补及同分排名规则</w:t>
      </w:r>
    </w:p>
    <w:p>
      <w:pPr>
        <w:autoSpaceDE w:val="0"/>
        <w:autoSpaceDN w:val="0"/>
        <w:adjustRightInd w:val="0"/>
        <w:ind w:firstLine="420"/>
        <w:rPr>
          <w:rFonts w:ascii="宋体" w:hAnsi="宋体" w:eastAsia="宋体" w:cs="^”˛"/>
          <w:color w:val="000000"/>
          <w:kern w:val="0"/>
          <w:sz w:val="28"/>
          <w:szCs w:val="28"/>
        </w:rPr>
      </w:pPr>
      <w:r>
        <w:rPr>
          <w:rFonts w:ascii="宋体" w:hAnsi="宋体" w:eastAsia="宋体" w:cs="^”˛"/>
          <w:color w:val="000000"/>
          <w:kern w:val="0"/>
          <w:sz w:val="28"/>
          <w:szCs w:val="28"/>
        </w:rPr>
        <w:t>2024届园艺学院各专业普通</w:t>
      </w:r>
      <w:r>
        <w:rPr>
          <w:rFonts w:hint="eastAsia" w:ascii="宋体" w:hAnsi="宋体" w:eastAsia="宋体" w:cs="^”˛"/>
          <w:color w:val="000000"/>
          <w:kern w:val="0"/>
          <w:sz w:val="28"/>
          <w:szCs w:val="28"/>
        </w:rPr>
        <w:t>类</w:t>
      </w:r>
      <w:r>
        <w:rPr>
          <w:rFonts w:ascii="宋体" w:hAnsi="宋体" w:eastAsia="宋体" w:cs="^”˛"/>
          <w:color w:val="000000"/>
          <w:kern w:val="0"/>
          <w:sz w:val="28"/>
          <w:szCs w:val="28"/>
        </w:rPr>
        <w:t>推免生名额分配（按学校分配名额/2024届本科毕业生总人数*各专业总人数来计算）。</w:t>
      </w:r>
      <w:r>
        <w:rPr>
          <w:rFonts w:hint="eastAsia" w:ascii="宋体" w:hAnsi="宋体" w:eastAsia="宋体" w:cs="^”˛"/>
          <w:color w:val="000000"/>
          <w:kern w:val="0"/>
          <w:sz w:val="28"/>
          <w:szCs w:val="28"/>
        </w:rPr>
        <w:t>候补顺序按照园艺和园林专业学生依次排序，成绩由高到低。如总G</w:t>
      </w:r>
      <w:r>
        <w:rPr>
          <w:rFonts w:ascii="宋体" w:hAnsi="宋体" w:eastAsia="宋体" w:cs="^”˛"/>
          <w:color w:val="000000"/>
          <w:kern w:val="0"/>
          <w:sz w:val="28"/>
          <w:szCs w:val="28"/>
        </w:rPr>
        <w:t>PA</w:t>
      </w:r>
      <w:r>
        <w:rPr>
          <w:rFonts w:hint="eastAsia" w:ascii="宋体" w:hAnsi="宋体" w:eastAsia="宋体" w:cs="^”˛"/>
          <w:color w:val="000000"/>
          <w:kern w:val="0"/>
          <w:sz w:val="28"/>
          <w:szCs w:val="28"/>
        </w:rPr>
        <w:t>相同，则按照必修课G</w:t>
      </w:r>
      <w:r>
        <w:rPr>
          <w:rFonts w:ascii="宋体" w:hAnsi="宋体" w:eastAsia="宋体" w:cs="^”˛"/>
          <w:color w:val="000000"/>
          <w:kern w:val="0"/>
          <w:sz w:val="28"/>
          <w:szCs w:val="28"/>
        </w:rPr>
        <w:t>PA</w:t>
      </w:r>
      <w:r>
        <w:rPr>
          <w:rFonts w:hint="eastAsia" w:ascii="宋体" w:hAnsi="宋体" w:eastAsia="宋体" w:cs="^”˛"/>
          <w:color w:val="000000"/>
          <w:kern w:val="0"/>
          <w:sz w:val="28"/>
          <w:szCs w:val="28"/>
        </w:rPr>
        <w:t>成绩由高到低排名。</w:t>
      </w:r>
    </w:p>
    <w:p>
      <w:pPr>
        <w:autoSpaceDE w:val="0"/>
        <w:autoSpaceDN w:val="0"/>
        <w:adjustRightInd w:val="0"/>
        <w:rPr>
          <w:rFonts w:ascii="宋体" w:hAnsi="宋体" w:eastAsia="宋体" w:cs="^”˛"/>
          <w:b/>
          <w:bCs/>
          <w:color w:val="000000"/>
          <w:kern w:val="0"/>
          <w:sz w:val="32"/>
          <w:szCs w:val="32"/>
        </w:rPr>
      </w:pPr>
      <w:r>
        <w:rPr>
          <w:rFonts w:ascii="宋体" w:hAnsi="宋体" w:eastAsia="宋体" w:cs="^”˛"/>
          <w:b/>
          <w:bCs/>
          <w:color w:val="000000"/>
          <w:kern w:val="0"/>
          <w:sz w:val="32"/>
          <w:szCs w:val="32"/>
        </w:rPr>
        <w:t>四、考核方案</w:t>
      </w:r>
    </w:p>
    <w:p>
      <w:pPr>
        <w:autoSpaceDE w:val="0"/>
        <w:autoSpaceDN w:val="0"/>
        <w:adjustRightInd w:val="0"/>
        <w:ind w:firstLine="420"/>
        <w:rPr>
          <w:rFonts w:ascii="宋体" w:hAnsi="宋体" w:eastAsia="宋体" w:cs="^”˛"/>
          <w:b/>
          <w:bCs/>
          <w:color w:val="000000"/>
          <w:kern w:val="0"/>
          <w:sz w:val="28"/>
          <w:szCs w:val="28"/>
        </w:rPr>
      </w:pPr>
      <w:r>
        <w:rPr>
          <w:rFonts w:ascii="宋体" w:hAnsi="宋体" w:eastAsia="宋体" w:cs="^”˛"/>
          <w:b/>
          <w:bCs/>
          <w:color w:val="000000"/>
          <w:kern w:val="0"/>
          <w:sz w:val="28"/>
          <w:szCs w:val="28"/>
        </w:rPr>
        <w:t>1.总成绩构成</w:t>
      </w:r>
    </w:p>
    <w:p>
      <w:pPr>
        <w:autoSpaceDE w:val="0"/>
        <w:autoSpaceDN w:val="0"/>
        <w:adjustRightInd w:val="0"/>
        <w:ind w:firstLine="420"/>
        <w:rPr>
          <w:rFonts w:ascii="宋体" w:hAnsi="宋体" w:eastAsia="宋体" w:cs="^”˛"/>
          <w:color w:val="000000"/>
          <w:kern w:val="0"/>
          <w:sz w:val="28"/>
          <w:szCs w:val="28"/>
        </w:rPr>
      </w:pPr>
      <w:r>
        <w:rPr>
          <w:rFonts w:ascii="宋体" w:hAnsi="宋体" w:eastAsia="宋体" w:cs="^”˛"/>
          <w:color w:val="000000"/>
          <w:kern w:val="0"/>
          <w:sz w:val="28"/>
          <w:szCs w:val="28"/>
        </w:rPr>
        <w:t>由近3年总GPA成绩、科研创新综合能力考查、思想品德综合考核3部分组成，总GPA权重80%，科研创新综合能力权重15%，思想品德综合考核权重5%，满分共100分，按照总成绩择优录取。</w:t>
      </w:r>
    </w:p>
    <w:p>
      <w:pPr>
        <w:autoSpaceDE w:val="0"/>
        <w:autoSpaceDN w:val="0"/>
        <w:adjustRightInd w:val="0"/>
        <w:ind w:firstLine="420"/>
        <w:rPr>
          <w:rFonts w:ascii="宋体" w:hAnsi="宋体" w:eastAsia="宋体" w:cs="^”˛"/>
          <w:b/>
          <w:bCs/>
          <w:color w:val="000000"/>
          <w:kern w:val="0"/>
          <w:sz w:val="28"/>
          <w:szCs w:val="28"/>
        </w:rPr>
      </w:pPr>
      <w:bookmarkStart w:id="0" w:name="_GoBack"/>
      <w:r>
        <w:rPr>
          <w:rFonts w:ascii="宋体" w:hAnsi="宋体" w:eastAsia="宋体" w:cs="^”˛"/>
          <w:b/>
          <w:bCs/>
          <w:color w:val="000000"/>
          <w:kern w:val="0"/>
          <w:sz w:val="28"/>
          <w:szCs w:val="28"/>
        </w:rPr>
        <w:t>2.科研创新成绩构成</w:t>
      </w:r>
    </w:p>
    <w:p>
      <w:pPr>
        <w:autoSpaceDE w:val="0"/>
        <w:autoSpaceDN w:val="0"/>
        <w:adjustRightInd w:val="0"/>
        <w:ind w:firstLine="420"/>
        <w:rPr>
          <w:rFonts w:hint="default" w:ascii="宋体" w:hAnsi="宋体" w:eastAsia="宋体" w:cs="^”˛"/>
          <w:color w:val="000000"/>
          <w:kern w:val="0"/>
          <w:sz w:val="28"/>
          <w:szCs w:val="28"/>
          <w:lang w:val="en-US" w:eastAsia="zh-CN"/>
        </w:rPr>
      </w:pPr>
      <w:r>
        <w:rPr>
          <w:rFonts w:ascii="宋体" w:hAnsi="宋体" w:eastAsia="宋体" w:cs="^”˛"/>
          <w:color w:val="000000"/>
          <w:kern w:val="0"/>
          <w:sz w:val="28"/>
          <w:szCs w:val="28"/>
        </w:rPr>
        <w:t>（1）在学术期刊发表或在线发表论文：以第一作者身份</w:t>
      </w:r>
      <w:r>
        <w:rPr>
          <w:rFonts w:hint="eastAsia" w:ascii="宋体" w:hAnsi="宋体" w:eastAsia="宋体" w:cs="^”˛"/>
          <w:color w:val="000000"/>
          <w:kern w:val="0"/>
          <w:sz w:val="28"/>
          <w:szCs w:val="28"/>
          <w:lang w:val="en-US" w:eastAsia="zh-CN"/>
        </w:rPr>
        <w:t>发表</w:t>
      </w:r>
      <w:r>
        <w:rPr>
          <w:rFonts w:ascii="宋体" w:hAnsi="宋体" w:eastAsia="宋体" w:cs="^”˛"/>
          <w:color w:val="000000"/>
          <w:kern w:val="0"/>
          <w:sz w:val="28"/>
          <w:szCs w:val="28"/>
        </w:rPr>
        <w:t>SCI或EI收录期刊加100分，核心期刊加80分，其他加60分，非第一作者，按排名依次减10分，排名第五以后不再减分</w:t>
      </w:r>
      <w:r>
        <w:rPr>
          <w:rFonts w:hint="eastAsia" w:ascii="宋体" w:hAnsi="宋体" w:eastAsia="宋体" w:cs="^”˛"/>
          <w:color w:val="000000"/>
          <w:kern w:val="0"/>
          <w:sz w:val="28"/>
          <w:szCs w:val="28"/>
          <w:lang w:eastAsia="zh-CN"/>
        </w:rPr>
        <w:t>；获得发明专利授权教师排名第一（学生排名第二）的加</w:t>
      </w:r>
      <w:r>
        <w:rPr>
          <w:rFonts w:hint="eastAsia" w:ascii="宋体" w:hAnsi="宋体" w:eastAsia="宋体" w:cs="^”˛"/>
          <w:color w:val="000000"/>
          <w:kern w:val="0"/>
          <w:sz w:val="28"/>
          <w:szCs w:val="28"/>
          <w:lang w:val="en-US" w:eastAsia="zh-CN"/>
        </w:rPr>
        <w:t>100</w:t>
      </w:r>
      <w:r>
        <w:rPr>
          <w:rFonts w:hint="eastAsia" w:ascii="宋体" w:hAnsi="宋体" w:eastAsia="宋体" w:cs="^”˛"/>
          <w:color w:val="000000"/>
          <w:kern w:val="0"/>
          <w:sz w:val="28"/>
          <w:szCs w:val="28"/>
          <w:lang w:eastAsia="zh-CN"/>
        </w:rPr>
        <w:t>分，其他按排名顺序依次递减</w:t>
      </w:r>
      <w:r>
        <w:rPr>
          <w:rFonts w:hint="eastAsia" w:ascii="宋体" w:hAnsi="宋体" w:eastAsia="宋体" w:cs="^”˛"/>
          <w:color w:val="000000"/>
          <w:kern w:val="0"/>
          <w:sz w:val="28"/>
          <w:szCs w:val="28"/>
          <w:lang w:val="en-US" w:eastAsia="zh-CN"/>
        </w:rPr>
        <w:t>10</w:t>
      </w:r>
      <w:r>
        <w:rPr>
          <w:rFonts w:hint="eastAsia" w:ascii="宋体" w:hAnsi="宋体" w:eastAsia="宋体" w:cs="^”˛"/>
          <w:color w:val="000000"/>
          <w:kern w:val="0"/>
          <w:sz w:val="28"/>
          <w:szCs w:val="28"/>
          <w:lang w:eastAsia="zh-CN"/>
        </w:rPr>
        <w:t>分；获得实用新型专利（包括外观设计）、软件著作权教师排名第一（学生排名第二）加</w:t>
      </w:r>
      <w:r>
        <w:rPr>
          <w:rFonts w:hint="eastAsia" w:ascii="宋体" w:hAnsi="宋体" w:eastAsia="宋体" w:cs="^”˛"/>
          <w:color w:val="000000"/>
          <w:kern w:val="0"/>
          <w:sz w:val="28"/>
          <w:szCs w:val="28"/>
          <w:lang w:val="en-US" w:eastAsia="zh-CN"/>
        </w:rPr>
        <w:t>80</w:t>
      </w:r>
      <w:r>
        <w:rPr>
          <w:rFonts w:hint="eastAsia" w:ascii="宋体" w:hAnsi="宋体" w:eastAsia="宋体" w:cs="^”˛"/>
          <w:color w:val="000000"/>
          <w:kern w:val="0"/>
          <w:sz w:val="28"/>
          <w:szCs w:val="28"/>
          <w:lang w:eastAsia="zh-CN"/>
        </w:rPr>
        <w:t>分，其他按排名顺序依次递减1</w:t>
      </w:r>
      <w:r>
        <w:rPr>
          <w:rFonts w:hint="eastAsia" w:ascii="宋体" w:hAnsi="宋体" w:eastAsia="宋体" w:cs="^”˛"/>
          <w:color w:val="000000"/>
          <w:kern w:val="0"/>
          <w:sz w:val="28"/>
          <w:szCs w:val="28"/>
          <w:lang w:val="en-US" w:eastAsia="zh-CN"/>
        </w:rPr>
        <w:t>0</w:t>
      </w:r>
      <w:r>
        <w:rPr>
          <w:rFonts w:hint="eastAsia" w:ascii="宋体" w:hAnsi="宋体" w:eastAsia="宋体" w:cs="^”˛"/>
          <w:color w:val="000000"/>
          <w:kern w:val="0"/>
          <w:sz w:val="28"/>
          <w:szCs w:val="28"/>
          <w:lang w:eastAsia="zh-CN"/>
        </w:rPr>
        <w:t>分。</w:t>
      </w:r>
      <w:r>
        <w:rPr>
          <w:rFonts w:hint="eastAsia" w:ascii="宋体" w:hAnsi="宋体" w:eastAsia="宋体" w:cs="^”˛"/>
          <w:color w:val="000000"/>
          <w:kern w:val="0"/>
          <w:sz w:val="28"/>
          <w:szCs w:val="28"/>
          <w:lang w:val="en-US" w:eastAsia="zh-CN"/>
        </w:rPr>
        <w:t>同一成果不重复计算，取最高分。上述成果中，论文第一及通讯单位、专利及软件著作权第一单位应为中国农业大学，否则不予加分。</w:t>
      </w:r>
    </w:p>
    <w:bookmarkEnd w:id="0"/>
    <w:p>
      <w:pPr>
        <w:autoSpaceDE w:val="0"/>
        <w:autoSpaceDN w:val="0"/>
        <w:adjustRightInd w:val="0"/>
        <w:ind w:firstLine="420"/>
        <w:rPr>
          <w:rFonts w:ascii="宋体" w:hAnsi="宋体" w:eastAsia="宋体" w:cs="^”˛"/>
          <w:color w:val="000000"/>
          <w:kern w:val="0"/>
          <w:sz w:val="28"/>
          <w:szCs w:val="28"/>
        </w:rPr>
      </w:pPr>
      <w:r>
        <w:rPr>
          <w:rFonts w:ascii="宋体" w:hAnsi="宋体" w:eastAsia="宋体" w:cs="^”˛"/>
          <w:color w:val="000000"/>
          <w:kern w:val="0"/>
          <w:sz w:val="28"/>
          <w:szCs w:val="28"/>
        </w:rPr>
        <w:t>（2）获国家级科技创新或设计特等奖和一等奖加100分、二等奖加90分、三等奖加70分、鼓励奖加50分；获省部级科技创新或设计特等奖加100分、一等奖加80分、二等奖加70分、三等奖加60分、鼓励奖加40分；校级特等奖加80分、一等奖加70分、二等奖加60分、三等奖加50分、鼓励奖加30分；院级特等奖加70分、一等奖加60分、二等奖加50分、三等奖加40分、鼓励奖加20分；参与者加10分。若同一项目参加多个等级比赛，取最高成绩加分。</w:t>
      </w:r>
    </w:p>
    <w:p>
      <w:pPr>
        <w:autoSpaceDE w:val="0"/>
        <w:autoSpaceDN w:val="0"/>
        <w:adjustRightInd w:val="0"/>
        <w:ind w:firstLine="420"/>
        <w:rPr>
          <w:rFonts w:ascii="宋体" w:hAnsi="宋体" w:eastAsia="宋体" w:cs="^”˛"/>
          <w:color w:val="000000"/>
          <w:kern w:val="0"/>
          <w:sz w:val="28"/>
          <w:szCs w:val="28"/>
        </w:rPr>
      </w:pPr>
      <w:r>
        <w:rPr>
          <w:rFonts w:ascii="宋体" w:hAnsi="宋体" w:eastAsia="宋体" w:cs="^”˛"/>
          <w:color w:val="000000"/>
          <w:kern w:val="0"/>
          <w:sz w:val="28"/>
          <w:szCs w:val="28"/>
        </w:rPr>
        <w:t>（3）已结题并获得良及以上成绩，其中国家级大学生创业实践、创业训练或科研创新项目主持人加50分，北京市大学生科学研究与创业行动计划项目主持人加40分，校级URP 主持人加30分。各类项目的参与者一项加10分，两项及以上加20分，结题考核为优秀的主持人另加20分，参与者另加10分。有多人参与的项目，主持人以项目负责导师出具的证明为准，且只能有一名主持人。如同一年度参加多项科研创新项目，只取加分最高的一项。</w:t>
      </w:r>
    </w:p>
    <w:p>
      <w:pPr>
        <w:autoSpaceDE w:val="0"/>
        <w:autoSpaceDN w:val="0"/>
        <w:adjustRightInd w:val="0"/>
        <w:ind w:firstLine="420"/>
        <w:rPr>
          <w:rFonts w:ascii="宋体" w:hAnsi="宋体" w:eastAsia="宋体" w:cs="^”˛"/>
          <w:color w:val="000000"/>
          <w:kern w:val="0"/>
          <w:sz w:val="28"/>
          <w:szCs w:val="28"/>
        </w:rPr>
      </w:pPr>
      <w:r>
        <w:rPr>
          <w:rFonts w:ascii="宋体" w:hAnsi="宋体" w:eastAsia="宋体" w:cs="^”˛"/>
          <w:color w:val="000000"/>
          <w:kern w:val="0"/>
          <w:sz w:val="28"/>
          <w:szCs w:val="28"/>
        </w:rPr>
        <w:t>（4）参加国家级有关学习方面的竞赛，一等奖加100分、二等奖加90分、三等奖加70分；参加省部级有关学习方面的竞赛，一等奖加90分、二等奖加80分、三等奖加60分；参加校级有关学习方面的竞赛，一等奖加70分、二等奖加60分、三等奖加40分；参加院级有关学习方面的竞赛，一等奖加50分、二等奖加40分、三等奖加20分。优秀奖加分为相应级别三等奖的一半。非第一获奖人，按排名依次减10分，排名第五以后不再减分。如多次参加同一竞赛，分别计分，可累加。大赛认定目录以本科生院发布的相关竞赛库为准。</w:t>
      </w:r>
    </w:p>
    <w:p>
      <w:pPr>
        <w:autoSpaceDE w:val="0"/>
        <w:autoSpaceDN w:val="0"/>
        <w:adjustRightInd w:val="0"/>
        <w:ind w:firstLine="420"/>
        <w:rPr>
          <w:rFonts w:ascii="宋体" w:hAnsi="宋体" w:eastAsia="宋体" w:cs="^”˛"/>
          <w:color w:val="000000"/>
          <w:kern w:val="0"/>
          <w:sz w:val="28"/>
          <w:szCs w:val="28"/>
        </w:rPr>
      </w:pPr>
      <w:r>
        <w:rPr>
          <w:rFonts w:ascii="宋体" w:hAnsi="宋体" w:eastAsia="宋体" w:cs="^”˛"/>
          <w:color w:val="000000"/>
          <w:kern w:val="0"/>
          <w:sz w:val="28"/>
          <w:szCs w:val="28"/>
        </w:rPr>
        <w:t>科技创新总分累计不能超过100分，超过按100分计算。同一作品及项目不重复计算，取最高分，各项目加分以立项和获奖证书为准。</w:t>
      </w:r>
    </w:p>
    <w:p>
      <w:pPr>
        <w:autoSpaceDE w:val="0"/>
        <w:autoSpaceDN w:val="0"/>
        <w:adjustRightInd w:val="0"/>
        <w:ind w:firstLine="420"/>
        <w:rPr>
          <w:rFonts w:ascii="宋体" w:hAnsi="宋体" w:eastAsia="宋体" w:cs="^”˛"/>
          <w:b/>
          <w:bCs/>
          <w:color w:val="000000"/>
          <w:kern w:val="0"/>
          <w:sz w:val="28"/>
          <w:szCs w:val="28"/>
        </w:rPr>
      </w:pPr>
      <w:r>
        <w:rPr>
          <w:rFonts w:ascii="宋体" w:hAnsi="宋体" w:eastAsia="宋体" w:cs="^”˛"/>
          <w:b/>
          <w:bCs/>
          <w:color w:val="000000"/>
          <w:kern w:val="0"/>
          <w:sz w:val="28"/>
          <w:szCs w:val="28"/>
        </w:rPr>
        <w:t>3.思想品德综合考核成绩构成</w:t>
      </w:r>
    </w:p>
    <w:p>
      <w:pPr>
        <w:autoSpaceDE w:val="0"/>
        <w:autoSpaceDN w:val="0"/>
        <w:adjustRightInd w:val="0"/>
        <w:ind w:firstLine="420"/>
        <w:rPr>
          <w:rFonts w:ascii="宋体" w:hAnsi="宋体" w:eastAsia="宋体" w:cs="^”˛"/>
          <w:color w:val="000000"/>
          <w:kern w:val="0"/>
          <w:sz w:val="28"/>
          <w:szCs w:val="28"/>
        </w:rPr>
      </w:pPr>
      <w:r>
        <w:rPr>
          <w:rFonts w:ascii="宋体" w:hAnsi="宋体" w:eastAsia="宋体" w:cs="^”˛"/>
          <w:color w:val="000000"/>
          <w:kern w:val="0"/>
          <w:sz w:val="28"/>
          <w:szCs w:val="28"/>
        </w:rPr>
        <w:t>（1）考察内容：思想行为测评、课外活动表现（不含科技创新部分）、附加分。</w:t>
      </w:r>
    </w:p>
    <w:p>
      <w:pPr>
        <w:autoSpaceDE w:val="0"/>
        <w:autoSpaceDN w:val="0"/>
        <w:adjustRightInd w:val="0"/>
        <w:ind w:firstLine="420"/>
        <w:rPr>
          <w:rFonts w:ascii="宋体" w:hAnsi="宋体" w:eastAsia="宋体" w:cs="^”˛"/>
          <w:color w:val="000000"/>
          <w:kern w:val="0"/>
          <w:sz w:val="28"/>
          <w:szCs w:val="28"/>
        </w:rPr>
      </w:pPr>
      <w:r>
        <w:rPr>
          <w:rFonts w:ascii="宋体" w:hAnsi="宋体" w:eastAsia="宋体" w:cs="^”˛"/>
          <w:color w:val="000000"/>
          <w:kern w:val="0"/>
          <w:sz w:val="28"/>
          <w:szCs w:val="28"/>
        </w:rPr>
        <w:t>（2）考察形式：以三年各项平均分按比例进行测算。其中思想行为测评成绩占60%，课外活动表现（不含科技创新部分）占30%，附加分占10%（附加分累计不超过100分）。其中思想行为测评成绩60分（含60）以上为合格，60分以下为不合格，没有资格推荐推免生。思想行为测评成绩需进行班级排名，班级排名前10%（含）的同学100分，排名10%-20%（含）的同学98分，公差为2，排名90%-100%（含）的同学82分。将每位同学的得分×5%计为思想品德综合考核最终得分。</w:t>
      </w:r>
    </w:p>
    <w:p>
      <w:pPr>
        <w:autoSpaceDE w:val="0"/>
        <w:autoSpaceDN w:val="0"/>
        <w:adjustRightInd w:val="0"/>
        <w:ind w:firstLine="420"/>
        <w:rPr>
          <w:rFonts w:ascii="宋体" w:hAnsi="宋体" w:eastAsia="宋体" w:cs="^”˛"/>
          <w:color w:val="000000"/>
          <w:kern w:val="0"/>
          <w:sz w:val="28"/>
          <w:szCs w:val="28"/>
        </w:rPr>
      </w:pPr>
      <w:r>
        <w:rPr>
          <w:rFonts w:ascii="宋体" w:hAnsi="宋体" w:eastAsia="宋体" w:cs="^”˛"/>
          <w:color w:val="000000"/>
          <w:kern w:val="0"/>
          <w:sz w:val="28"/>
          <w:szCs w:val="28"/>
        </w:rPr>
        <w:t>拟推荐名单经公示无异议后上报学校本科生院。</w:t>
      </w:r>
    </w:p>
    <w:p>
      <w:pPr>
        <w:autoSpaceDE w:val="0"/>
        <w:autoSpaceDN w:val="0"/>
        <w:adjustRightInd w:val="0"/>
        <w:ind w:firstLine="420"/>
        <w:rPr>
          <w:rFonts w:ascii="宋体" w:hAnsi="宋体" w:eastAsia="宋体" w:cs="^”˛"/>
          <w:color w:val="000000"/>
          <w:kern w:val="0"/>
          <w:sz w:val="28"/>
          <w:szCs w:val="28"/>
        </w:rPr>
      </w:pPr>
      <w:r>
        <w:rPr>
          <w:rFonts w:ascii="宋体" w:hAnsi="宋体" w:eastAsia="宋体" w:cs="^”˛"/>
          <w:color w:val="000000"/>
          <w:kern w:val="0"/>
          <w:sz w:val="28"/>
          <w:szCs w:val="28"/>
        </w:rPr>
        <w:t>本细则最终解释权归“园艺学院推荐优秀应届本科毕业生免试攻读研究生工作小组”所有。</w:t>
      </w:r>
    </w:p>
    <w:p>
      <w:pPr>
        <w:wordWrap w:val="0"/>
        <w:autoSpaceDE w:val="0"/>
        <w:autoSpaceDN w:val="0"/>
        <w:adjustRightInd w:val="0"/>
        <w:jc w:val="right"/>
        <w:rPr>
          <w:rFonts w:ascii="宋体" w:hAnsi="宋体" w:eastAsia="宋体" w:cs="^”˛"/>
          <w:b/>
          <w:bCs/>
          <w:color w:val="000000"/>
          <w:kern w:val="0"/>
          <w:sz w:val="28"/>
          <w:szCs w:val="28"/>
        </w:rPr>
      </w:pPr>
      <w:r>
        <w:rPr>
          <w:rFonts w:ascii="宋体" w:hAnsi="宋体" w:eastAsia="宋体" w:cs="^”˛"/>
          <w:b/>
          <w:bCs/>
          <w:color w:val="000000"/>
          <w:kern w:val="0"/>
          <w:sz w:val="28"/>
          <w:szCs w:val="28"/>
        </w:rPr>
        <w:t>园艺学院</w:t>
      </w:r>
      <w:r>
        <w:rPr>
          <w:rFonts w:hint="eastAsia" w:ascii="宋体" w:hAnsi="宋体" w:eastAsia="宋体" w:cs="^”˛"/>
          <w:b/>
          <w:bCs/>
          <w:color w:val="000000"/>
          <w:kern w:val="0"/>
          <w:sz w:val="28"/>
          <w:szCs w:val="28"/>
        </w:rPr>
        <w:t xml:space="preserve"> </w:t>
      </w:r>
      <w:r>
        <w:rPr>
          <w:rFonts w:ascii="宋体" w:hAnsi="宋体" w:eastAsia="宋体" w:cs="^”˛"/>
          <w:b/>
          <w:bCs/>
          <w:color w:val="000000"/>
          <w:kern w:val="0"/>
          <w:sz w:val="28"/>
          <w:szCs w:val="28"/>
        </w:rPr>
        <w:t xml:space="preserve">    </w:t>
      </w:r>
    </w:p>
    <w:p>
      <w:pPr>
        <w:jc w:val="right"/>
        <w:rPr>
          <w:rFonts w:ascii="宋体" w:hAnsi="宋体" w:eastAsia="宋体"/>
          <w:sz w:val="28"/>
          <w:szCs w:val="28"/>
        </w:rPr>
      </w:pPr>
      <w:r>
        <w:rPr>
          <w:rFonts w:ascii="宋体" w:hAnsi="宋体" w:eastAsia="宋体" w:cs="^”˛"/>
          <w:color w:val="000000"/>
          <w:kern w:val="0"/>
          <w:sz w:val="28"/>
          <w:szCs w:val="28"/>
        </w:rPr>
        <w:t>2023 年8月23日</w:t>
      </w:r>
    </w:p>
    <w:sectPr>
      <w:pgSz w:w="11900" w:h="16840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^”˛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U2ZDQ2ZWY2YTM2NGQ5MDRjM2MxMDM0NjA2NzAyODIifQ=="/>
  </w:docVars>
  <w:rsids>
    <w:rsidRoot w:val="002420E6"/>
    <w:rsid w:val="000111E0"/>
    <w:rsid w:val="000331BD"/>
    <w:rsid w:val="00084F7D"/>
    <w:rsid w:val="000C0163"/>
    <w:rsid w:val="001465E5"/>
    <w:rsid w:val="001474E5"/>
    <w:rsid w:val="00192B95"/>
    <w:rsid w:val="001A711F"/>
    <w:rsid w:val="002420E6"/>
    <w:rsid w:val="00245B5F"/>
    <w:rsid w:val="00250EB3"/>
    <w:rsid w:val="00271B38"/>
    <w:rsid w:val="002D4DAC"/>
    <w:rsid w:val="002E37E1"/>
    <w:rsid w:val="003646BC"/>
    <w:rsid w:val="00455735"/>
    <w:rsid w:val="004C239B"/>
    <w:rsid w:val="00504FDE"/>
    <w:rsid w:val="006355C6"/>
    <w:rsid w:val="00637E35"/>
    <w:rsid w:val="006D0D69"/>
    <w:rsid w:val="0070273C"/>
    <w:rsid w:val="007A4E87"/>
    <w:rsid w:val="007D2506"/>
    <w:rsid w:val="007D2594"/>
    <w:rsid w:val="007F4549"/>
    <w:rsid w:val="007F5B49"/>
    <w:rsid w:val="00871A0C"/>
    <w:rsid w:val="008B3A30"/>
    <w:rsid w:val="00947EF7"/>
    <w:rsid w:val="009640E0"/>
    <w:rsid w:val="00985655"/>
    <w:rsid w:val="009B3A3F"/>
    <w:rsid w:val="00B24029"/>
    <w:rsid w:val="00B42C44"/>
    <w:rsid w:val="00C12419"/>
    <w:rsid w:val="00CB3CAA"/>
    <w:rsid w:val="00CB7FF4"/>
    <w:rsid w:val="00D31632"/>
    <w:rsid w:val="00D675E5"/>
    <w:rsid w:val="00E91BE7"/>
    <w:rsid w:val="00EE04A2"/>
    <w:rsid w:val="00EE510A"/>
    <w:rsid w:val="00F630EE"/>
    <w:rsid w:val="00FD048A"/>
    <w:rsid w:val="00FD2F5F"/>
    <w:rsid w:val="45F87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IGDB</Company>
  <Pages>4</Pages>
  <Words>1734</Words>
  <Characters>1877</Characters>
  <Lines>13</Lines>
  <Paragraphs>3</Paragraphs>
  <TotalTime>5</TotalTime>
  <ScaleCrop>false</ScaleCrop>
  <LinksUpToDate>false</LinksUpToDate>
  <CharactersWithSpaces>1890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2022-08-15T01:24:00Z</dcterms:created>
  <dc:creator>zliu</dc:creator>
  <cp:lastModifiedBy>随之心</cp:lastModifiedBy>
  <dcterms:modified xsi:type="dcterms:W3CDTF">2023-09-05T07:28:56Z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20F9FB0A1108478F937B27ADEB799A6D_13</vt:lpwstr>
  </property>
</Properties>
</file>