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2025光电信息科学与工程-光学工程本博融通培养方案（领军人才班适用）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1952年，由我国著名光学专家、学部委员周同庆教授创办的固体发光与光谱实验室。1953年成功研制了第一只国产X光管，1964年研制成功国内高校第一台氦氖激光器。1978年激光物理和光学研究室成立，1981年设立光学硕士点，1984年设立光学博士点，2011年设立光学工程博士点。2020年本专业获评为国家级一流本科专业建设点。经过六十余年的发展，本专业已构建起宽口径、厚基础、理工结合的光电信息科学与工程领域人才培养平台，拥有从本科到硕士、博士及博士后的完整人才培养体系，致力于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013200"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13200" cy="2184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笔试科目：固体的光学性质，现代光学设计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385733"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85733" cy="16425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专业进阶路径：166学分</w:t>
      </w:r>
    </w:p>
    <w:p>
      <w:pPr>
        <w:spacing w:after="0"/>
        <w:ind w:left="0"/>
        <w:jc w:val="left"/>
      </w:pPr>
      <w:r>
        <w:rPr>
          <w:rFonts w:ascii="SimSun" w:hAnsi="SimSun"/>
          <w:b w:val="false"/>
          <w:i w:val="false"/>
          <w:color w:val="000000"/>
          <w:sz w:val="21"/>
        </w:rPr>
        <w:t xml:space="preserve">  本路径学生本博期间必须修满教学计划规定的166学分，包括通识教育课程44学分、专业培养课程60学分、专业进阶I修读24学分（研究生课程不少于18学分）、专业进阶II修读16学分（研究生课程不少于10学分）、融合创新能力培养模块22学分的修读。</w:t>
      </w:r>
    </w:p>
    <w:p>
      <w:pPr>
        <w:spacing w:after="0"/>
        <w:ind w:left="0"/>
        <w:jc w:val="left"/>
      </w:pPr>
      <w:r>
        <w:rPr>
          <w:rFonts w:ascii="SimSun" w:hAnsi="SimSun"/>
          <w:b w:val="false"/>
          <w:i w:val="false"/>
          <w:color w:val="000000"/>
          <w:sz w:val="21"/>
        </w:rPr>
        <w:t xml:space="preserve">  其中，本科学段需要完成143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17学分。</w:t>
      </w:r>
    </w:p>
    <w:p>
      <w:pPr>
        <w:spacing w:after="0"/>
        <w:ind w:left="0"/>
        <w:jc w:val="left"/>
      </w:pPr>
      <w:r>
        <w:rPr>
          <w:rFonts w:ascii="SimSun" w:hAnsi="SimSun"/>
          <w:b w:val="false"/>
          <w:i w:val="false"/>
          <w:color w:val="000000"/>
          <w:sz w:val="21"/>
        </w:rPr>
        <w:t>2. 荣誉项目：172学分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跨学科发展路径：181学分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 光电信息科学与工程+AI人工智能双学士学位项目：209学分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在专业进阶路径或荣誉项目基础上，修读人工智能专业项目课程43学分。具体要求见信息学院-光电信息科学与工程-信息与计算科学（人工智能方向）双学士学位项目培养方案。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本科学段主动退出和转段考核不合格退出本博融通计划的学生，需按照光电信息科学与工程本科“2+X+Y”培养方案修读课程，如达到学士学位要求者授予工学学士学位。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达到博士学位要求者授予光学工程工学博士学位，基本要求如下：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（1）申请人提出学位论文答辩申请时，必须已修满学校规定的学分数，完成所有必修环节；所有课程成绩合格，其中学位课程平均绩点不低于2.5。</w:t>
      </w:r>
    </w:p>
    <w:p>
      <w:pPr>
        <w:spacing w:after="0"/>
        <w:ind w:left="0"/>
        <w:jc w:val="left"/>
      </w:pPr>
      <w:r>
        <w:rPr>
          <w:rFonts w:ascii="SimSun" w:hAnsi="SimSun"/>
          <w:b w:val="false"/>
          <w:i w:val="false"/>
          <w:color w:val="000000"/>
          <w:sz w:val="21"/>
        </w:rPr>
        <w:t>（2）通过科研活动，取得经同行评议认可的创新性成果，满足本学科博士学位授予标准。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博士学位论文以外，还必须取得经同行评议认可的创新性成果，如在同行评议的高质量学术期刊上公开发表论文、或其他形式的经过同行评议认可的高质量学术成果，该成果是学位论文主要内容，且符合以下A、B、C条件之一：</w:t>
      </w:r>
    </w:p>
    <w:p>
      <w:pPr>
        <w:spacing w:after="0"/>
        <w:ind w:left="0"/>
        <w:jc w:val="left"/>
      </w:pPr>
      <w:r>
        <w:rPr>
          <w:rFonts w:ascii="SimSun" w:hAnsi="SimSun"/>
          <w:b w:val="false"/>
          <w:i w:val="false"/>
          <w:color w:val="000000"/>
          <w:sz w:val="21"/>
        </w:rPr>
        <w:t xml:space="preserve">  A. 博士期间科研成果达到导师要求，且第一单位发表或录用论文符合以下条件之一：</w:t>
      </w:r>
    </w:p>
    <w:p>
      <w:pPr>
        <w:spacing w:after="0"/>
        <w:ind w:left="0"/>
        <w:jc w:val="left"/>
      </w:pPr>
      <w:r>
        <w:rPr>
          <w:rFonts w:ascii="SimSun" w:hAnsi="SimSun"/>
          <w:b w:val="false"/>
          <w:i w:val="false"/>
          <w:color w:val="000000"/>
          <w:sz w:val="21"/>
        </w:rPr>
        <w:t xml:space="preserve">    a)1篇1作1区期刊论文；</w:t>
      </w:r>
    </w:p>
    <w:p>
      <w:pPr>
        <w:spacing w:after="0"/>
        <w:ind w:left="0"/>
        <w:jc w:val="left"/>
      </w:pPr>
      <w:r>
        <w:rPr>
          <w:rFonts w:ascii="SimSun" w:hAnsi="SimSun"/>
          <w:b w:val="false"/>
          <w:i w:val="false"/>
          <w:color w:val="000000"/>
          <w:sz w:val="21"/>
        </w:rPr>
        <w:t xml:space="preserve">    b)1篇1作2区期刊论文+1篇1作2-3区期刊论文；</w:t>
      </w:r>
    </w:p>
    <w:p>
      <w:pPr>
        <w:spacing w:after="0"/>
        <w:ind w:left="0"/>
        <w:jc w:val="left"/>
      </w:pPr>
      <w:r>
        <w:rPr>
          <w:rFonts w:ascii="SimSun" w:hAnsi="SimSun"/>
          <w:b w:val="false"/>
          <w:i w:val="false"/>
          <w:color w:val="000000"/>
          <w:sz w:val="21"/>
        </w:rPr>
        <w:t xml:space="preserve">    c)1篇1作2区期刊论文+1篇第二共一作1区期刊论文。</w:t>
      </w:r>
    </w:p>
    <w:p>
      <w:pPr>
        <w:spacing w:after="0"/>
        <w:ind w:left="0"/>
        <w:jc w:val="left"/>
      </w:pPr>
      <w:r>
        <w:rPr>
          <w:rFonts w:ascii="SimSun" w:hAnsi="SimSun"/>
          <w:b w:val="false"/>
          <w:i w:val="false"/>
          <w:color w:val="000000"/>
          <w:sz w:val="21"/>
        </w:rPr>
        <w:t xml:space="preserve">  B.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C.博士期间作出其他重要学术成果等特殊贡献，在论文送审前由导师向学位分委员会提出申请，由学位分委员会进行认定。</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第二学段主动退出和博士生资格考核不合格退出本博融通计划的学生，如达到光学工程硕士学位要求者授予工学硕士学位，具体要求：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（1）申请人提出学位论文答辩申请时，必须已修满学校规定的学分数，完成所有必修环节；所有课程成绩合格，其中学位课程平均绩点原则上不低于2.5。</w:t>
      </w:r>
    </w:p>
    <w:p>
      <w:pPr>
        <w:spacing w:after="0"/>
        <w:ind w:left="0"/>
        <w:jc w:val="left"/>
      </w:pPr>
      <w:r>
        <w:rPr>
          <w:rFonts w:ascii="SimSun" w:hAnsi="SimSun"/>
          <w:b w:val="false"/>
          <w:i w:val="false"/>
          <w:color w:val="000000"/>
          <w:sz w:val="21"/>
        </w:rPr>
        <w:t>（2）通过科研活动，取得经同行评议认可的创新性成果，满足本学科硕士学位授予标准。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硕士学位论文以外，还必须取得经同行评议认可的创新性研究成果，如在同行评议的较高质量学术期刊上公开发表学术论文、或其它形式的经过同行评议认可的较高质量学术成果，该成果是学位论文主要内容，且符合以下A、B条件之一：</w:t>
      </w:r>
    </w:p>
    <w:p>
      <w:pPr>
        <w:spacing w:after="0"/>
        <w:ind w:left="0"/>
        <w:jc w:val="left"/>
      </w:pPr>
      <w:r>
        <w:rPr>
          <w:rFonts w:ascii="SimSun" w:hAnsi="SimSun"/>
          <w:b w:val="false"/>
          <w:i w:val="false"/>
          <w:color w:val="000000"/>
          <w:sz w:val="21"/>
        </w:rPr>
        <w:t xml:space="preserve">  A.硕士期间科研成果达到导师要求，且第一单位发表或录用论文符合以下条件：1篇1作（或导师第一学生第二）A类或1-4区期刊论文。</w:t>
      </w:r>
    </w:p>
    <w:p>
      <w:pPr>
        <w:spacing w:after="0"/>
        <w:ind w:left="0"/>
        <w:jc w:val="left"/>
      </w:pPr>
      <w:r>
        <w:rPr>
          <w:rFonts w:ascii="SimSun" w:hAnsi="SimSun"/>
          <w:b w:val="false"/>
          <w:i w:val="false"/>
          <w:color w:val="000000"/>
          <w:sz w:val="21"/>
        </w:rPr>
        <w:t xml:space="preserve">  B.硕士期间作出其他重要学术成果等特殊贡献，论文送审前由导师向学位分委员会提出申请，由学位分委员会进行认定。</w:t>
      </w:r>
    </w:p>
    <w:p>
      <w:pPr>
        <w:spacing w:after="0"/>
        <w:ind w:left="0"/>
        <w:jc w:val="left"/>
      </w:pPr>
      <w:r>
        <w:rPr>
          <w:rFonts w:ascii="SimSun" w:hAnsi="SimSun"/>
          <w:b w:val="false"/>
          <w:i w:val="false"/>
          <w:color w:val="000000"/>
          <w:sz w:val="21"/>
        </w:rPr>
        <w:t xml:space="preserve">  注：期刊分区依据投稿当年或发表当年的《中国科学院文献情报中心期刊分区表》。A类期刊依据“中国光学工程学会关于《光学工程和光学领域高质量科技期刊分级目录》”（光工学字〔2022〕19号）中所列期刊清单（分级T1-T3），详见本学科学位授予标准。</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3996267" cy="282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6267" cy="2827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（一）通识教育课程（44学分）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要求修读28学分，含思想政治理论课21学分（其中研究生学位课2学分），七大模块课程6学分（回避第五模块），美育学分不少于2学分，大学生国家安全教育1学分。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05"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要求修读30学分（部分课程学分可用荣誉课程学分替换）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w:t>
            </w:r>
            <w:r>
              <w:br/>
            </w:r>
            <w:r>
              <w:br/>
            </w:r>
            <w:r>
              <w:rPr>
                <w:rFonts w:ascii="SimSun" w:hAnsi="SimSun"/>
                <w:b w:val="false"/>
                <w:i w:val="false"/>
                <w:color w:val="000000"/>
                <w:sz w:val="21"/>
              </w:rPr>
              <w:t>Experiments in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修满40学分。要求在本专业专业进阶模块I修读24学分（研究生课程不少于18学分）、专业进阶模块II修读16学分（研究生课程不少于10学分）。专业进阶模块I若有多修读学分，其可替代专业进阶模块II学分。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专业进阶模块（光学工程）</w:t>
      </w:r>
      <w:r>
        <w:rPr>
          <w:rFonts w:ascii="SimSun" w:hAnsi="SimSun"/>
          <w:b/>
          <w:i w:val="false"/>
          <w:color w:val="000000"/>
          <w:sz w:val="21"/>
        </w:rPr>
        <w:t>（40学分,本科要求24学分）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可选荣誉课程《激光原理与技术（H）》</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可选荣誉课程《光纤通信原理与技术（H）》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现代光学设计</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资格考试科目（两门课程只计一门）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Modern Optical Design</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资格考试科目（两门课程只计一门）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可选荣誉课程《半导体器件物理 (H)》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两门课程只计一门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两门课程只计一门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可选荣誉课程《集成光学（H）》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可选荣誉课程《现代光子学（H）》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量子力学基础</w:t>
            </w:r>
            <w:r>
              <w:br/>
            </w:r>
            <w:r>
              <w:br/>
            </w:r>
            <w:r>
              <w:rPr>
                <w:rFonts w:ascii="SimSun" w:hAnsi="SimSun"/>
                <w:b w:val="false"/>
                <w:i w:val="false"/>
                <w:color w:val="000000"/>
                <w:sz w:val="21"/>
              </w:rPr>
              <w:t>Basic Quantum Mechanics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现代光学仪器系统设计</w:t>
            </w:r>
            <w:r>
              <w:br/>
            </w:r>
            <w:r>
              <w:br/>
            </w:r>
            <w:r>
              <w:rPr>
                <w:rFonts w:ascii="SimSun" w:hAnsi="SimSun"/>
                <w:b w:val="false"/>
                <w:i w:val="false"/>
                <w:color w:val="000000"/>
                <w:sz w:val="21"/>
              </w:rPr>
              <w:t>Modern Optical Instrument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现代光学显微技术及应用</w:t>
            </w:r>
            <w:r>
              <w:br/>
            </w:r>
            <w:r>
              <w:br/>
            </w:r>
            <w:r>
              <w:rPr>
                <w:rFonts w:ascii="SimSun" w:hAnsi="SimSun"/>
                <w:b w:val="false"/>
                <w:i w:val="false"/>
                <w:color w:val="000000"/>
                <w:sz w:val="21"/>
              </w:rPr>
              <w:t>Modern optical microscopy: technology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偏振光学原理与应用</w:t>
            </w:r>
            <w:r>
              <w:br/>
            </w:r>
            <w:r>
              <w:br/>
            </w:r>
            <w:r>
              <w:rPr>
                <w:rFonts w:ascii="SimSun" w:hAnsi="SimSun"/>
                <w:b w:val="false"/>
                <w:i w:val="false"/>
                <w:color w:val="000000"/>
                <w:sz w:val="21"/>
              </w:rPr>
              <w:t>Principles and Applications of Polarized Light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纳光子学</w:t>
            </w:r>
            <w:r>
              <w:br/>
            </w:r>
            <w:r>
              <w:br/>
            </w:r>
            <w:r>
              <w:rPr>
                <w:rFonts w:ascii="SimSun" w:hAnsi="SimSun"/>
                <w:b w:val="false"/>
                <w:i w:val="false"/>
                <w:color w:val="000000"/>
                <w:sz w:val="21"/>
              </w:rPr>
              <w:t>Nanophotonics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卫星光电遥感前沿技术</w:t>
            </w:r>
            <w:r>
              <w:br/>
            </w:r>
            <w:r>
              <w:br/>
            </w:r>
            <w:r>
              <w:rPr>
                <w:rFonts w:ascii="SimSun" w:hAnsi="SimSun"/>
                <w:b w:val="false"/>
                <w:i w:val="false"/>
                <w:color w:val="000000"/>
                <w:sz w:val="21"/>
              </w:rPr>
              <w:t>The Frontier Technologies of Satellite Optoelectronic Remote Sensing</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46学分。要求修读荣誉课程不低于24学分（不少于6门课），且满足专业进阶模块I修读24学分（研究生课程不少于18学分）、专业进阶模块II修读16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在本专业专业进阶模块I修读24学分（研究生课程不少于18学分）、专业进阶模块II修读16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在本专业专业进阶模块I修读24学分（研究生课程不少于18学分）、专业进阶模块II修读16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在“光电研究前沿讲座”，“物理电子学前沿讲座”（EST70028），“智能电子与系统前沿技术”（EST70060）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研究生学段必须完成2个学期全岗的本科生课程助教工作，指导老师评价为合格方为通过。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在第10学期完成，详见信息学院论文开题实施细则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