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2025通信工程专业本科培养方案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1958年成立的复旦大学无线电电子学专业，1998年经调整正式设立，经过近三十年的发展，形成了以数理基础为优势、光电融合为特色，与电子科学、智能计算等深度交叉融合的信息与通信工程领域人才培养品牌。2022年度通信工程专业入选国家一流本科专业建设点（入选教育部“双万计划”）。</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有扎实的数学、物理、外语基础，掌握信息通信领域内的基本理论和基本知识，能在信息与通信领域中从事研究、设计、制造、运营及在国民经济各部门和国防工业中从事开发、应用信息通信技术与设备的高级工程技术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436533" cy="1964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36533" cy="1964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w:t>
      </w:r>
    </w:p>
    <w:p>
      <w:pPr>
        <w:spacing w:after="0"/>
        <w:ind w:left="0"/>
        <w:jc w:val="left"/>
      </w:pPr>
      <w:r>
        <w:rPr>
          <w:rFonts w:ascii="SimSun" w:hAnsi="SimSun"/>
          <w:b w:val="false"/>
          <w:i w:val="false"/>
          <w:color w:val="000000"/>
          <w:sz w:val="21"/>
        </w:rPr>
        <w:t>2. 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125"/>
        <w:gridCol w:w="945"/>
        <w:gridCol w:w="1144"/>
        <w:gridCol w:w="1145"/>
        <w:gridCol w:w="1825"/>
        <w:gridCol w:w="1265"/>
        <w:gridCol w:w="1442"/>
        <w:gridCol w:w="1444"/>
        <w:gridCol w:w="1114"/>
        <w:gridCol w:w="1114"/>
        <w:gridCol w:w="1117"/>
      </w:tblGrid>
      <w:tr>
        <w:trPr>
          <w:trHeight w:val="480" w:hRule="atLeast"/>
        </w:trPr>
        <w:tc>
          <w:tcPr>
            <w:tcW w:w="31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10" w:hRule="atLeast"/>
        </w:trPr>
        <w:tc>
          <w:tcPr>
            <w:tcW w:w="31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9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8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通信工程</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142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专业培养课程60学分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专业进阶模块21学分</w:t>
            </w:r>
          </w:p>
        </w:tc>
      </w:tr>
      <w:tr>
        <w:trPr>
          <w:trHeight w:val="120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融合创新能力培养19学分</w:t>
            </w:r>
          </w:p>
        </w:tc>
      </w:tr>
      <w:tr>
        <w:trPr>
          <w:trHeight w:val="237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97867"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97867" cy="15748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1、专业进阶路径：142学分</w:t>
      </w:r>
    </w:p>
    <w:p>
      <w:pPr>
        <w:spacing w:after="0"/>
        <w:ind w:left="0"/>
        <w:jc w:val="left"/>
      </w:pPr>
      <w:r>
        <w:rPr>
          <w:rFonts w:ascii="SimSun" w:hAnsi="SimSun"/>
          <w:b w:val="false"/>
          <w:i w:val="false"/>
          <w:color w:val="000000"/>
          <w:sz w:val="21"/>
        </w:rPr>
        <w:t xml:space="preserve">  本路径学生需要完成142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21学分、融合创新能力培养19学分。</w:t>
      </w:r>
    </w:p>
    <w:p>
      <w:pPr>
        <w:spacing w:after="0"/>
        <w:ind w:left="0"/>
        <w:jc w:val="left"/>
      </w:pPr>
      <w:r>
        <w:rPr>
          <w:rFonts w:ascii="SimSun" w:hAnsi="SimSun"/>
          <w:b w:val="false"/>
          <w:i w:val="false"/>
          <w:color w:val="000000"/>
          <w:sz w:val="21"/>
        </w:rPr>
        <w:t xml:space="preserve"> 2、荣誉项目：148学分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3、跨学科发展路径：157学分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4、通信工程+AI人工智能双学士学位项目：185学分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在专业进阶路径或荣誉项目基础上，修读人工智能专业项目课程43学分。具体要求见信息学院-通信工程-信息与计算科学（人工智能方向）双学士学位项目培养方案。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通信工程+信息与计算科学学士双学位项目，如达到该双学士学位要求者授予工学-理学双学士学位。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8门荣誉课程可供修读，完成24学分荣誉课程的基础上授予荣誉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758267" cy="259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58267" cy="25908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974"/>
        <w:gridCol w:w="2188"/>
        <w:gridCol w:w="724"/>
        <w:gridCol w:w="1048"/>
        <w:gridCol w:w="1284"/>
        <w:gridCol w:w="1625"/>
        <w:gridCol w:w="822"/>
        <w:gridCol w:w="710"/>
        <w:gridCol w:w="738"/>
        <w:gridCol w:w="794"/>
        <w:gridCol w:w="916"/>
        <w:gridCol w:w="1811"/>
      </w:tblGrid>
      <w:tr>
        <w:trPr>
          <w:trHeight w:val="45" w:hRule="atLeast"/>
        </w:trPr>
        <w:tc>
          <w:tcPr>
            <w:tcW w:w="9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w:t>
            </w: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97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通识教育核心课程（26学分）</w:t>
            </w: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12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0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8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1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986"/>
        <w:gridCol w:w="2428"/>
        <w:gridCol w:w="728"/>
        <w:gridCol w:w="1059"/>
        <w:gridCol w:w="1207"/>
        <w:gridCol w:w="1262"/>
        <w:gridCol w:w="837"/>
        <w:gridCol w:w="722"/>
        <w:gridCol w:w="751"/>
        <w:gridCol w:w="800"/>
        <w:gridCol w:w="931"/>
        <w:gridCol w:w="1923"/>
      </w:tblGrid>
      <w:tr>
        <w:trPr>
          <w:trHeight w:val="45" w:hRule="atLeast"/>
        </w:trPr>
        <w:tc>
          <w:tcPr>
            <w:tcW w:w="98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专项教育课程（14学分）</w:t>
            </w: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10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105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0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6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2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10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12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6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0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0" w:type="auto"/>
            <w:vMerge/>
            <w:tcBorders>
              <w:top w:val="nil"/>
              <w:bottom w:val="single" w:color="000000" w:sz="8"/>
              <w:right w:val="single" w:color="000000" w:sz="8"/>
            </w:tcBorders>
          </w:tcP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0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12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0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0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0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45" w:hRule="atLeast"/>
        </w:trPr>
        <w:tc>
          <w:tcPr>
            <w:tcW w:w="0" w:type="auto"/>
            <w:vMerge/>
            <w:tcBorders>
              <w:top w:val="nil"/>
              <w:bottom w:val="single" w:color="000000" w:sz="8"/>
              <w:right w:val="single" w:color="000000" w:sz="8"/>
            </w:tcBorders>
          </w:tcPr>
          <w:p/>
        </w:tc>
        <w:tc>
          <w:tcPr>
            <w:tcW w:w="24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8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4"/>
        <w:gridCol w:w="2715"/>
        <w:gridCol w:w="677"/>
        <w:gridCol w:w="679"/>
        <w:gridCol w:w="946"/>
        <w:gridCol w:w="1585"/>
        <w:gridCol w:w="679"/>
        <w:gridCol w:w="677"/>
        <w:gridCol w:w="677"/>
        <w:gridCol w:w="677"/>
        <w:gridCol w:w="947"/>
        <w:gridCol w:w="1351"/>
      </w:tblGrid>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工学基础课程</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要求修读30学分（选修荣誉课程学分数每门加1分）。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可选荣誉课程《高频与射频电子学（H）》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电磁场与微波技术</w:t>
            </w:r>
            <w:r>
              <w:br/>
            </w:r>
            <w:r>
              <w:br/>
            </w:r>
            <w:r>
              <w:rPr>
                <w:rFonts w:ascii="SimSun" w:hAnsi="SimSun"/>
                <w:b w:val="false"/>
                <w:i w:val="false"/>
                <w:color w:val="000000"/>
                <w:sz w:val="21"/>
              </w:rPr>
              <w:t>Electromagnetic Wave and Microwave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可选荣誉课程《通信原理（H）》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修满21学分。要求在本专业专业进阶模块I修读13学分、专业进阶模块II修读8学分。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可用荣誉课程《计算机原理与体系结构（H）》替代</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w:t>
            </w:r>
            <w:r>
              <w:br/>
            </w:r>
            <w:r>
              <w:br/>
            </w:r>
            <w:r>
              <w:rPr>
                <w:rFonts w:ascii="SimSun" w:hAnsi="SimSun"/>
                <w:b w:val="false"/>
                <w:i w:val="false"/>
                <w:color w:val="000000"/>
                <w:sz w:val="21"/>
              </w:rPr>
              <w:t>Principles of Optical Fiber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计算机通信与网络</w:t>
            </w:r>
            <w:r>
              <w:br/>
            </w:r>
            <w:r>
              <w:br/>
            </w:r>
            <w:r>
              <w:rPr>
                <w:rFonts w:ascii="SimSun" w:hAnsi="SimSun"/>
                <w:b w:val="false"/>
                <w:i w:val="false"/>
                <w:color w:val="000000"/>
                <w:sz w:val="21"/>
              </w:rPr>
              <w:t>Computer 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共性课程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科技英语</w:t>
            </w:r>
            <w:r>
              <w:br/>
            </w:r>
            <w:r>
              <w:br/>
            </w:r>
            <w:r>
              <w:rPr>
                <w:rFonts w:ascii="SimSun" w:hAnsi="SimSun"/>
                <w:b w:val="false"/>
                <w:i w:val="false"/>
                <w:color w:val="000000"/>
                <w:sz w:val="21"/>
              </w:rPr>
              <w:t>English for Science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计算机仿真与模拟</w:t>
            </w:r>
            <w:r>
              <w:br/>
            </w:r>
            <w:r>
              <w:br/>
            </w:r>
            <w:r>
              <w:rPr>
                <w:rFonts w:ascii="SimSun" w:hAnsi="SimSun"/>
                <w:b w:val="false"/>
                <w:i w:val="false"/>
                <w:color w:val="000000"/>
                <w:sz w:val="21"/>
              </w:rPr>
              <w:t>Computer Simulation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w:t>
            </w:r>
            <w:r>
              <w:br/>
            </w:r>
            <w:r>
              <w:br/>
            </w:r>
            <w:r>
              <w:rPr>
                <w:rFonts w:ascii="SimSun" w:hAnsi="SimSun"/>
                <w:b w:val="false"/>
                <w:i w:val="false"/>
                <w:color w:val="000000"/>
                <w:sz w:val="21"/>
              </w:rPr>
              <w:t>Discrete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天线原理</w:t>
            </w:r>
            <w:r>
              <w:br/>
            </w:r>
            <w:r>
              <w:br/>
            </w:r>
            <w:r>
              <w:rPr>
                <w:rFonts w:ascii="SimSun" w:hAnsi="SimSun"/>
                <w:b w:val="false"/>
                <w:i w:val="false"/>
                <w:color w:val="000000"/>
                <w:sz w:val="21"/>
              </w:rPr>
              <w:t>Antenna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智能硬件创新方法概论与基础实践</w:t>
            </w:r>
            <w:r>
              <w:br/>
            </w:r>
            <w:r>
              <w:br/>
            </w:r>
            <w:r>
              <w:rPr>
                <w:rFonts w:ascii="SimSun" w:hAnsi="SimSun"/>
                <w:b w:val="false"/>
                <w:i w:val="false"/>
                <w:color w:val="000000"/>
                <w:sz w:val="21"/>
              </w:rPr>
              <w:t>Intelligent Hardware Innovation: Introduction and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通信与信息系统实验B</w:t>
            </w:r>
            <w:r>
              <w:br/>
            </w:r>
            <w:r>
              <w:br/>
            </w:r>
            <w:r>
              <w:rPr>
                <w:rFonts w:ascii="SimSun" w:hAnsi="SimSun"/>
                <w:b w:val="false"/>
                <w:i w:val="false"/>
                <w:color w:val="000000"/>
                <w:sz w:val="21"/>
              </w:rPr>
              <w:t>Communication and Information Systems Experiment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微波工程基础</w:t>
            </w:r>
            <w:r>
              <w:br/>
            </w:r>
            <w:r>
              <w:br/>
            </w:r>
            <w:r>
              <w:rPr>
                <w:rFonts w:ascii="SimSun" w:hAnsi="SimSun"/>
                <w:b w:val="false"/>
                <w:i w:val="false"/>
                <w:color w:val="000000"/>
                <w:sz w:val="21"/>
              </w:rPr>
              <w:t>Microwave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智能感知与信息处理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可用荣誉课程《数据结构与算法设计（H）》替代</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遥感原理与技术</w:t>
            </w:r>
            <w:r>
              <w:br/>
            </w:r>
            <w:r>
              <w:br/>
            </w:r>
            <w:r>
              <w:rPr>
                <w:rFonts w:ascii="SimSun" w:hAnsi="SimSun"/>
                <w:b w:val="false"/>
                <w:i w:val="false"/>
                <w:color w:val="000000"/>
                <w:sz w:val="21"/>
              </w:rPr>
              <w:t>Remote Sensing Technology and Its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空天信息导论</w:t>
            </w:r>
            <w:r>
              <w:br/>
            </w:r>
            <w:r>
              <w:br/>
            </w:r>
            <w:r>
              <w:rPr>
                <w:rFonts w:ascii="SimSun" w:hAnsi="SimSun"/>
                <w:b w:val="false"/>
                <w:i w:val="false"/>
                <w:color w:val="000000"/>
                <w:sz w:val="21"/>
              </w:rPr>
              <w:t>Introduction of Space Information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智能通信系统与网络</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无线通信</w:t>
            </w:r>
            <w:r>
              <w:br/>
            </w:r>
            <w:r>
              <w:br/>
            </w:r>
            <w:r>
              <w:rPr>
                <w:rFonts w:ascii="SimSun" w:hAnsi="SimSun"/>
                <w:b w:val="false"/>
                <w:i w:val="false"/>
                <w:color w:val="000000"/>
                <w:sz w:val="21"/>
              </w:rPr>
              <w:t>Wireless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智能通信导论</w:t>
            </w:r>
            <w:r>
              <w:br/>
            </w:r>
            <w:r>
              <w:br/>
            </w:r>
            <w:r>
              <w:rPr>
                <w:rFonts w:ascii="SimSun" w:hAnsi="SimSun"/>
                <w:b w:val="false"/>
                <w:i w:val="false"/>
                <w:color w:val="000000"/>
                <w:sz w:val="21"/>
              </w:rPr>
              <w:t>Introduction to Intelligent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光通信网络基础</w:t>
            </w:r>
            <w:r>
              <w:br/>
            </w:r>
            <w:r>
              <w:br/>
            </w:r>
            <w:r>
              <w:rPr>
                <w:rFonts w:ascii="SimSun" w:hAnsi="SimSun"/>
                <w:b w:val="false"/>
                <w:i w:val="false"/>
                <w:color w:val="000000"/>
                <w:sz w:val="21"/>
              </w:rPr>
              <w:t>Optical Communication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智能光电子导论</w:t>
            </w:r>
            <w:r>
              <w:br/>
            </w:r>
            <w:r>
              <w:br/>
            </w:r>
            <w:r>
              <w:rPr>
                <w:rFonts w:ascii="SimSun" w:hAnsi="SimSun"/>
                <w:b w:val="false"/>
                <w:i w:val="false"/>
                <w:color w:val="000000"/>
                <w:sz w:val="21"/>
              </w:rPr>
              <w:t>Introduction to Intelligent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网络协议与网络安全基础</w:t>
            </w:r>
            <w:r>
              <w:br/>
            </w:r>
            <w:r>
              <w:br/>
            </w:r>
            <w:r>
              <w:rPr>
                <w:rFonts w:ascii="SimSun" w:hAnsi="SimSun"/>
                <w:b w:val="false"/>
                <w:i w:val="false"/>
                <w:color w:val="000000"/>
                <w:sz w:val="21"/>
              </w:rPr>
              <w:t>Fundamentals of Network Protocol and Security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修满27学分。要求修读荣誉课程不低于24学分（不少于6门课），且满足专业进阶模块I修读13学分、专业进阶模块II修读8学分。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修满36学分。要求在本专业专业进阶模块I修读13学分、专业进阶模块II修读8学分、1个非本专业独立开设的学程15学分。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修满36学分。要求在本专业专业进阶模块I修读13学分、专业进阶模块II修读8学分、1个创新创业学程。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13学分、专业进阶模块II修读8学分、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3. 在组一和组二中，选择一组课程完成修读，要求修读6学分。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组一：毕业论文（6学分，课程代码：EST40005）
       </w:t>
      </w:r>
      <w:r>
        <w:br/>
      </w:r>
      <w:r>
        <w:rPr>
          <w:rFonts w:ascii="SimSun" w:hAnsi="SimSun"/>
          <w:b w:val="false"/>
          <w:i w:val="false"/>
          <w:color w:val="000000"/>
          <w:sz w:val="21"/>
        </w:rPr>
        <w:t xml:space="preserve">
       </w:t>
      </w:r>
      <w:r>
        <w:br/>
      </w:r>
      <w:r>
        <w:rPr>
          <w:rFonts w:ascii="SimSun" w:hAnsi="SimSun"/>
          <w:b w:val="false"/>
          <w:i w:val="false"/>
          <w:color w:val="000000"/>
          <w:sz w:val="21"/>
        </w:rPr>
        <w:t xml:space="preserve">    组二：科研实践I；科研实践II；复芏计划；毕业论文（2学分，课程代码：	EST40035）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