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2025国际经济与贸易（国际经济学、全球大数据与人工智能）专业本科培养方案（港澳台侨生）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经济学院创建于1985年，其历史渊源可追溯至1917年复旦大学设立的商科与1922年成立的经济学系，历经百年积淀，已成为中国经济学教育与研究的重镇。学院现拥有理论经济学和应用经济学两个国家一级学科，其中理论经济学一级学科及金融学、产业经济学两个应用经济学二级学科均为国家重点学科。经济学科秉承“经世济民、追求卓越”的理念，以先进的育人理念、雄厚的师资力量、和谐的管理氛围、优质的学术成果等优势被公认为国内最强的经济学科之一。</w:t>
      </w:r>
    </w:p>
    <w:p>
      <w:pPr>
        <w:spacing w:after="0"/>
        <w:ind w:left="0"/>
        <w:jc w:val="left"/>
      </w:pPr>
      <w:r>
        <w:rPr>
          <w:rFonts w:ascii="SimSun" w:hAnsi="SimSun"/>
          <w:b w:val="false"/>
          <w:i w:val="false"/>
          <w:color w:val="000000"/>
          <w:sz w:val="21"/>
        </w:rPr>
        <w:t xml:space="preserve">       在国际经济与贸易学科建设方面，复旦大学经济学院有着深厚的传统与卓越的成绩。1920年，复旦大学率先创设国际贸易专业，开中国国际贸易高等教育之先河；1964年成立世界经济研究所，该所自2000年起成为教育部人文社会科学重点研究基地；1979年，为适应改革开放需要，复旦大学成立世界经济系，系我国高校成立的第一个世界经济系，并于1984年设立国际金融专业；2021年，为顺应经济贸易发展与大数据方法联系日趋紧密的趋势，成立国际经济与贸易和数据科学与大数据技术双学士学位培养项目。复旦大学国际经济与贸易学科始终秉持开放、前沿的视野与目标，在国际贸易、国际金融等领域保持国内领先地位，与哈佛大学、伦敦政治经济学院等世界一流高校建立了长期合作关系，持续为中国的对外开放和全球经济治理贡献智慧和力量。</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依托教育部基础学科拔尖学生培养计划2.0经济学拔尖学生培养基地，按照“宽口径、厚基础、重能力、求创新”的人才培养要求，以“2+X+Y”（2是通识和专业教育，X是多元发展路径，Y为融合创新能力）为途径，致力于培养具有前瞻性国际视野，顺应数字经济发展潮流，熟悉国际贸易、国际金融理论与规律，掌握前沿经济、金融、贸易大数据分析处理工具，富有创新意识和创新能力，能够从事跨国经济、金融、投资、贸易和全球战略管理工作的创新型人才。</w:t>
      </w:r>
    </w:p>
    <w:p>
      <w:pPr>
        <w:spacing w:after="0"/>
        <w:ind w:left="0"/>
        <w:jc w:val="left"/>
      </w:pPr>
      <w:r>
        <w:rPr>
          <w:rFonts w:ascii="SimSun" w:hAnsi="SimSun"/>
          <w:b w:val="false"/>
          <w:i w:val="false"/>
          <w:color w:val="000000"/>
          <w:sz w:val="21"/>
        </w:rPr>
        <w:t xml:space="preserve">      学生应具备高尚的道德情操、科学的世界观、深厚的人文情怀和开放的国际视野，系统掌握数理建模和分析方法，精通国际经济、国际金融、数字经济核心理论，能够敏锐捕捉国际经济、金融与贸易实践中的前沿问题，形成“前沿、批判和直觉”的思维习惯，探究底层经济运行机理，能够熟练运用人工智能方法、大数据分析及机器学习技术，具备对全球经济、金融数据进行智能化分析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741333"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41333" cy="1710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113</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通识教育课程14学分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专业进阶模块21学分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26"/>
        <w:gridCol w:w="1627"/>
        <w:gridCol w:w="1627"/>
        <w:gridCol w:w="1637"/>
        <w:gridCol w:w="1638"/>
        <w:gridCol w:w="1638"/>
        <w:gridCol w:w="1638"/>
        <w:gridCol w:w="1638"/>
        <w:gridCol w:w="1643"/>
        <w:gridCol w:w="1644"/>
        <w:gridCol w:w="1644"/>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专业进阶路径：113学分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本路径学生需要完成113学分，包括通识教育课程113学分、专业培养课程71学分、专业进阶模块修读21学分、融合创新能力模块7学分。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本科荣誉项目：113学分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跨学科学发展路径：122学分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本路径学生需要完成122学分，包括通识教育课程14学分、专业培养课程71学分、融合创新能力模块7学分、修读2个跨学科学程30学分。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4、国际经济与贸易+数据科学与大数据技术双学士学位项目：140学分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具体要求见国际经济与贸易+数据科学与大数据技术双学士学位项目培养方案。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357"/>
        <w:gridCol w:w="2357"/>
        <w:gridCol w:w="2357"/>
        <w:gridCol w:w="2357"/>
        <w:gridCol w:w="2357"/>
        <w:gridCol w:w="2357"/>
        <w:gridCol w:w="2357"/>
        <w:gridCol w:w="2357"/>
        <w:gridCol w:w="2364"/>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28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国际经济与贸易+数据科学与大数据技术双学位项目，如达到国际经济与贸易+数据科学与大数据技术双学士学位要求者授予理学-工学双学士学位。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368"/>
        <w:gridCol w:w="3368"/>
        <w:gridCol w:w="3372"/>
        <w:gridCol w:w="3372"/>
        <w:gridCol w:w="3372"/>
        <w:gridCol w:w="3372"/>
        <w:gridCol w:w="3372"/>
        <w:gridCol w:w="3372"/>
        <w:gridCol w:w="3372"/>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构建了以“数理基础—国际经济、金融理论与应用—AI与大数据方法及数字经济基础”为主线的跨学科课程体系。课程分为三个模块并逐步进阶：数理基础模块包括数学分析、计量经济等课程，为学生提供坚实的定量分析基础；国际经济金融理论与应用模块涵盖宏微观经济、国际贸易、国际金融、货币经济学等课程，实现由基础理论到高级研究的逐层推进；AI与大数据方法及数字经济基础模块整合最优化方法、机器学习、神经网络等课程，着重培养学生的智能化分析与预测能力。课程内容由浅入深、螺旋上升，建构起“本研一体、逐级递进”的专业核心课程体系。学生在完成主干课程学习的同时，鼓励挑战AI+经济交叉领域的高阶荣誉课程，推动学术能力跃升。</w:t>
            </w: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93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构建了“科研导引—实践探索—专题研究—毕业论文”的全周期、螺旋式科研训练体系，帮助学生早期接触科研、逐步形成研究能力：低年级阶段（1-2年级）设置“走进经济学系列讲座”“中国经济学家系列讲座”等启蒙类课程，引导学生理解前沿问题，激发科研兴趣；中期阶段（3-4年级）安排“科研实验”“复芏计划（FDUROP）”等项目实践，鼓励学生参与经济政策、数据分析、全球问题等方向研究，培养“做中学、学中悟”的能力；高年级阶段通过“本科毕业论文”或参与“经济学专题讲座”“论文写作训练”等，形成系统研究成果。整个科研训练体系配备“导师制”机制，支持学生参与团队项目、跨学科课题，逐步成长为具备创新能力与学术视野的拔尖人才。</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数理基础和方法→经济学基础理论→经济学基础应用→科研训练体系”为主线建立了难度逐级提升的专业进阶课程体系，在解决复杂问题的过程中培养实践能力，激发批判性思维和科研潜力。提供14门专业核心课程，18门专业进阶I组课程和一系列更高难度的专业进阶II组课程，为学生打造坚实的经济学理论和应用基础的同时，也为拥有不同学习兴趣的学生提供了宽广的选择。鼓励学生修读荣誉课程。</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走进经济学系列讲座”和“中国经济学系列讲座”，覆盖全体本科生，引导学生深入了解中国经济现实和经济学研究的国际前沿，培育研究兴趣和提问能力。鼓励本科高年级通过学术实践和科研实践提升能力，助力学生完成复芏计划（FDUROP）项目（䇹政、望道、登辉和曦源），激发研究志趣。多渠道支持学生参加国内国际高水平学术交流，鼓励学生参加国内国际高水平创新竞赛（中国国际大学生创新大赛、“挑战杯”全国大学生课外学术科技作品竞赛等）。</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 and Deep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国际经济学经典文献选读与写作</w:t>
            </w:r>
            <w:r>
              <w:br/>
            </w:r>
            <w:r>
              <w:br/>
            </w:r>
            <w:r>
              <w:rPr>
                <w:rFonts w:ascii="SimSun" w:hAnsi="SimSun"/>
                <w:b w:val="false"/>
                <w:i w:val="false"/>
                <w:color w:val="000000"/>
                <w:sz w:val="21"/>
              </w:rPr>
              <w:t>Classic Literature Reading and Academic Writing of International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理论模块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经济金融模块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数字模块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Computational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多模态数据同化</w:t>
            </w:r>
            <w:r>
              <w:br/>
            </w:r>
            <w:r>
              <w:br/>
            </w:r>
            <w:r>
              <w:rPr>
                <w:rFonts w:ascii="SimSun" w:hAnsi="SimSun"/>
                <w:b w:val="false"/>
                <w:i w:val="false"/>
                <w:color w:val="000000"/>
                <w:sz w:val="21"/>
              </w:rPr>
              <w:t>Multimode Data Assimilation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人工智能中的稀疏理论与应用</w:t>
            </w:r>
            <w:r>
              <w:br/>
            </w:r>
            <w:r>
              <w:br/>
            </w:r>
            <w:r>
              <w:rPr>
                <w:rFonts w:ascii="SimSun" w:hAnsi="SimSun"/>
                <w:b w:val="false"/>
                <w:i w:val="false"/>
                <w:color w:val="000000"/>
                <w:sz w:val="21"/>
              </w:rPr>
              <w:t>Sparse Theory and Applications in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w:t>
            </w:r>
            <w:r>
              <w:br/>
            </w:r>
            <w:r>
              <w:br/>
            </w:r>
            <w:r>
              <w:rPr>
                <w:rFonts w:ascii="SimSun" w:hAnsi="SimSun"/>
                <w:b w:val="false"/>
                <w:i w:val="false"/>
                <w:color w:val="000000"/>
                <w:sz w:val="21"/>
              </w:rPr>
              <w:t>Natural Language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融合模块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方法模块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专业进阶（多元发展）</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理论模块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经济金融模块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数字模块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Computational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多模态数据同化</w:t>
            </w:r>
            <w:r>
              <w:br/>
            </w:r>
            <w:r>
              <w:br/>
            </w:r>
            <w:r>
              <w:rPr>
                <w:rFonts w:ascii="SimSun" w:hAnsi="SimSun"/>
                <w:b w:val="false"/>
                <w:i w:val="false"/>
                <w:color w:val="000000"/>
                <w:sz w:val="21"/>
              </w:rPr>
              <w:t>Multimode Data Assimilation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人工智能中的稀疏理论与应用</w:t>
            </w:r>
            <w:r>
              <w:br/>
            </w:r>
            <w:r>
              <w:br/>
            </w:r>
            <w:r>
              <w:rPr>
                <w:rFonts w:ascii="SimSun" w:hAnsi="SimSun"/>
                <w:b w:val="false"/>
                <w:i w:val="false"/>
                <w:color w:val="000000"/>
                <w:sz w:val="21"/>
              </w:rPr>
              <w:t>Sparse Theory and Applications in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w:t>
            </w:r>
            <w:r>
              <w:br/>
            </w:r>
            <w:r>
              <w:br/>
            </w:r>
            <w:r>
              <w:rPr>
                <w:rFonts w:ascii="SimSun" w:hAnsi="SimSun"/>
                <w:b w:val="false"/>
                <w:i w:val="false"/>
                <w:color w:val="000000"/>
                <w:sz w:val="21"/>
              </w:rPr>
              <w:t>Natural Language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融合模块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方法模块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