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4.png"/>
  <Override ContentType="image/png" PartName="/word/media/document_image_rId5.png"/>
  <Override ContentType="image/png" PartName="/word/media/document_image_rId6.png"/>
  <Override ContentType="image/png" PartName="/word/media/document_image_rId7.png"/>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body>
    <w:p>
      <w:pPr>
        <w:spacing w:after="0"/>
        <w:ind w:left="0"/>
        <w:jc w:val="center"/>
      </w:pPr>
      <w:r>
        <w:rPr>
          <w:rFonts w:ascii="SimSun" w:hAnsi="SimSun"/>
          <w:b w:val="false"/>
          <w:i w:val="false"/>
          <w:color w:val="000000"/>
          <w:sz w:val="21"/>
        </w:rPr>
        <w:t xml:space="preserve">
    </w:t>
      </w:r>
      <w:r>
        <w:drawing>
          <wp:inline distT="0" distB="0" distL="0" distR="0">
            <wp:extent cx="2395525" cy="780225"/>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395525" cy="780225"/>
                    </a:xfrm>
                    <a:prstGeom prst="rect">
                      <a:avLst/>
                    </a:prstGeom>
                  </pic:spPr>
                </pic:pic>
              </a:graphicData>
            </a:graphic>
          </wp:inline>
        </w:drawing>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r>
        <w:rPr>
          <w:rFonts w:ascii="SimSun" w:hAnsi="SimSun"/>
          <w:b/>
          <w:i w:val="false"/>
          <w:color w:val="000000"/>
          <w:sz w:val="44"/>
        </w:rPr>
        <w:t>公共卫生学院</w:t>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bookmarkStart w:id="0" w:name="print-title"/>
      <w:r>
        <w:rPr>
          <w:rFonts w:ascii="SimSun" w:hAnsi="SimSun"/>
          <w:b/>
          <w:i w:val="false"/>
          <w:color w:val="000000"/>
          <w:sz w:val="44"/>
        </w:rPr>
        <w:t>2025预防医学-公共卫生与预防医学本博融通培养方案</w:t>
      </w:r>
      <w:bookmarkEnd w:id="0"/>
      <w:r>
        <w:rPr>
          <w:rFonts w:ascii="SimSun" w:hAnsi="SimSun"/>
          <w:b w:val="false"/>
          <w:i w:val="false"/>
          <w:color w:val="000000"/>
          <w:sz w:val="21"/>
        </w:rPr>
        <w:t xml:space="preserve"> 
   </w:t>
      </w:r>
    </w:p>
    <w:p>
      <w:pPr>
        <w:spacing w:after="0"/>
        <w:ind w:left="0"/>
        <w:jc w:val="left"/>
      </w:pPr>
      <w:r>
        <w:rPr>
          <w:rFonts w:ascii="SimSun" w:hAnsi="SimSun"/>
          <w:b/>
          <w:i w:val="false"/>
          <w:color w:val="000000"/>
          <w:sz w:val="24"/>
        </w:rPr>
        <w:t xml:space="preserve">
       一.    学科专业简介
      </w:t>
      </w:r>
    </w:p>
    <w:p>
      <w:pPr>
        <w:spacing w:after="0"/>
        <w:ind w:left="0"/>
        <w:jc w:val="left"/>
      </w:pPr>
      <w:r>
        <w:rPr>
          <w:rFonts w:ascii="SimSun" w:hAnsi="SimSun"/>
          <w:b w:val="false"/>
          <w:i w:val="false"/>
          <w:color w:val="000000"/>
          <w:sz w:val="21"/>
        </w:rPr>
        <w:t>一流公共卫生与预防医学学科是保障国家公共卫生安全、实现健康中国建设这一国家重大发展战略的必要支撑。复旦大学公共卫生与预防医学学科是教育部“双一流”建设学科，在最新一轮教育部学科评估中获评顶尖成绩。入选国家高水平公共卫生学院、上海市I类高峰学科。本专业立足于国家社会经济和公共卫生的发展需求，服务于“健康中国”和“全球健康”国家战略，以保障人群健康、控制重大疾病和贡献科学决策为目标，为国家公共卫生事业的高质量发展提供强有力的人才支撑。</w:t>
      </w:r>
    </w:p>
    <w:p>
      <w:pPr>
        <w:spacing w:after="0"/>
        <w:ind w:left="0"/>
        <w:jc w:val="left"/>
      </w:pPr>
      <w:r>
        <w:rPr>
          <w:rFonts w:ascii="SimSun" w:hAnsi="SimSun"/>
          <w:b/>
          <w:i w:val="false"/>
          <w:color w:val="000000"/>
          <w:sz w:val="24"/>
        </w:rPr>
        <w:t xml:space="preserve">
       二.    培养目标
      </w:t>
      </w:r>
    </w:p>
    <w:p>
      <w:pPr>
        <w:spacing w:after="0"/>
        <w:ind w:left="0"/>
        <w:jc w:val="left"/>
      </w:pPr>
      <w:r>
        <w:rPr>
          <w:rFonts w:ascii="SimSun" w:hAnsi="SimSun"/>
          <w:b w:val="false"/>
          <w:i w:val="false"/>
          <w:color w:val="000000"/>
          <w:sz w:val="21"/>
        </w:rPr>
        <w:t>培养预防医学拔尖创新人才。坚持德智体美劳全面发展，培养具有良好政治素质和道德修养、广阔国际视野、扎实学术基础、独立科研创新能力以及较强公共卫生实践核心和专业能力的一流公共卫生领军人才，能够应对全球公共卫生挑战、参与全球卫生治理与合作的高层次复合型人才，为人类公共卫生事业的发展与进步提供坚实人才支撑。</w:t>
      </w:r>
    </w:p>
    <w:p>
      <w:pPr>
        <w:spacing w:after="0"/>
        <w:ind w:left="0"/>
        <w:jc w:val="left"/>
      </w:pPr>
      <w:r>
        <w:rPr>
          <w:rFonts w:ascii="SimSun" w:hAnsi="SimSun"/>
          <w:b/>
          <w:i w:val="false"/>
          <w:color w:val="000000"/>
          <w:sz w:val="24"/>
        </w:rPr>
        <w:t xml:space="preserve">
       三.    基本要求
      </w:t>
      </w:r>
    </w:p>
    <w:p>
      <w:pPr>
        <w:spacing w:after="0"/>
        <w:ind w:left="0"/>
        <w:jc w:val="left"/>
      </w:pPr>
      <w:r>
        <w:drawing>
          <wp:inline distT="0" distB="0" distL="0" distR="0">
            <wp:extent cx="4131733" cy="1405467"/>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4131733" cy="1405467"/>
                    </a:xfrm>
                    <a:prstGeom prst="rect">
                      <a:avLst/>
                    </a:prstGeom>
                  </pic:spPr>
                </pic:pic>
              </a:graphicData>
            </a:graphic>
          </wp:inline>
        </w:drawing>
      </w:r>
    </w:p>
    <w:p>
      <w:pPr>
        <w:spacing w:after="0"/>
        <w:ind w:left="0"/>
        <w:jc w:val="left"/>
      </w:pPr>
      <w:r>
        <w:rPr>
          <w:rFonts w:ascii="SimSun" w:hAnsi="SimSun"/>
          <w:b/>
          <w:i w:val="false"/>
          <w:color w:val="000000"/>
          <w:sz w:val="24"/>
        </w:rPr>
        <w:t xml:space="preserve">
       四.    修业要求
      </w:t>
      </w:r>
    </w:p>
    <w:p>
      <w:pPr>
        <w:spacing w:after="0"/>
        <w:ind w:left="0"/>
        <w:jc w:val="left"/>
      </w:pPr>
    </w:p>
    <w:p>
      <w:pPr>
        <w:spacing w:after="0"/>
        <w:ind w:left="0"/>
        <w:jc w:val="left"/>
      </w:pPr>
      <w:r>
        <w:rPr>
          <w:rFonts w:ascii="SimSun" w:hAnsi="SimSun"/>
          <w:b w:val="false"/>
          <w:i w:val="false"/>
          <w:color w:val="000000"/>
          <w:sz w:val="21"/>
        </w:rPr>
        <w:t>
                  1.修业年限：</w:t>
      </w:r>
      <w:r>
        <w:rPr>
          <w:rFonts w:ascii="SimSun" w:hAnsi="SimSun"/>
          <w:b w:val="false"/>
          <w:i w:val="false"/>
          <w:color w:val="000000"/>
          <w:sz w:val="21"/>
        </w:rPr>
        <w:t>9</w:t>
      </w:r>
      <w:r>
        <w:rPr>
          <w:rFonts w:ascii="SimSun" w:hAnsi="SimSun"/>
          <w:b w:val="false"/>
          <w:i w:val="false"/>
          <w:color w:val="000000"/>
          <w:sz w:val="21"/>
        </w:rPr>
        <w:t xml:space="preserve">年
      </w:t>
      </w:r>
    </w:p>
    <w:p>
      <w:pPr>
        <w:spacing w:after="0"/>
        <w:ind w:left="0"/>
        <w:jc w:val="left"/>
      </w:pPr>
      <w:r>
        <w:rPr>
          <w:rFonts w:ascii="SimSun" w:hAnsi="SimSun"/>
          <w:b w:val="false"/>
          <w:i w:val="false"/>
          <w:color w:val="000000"/>
          <w:sz w:val="21"/>
        </w:rPr>
        <w:t xml:space="preserve">
                  2.学业升段考核要求：
      </w:t>
      </w:r>
    </w:p>
    <w:tbl>
      <w:tblPr>
        <w:tblW w:w="0" w:type="auto"/>
        <w:tblCellSpacing w:w="0" w:type="auto"/>
        <w:tblBorders>
          <w:top w:val="none"/>
          <w:left w:val="none"/>
          <w:bottom w:val="none"/>
          <w:right w:val="none"/>
          <w:insideH w:val="none"/>
          <w:insideV w:val="none"/>
        </w:tblBorders>
      </w:tblPr>
      <w:tblGrid>
        <w:gridCol w:w="3818"/>
        <w:gridCol w:w="3409"/>
        <w:gridCol w:w="2999"/>
        <w:gridCol w:w="3408"/>
      </w:tblGrid>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考核时间</w:t>
            </w:r>
          </w:p>
        </w:tc>
        <w:tc>
          <w:tcPr>
            <w:tcW w:w="29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考核方式</w:t>
            </w:r>
          </w:p>
        </w:tc>
        <w:tc>
          <w:tcPr>
            <w:tcW w:w="340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考核内容</w:t>
            </w: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本科生学段
                    </w:t>
            </w: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4年级结束</w:t>
            </w: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学业成绩为已修读课程的加权平均值；
面试内容：荣誉课程学习情况、综合评价（竞赛、比赛、科研实践情况等内容）</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研究生学段（博士生资格考核）
                    </w:t>
            </w: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6年级结束 </w:t>
            </w: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学业成绩为已修读课程的加权平均值；
面试内容：已从事的科研活动及取得的科研成果介绍，以及下一步的科研计划</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bl>
    <w:p>
      <w:pPr>
        <w:spacing w:after="0"/>
        <w:ind w:left="0"/>
        <w:jc w:val="left"/>
      </w:pPr>
      <w:r>
        <w:rPr>
          <w:rFonts w:ascii="SimSun" w:hAnsi="SimSun"/>
          <w:b w:val="false"/>
          <w:i w:val="false"/>
          <w:color w:val="000000"/>
          <w:sz w:val="21"/>
        </w:rPr>
        <w:t xml:space="preserve">
                  3.学业退出说明：
      </w:t>
      </w:r>
    </w:p>
    <w:tbl>
      <w:tblPr>
        <w:tblW w:w="0" w:type="auto"/>
        <w:tblCellSpacing w:w="0" w:type="auto"/>
        <w:tblBorders>
          <w:top w:val="none"/>
          <w:left w:val="none"/>
          <w:bottom w:val="none"/>
          <w:right w:val="none"/>
          <w:insideH w:val="none"/>
          <w:insideV w:val="none"/>
        </w:tblBorders>
      </w:tblPr>
      <w:tblGrid>
        <w:gridCol w:w="3818"/>
        <w:gridCol w:w="3409"/>
        <w:gridCol w:w="6407"/>
      </w:tblGrid>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退出形式</w:t>
            </w:r>
          </w:p>
        </w:tc>
        <w:tc>
          <w:tcPr>
            <w:tcW w:w="6407"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退出后修读专业</w:t>
            </w: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本科生学段
                    </w:t>
            </w:r>
          </w:p>
        </w:tc>
        <w:tc>
          <w:tcPr>
            <w:tcW w:w="34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主动退出   </w:t>
            </w:r>
          </w:p>
        </w:tc>
        <w:tc>
          <w:tcPr>
            <w:tcW w:w="6407"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预防医学专业本科培养方案</w:t>
            </w:r>
          </w:p>
        </w:tc>
      </w:tr>
      <w:tr>
        <w:trPr>
          <w:trHeight w:val="45" w:hRule="atLeast"/>
        </w:trPr>
        <w:tc>
          <w:tcPr>
            <w:tcW w:w="0" w:type="auto"/>
            <w:vMerge/>
            <w:tcBorders>
              <w:top w:val="nil"/>
              <w:left w:val="single" w:color="000000" w:sz="8"/>
            </w:tcBorders>
          </w:tcPr>
          <w:p/>
        </w:tc>
        <w:tc>
          <w:tcPr>
            <w:tcW w:w="340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考核不通过退出   </w:t>
            </w:r>
          </w:p>
        </w:tc>
        <w:tc>
          <w:tcPr>
            <w:tcW w:w="0" w:type="auto"/>
            <w:vMerge/>
            <w:tcBorders>
              <w:top w:val="nil"/>
              <w:left w:val="single" w:color="000000" w:sz="8"/>
              <w:right w:val="single" w:color="000000" w:sz="8"/>
            </w:tcBorders>
          </w:tcP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研究生学段（博士生资格考核）
                    </w:t>
            </w:r>
          </w:p>
        </w:tc>
        <w:tc>
          <w:tcPr>
            <w:tcW w:w="34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主动退出   </w:t>
            </w:r>
          </w:p>
        </w:tc>
        <w:tc>
          <w:tcPr>
            <w:tcW w:w="6407"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公共卫生与预防医学学历硕士生培养方案</w:t>
            </w:r>
          </w:p>
        </w:tc>
      </w:tr>
      <w:tr>
        <w:trPr>
          <w:trHeight w:val="45" w:hRule="atLeast"/>
        </w:trPr>
        <w:tc>
          <w:tcPr>
            <w:tcW w:w="0" w:type="auto"/>
            <w:vMerge/>
            <w:tcBorders>
              <w:top w:val="nil"/>
              <w:left w:val="single" w:color="000000" w:sz="8"/>
            </w:tcBorders>
          </w:tcPr>
          <w:p/>
        </w:tc>
        <w:tc>
          <w:tcPr>
            <w:tcW w:w="3409"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考核不通过退出   </w:t>
            </w:r>
          </w:p>
        </w:tc>
        <w:tc>
          <w:tcPr>
            <w:tcW w:w="0" w:type="auto"/>
            <w:vMerge/>
            <w:tcBorders>
              <w:top w:val="nil"/>
              <w:left w:val="single" w:color="000000" w:sz="8"/>
              <w:right w:val="single" w:color="000000" w:sz="8"/>
            </w:tcBorders>
          </w:tcPr>
          <w:p/>
        </w:tc>
      </w:tr>
    </w:tbl>
    <w:p>
      <w:pPr>
        <w:spacing w:after="0"/>
        <w:ind w:left="0"/>
        <w:jc w:val="left"/>
      </w:pPr>
      <w:r>
        <w:rPr>
          <w:rFonts w:ascii="SimSun" w:hAnsi="SimSun"/>
          <w:b w:val="false"/>
          <w:i w:val="false"/>
          <w:color w:val="000000"/>
          <w:sz w:val="21"/>
        </w:rPr>
        <w:t xml:space="preserve">
                  4.学业补入说明：
      </w:t>
      </w:r>
    </w:p>
    <w:tbl>
      <w:tblPr>
        <w:tblW w:w="0" w:type="auto"/>
        <w:tblCellSpacing w:w="0" w:type="auto"/>
        <w:tblBorders>
          <w:top w:val="none"/>
          <w:left w:val="none"/>
          <w:bottom w:val="none"/>
          <w:right w:val="none"/>
          <w:insideH w:val="none"/>
          <w:insideV w:val="none"/>
        </w:tblBorders>
      </w:tblPr>
      <w:tblGrid>
        <w:gridCol w:w="3818"/>
        <w:gridCol w:w="3409"/>
        <w:gridCol w:w="2999"/>
        <w:gridCol w:w="3408"/>
      </w:tblGrid>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是否补入</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补入时间</w:t>
            </w:r>
          </w:p>
        </w:tc>
        <w:tc>
          <w:tcPr>
            <w:tcW w:w="29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考核方式</w:t>
            </w:r>
          </w:p>
        </w:tc>
        <w:tc>
          <w:tcPr>
            <w:tcW w:w="340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考核内容</w:t>
            </w: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是   （总额不变，动态进出）</w:t>
            </w: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4年级结束</w:t>
            </w: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面试内容：学生专业能力、学术成就以及科研兴趣与潜力等方面</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否   （只出不进）</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
                    </w:t>
            </w:r>
          </w:p>
        </w:tc>
        <w:tc>
          <w:tcPr>
            <w:tcW w:w="29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
                    </w:t>
            </w:r>
          </w:p>
        </w:tc>
        <w:tc>
          <w:tcPr>
            <w:tcW w:w="340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
                    </w:t>
            </w:r>
          </w:p>
        </w:tc>
      </w:tr>
    </w:tbl>
    <w:p>
      <w:pPr>
        <w:spacing w:after="0"/>
        <w:ind w:left="0"/>
        <w:jc w:val="left"/>
      </w:pPr>
      <w:r>
        <w:rPr>
          <w:rFonts w:ascii="SimSun" w:hAnsi="SimSun"/>
          <w:b w:val="false"/>
          <w:i w:val="false"/>
          <w:color w:val="000000"/>
          <w:sz w:val="21"/>
        </w:rPr>
        <w:t xml:space="preserve">
                  5.学位授予说明：
      </w:t>
      </w:r>
    </w:p>
    <w:tbl>
      <w:tblPr>
        <w:tblW w:w="0" w:type="auto"/>
        <w:tblCellSpacing w:w="0" w:type="auto"/>
        <w:tblBorders>
          <w:top w:val="none"/>
          <w:left w:val="none"/>
          <w:bottom w:val="none"/>
          <w:right w:val="none"/>
          <w:insideH w:val="none"/>
          <w:insideV w:val="none"/>
        </w:tblBorders>
      </w:tblPr>
      <w:tblGrid>
        <w:gridCol w:w="1637"/>
        <w:gridCol w:w="2046"/>
        <w:gridCol w:w="1772"/>
        <w:gridCol w:w="1772"/>
        <w:gridCol w:w="1772"/>
        <w:gridCol w:w="954"/>
        <w:gridCol w:w="3681"/>
      </w:tblGrid>
      <w:tr>
        <w:trPr>
          <w:trHeight w:val="45" w:hRule="atLeast"/>
        </w:trPr>
        <w:tc>
          <w:tcPr>
            <w:tcW w:w="16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w:t>
            </w:r>
          </w:p>
        </w:tc>
        <w:tc>
          <w:tcPr>
            <w:tcW w:w="20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时间</w:t>
            </w:r>
          </w:p>
        </w:tc>
        <w:tc>
          <w:tcPr>
            <w:tcW w:w="1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授予学位</w:t>
            </w:r>
          </w:p>
        </w:tc>
        <w:tc>
          <w:tcPr>
            <w:tcW w:w="1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学位类型</w:t>
            </w:r>
          </w:p>
        </w:tc>
        <w:tc>
          <w:tcPr>
            <w:tcW w:w="1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专业名称</w:t>
            </w: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学段审核要求</w:t>
            </w:r>
          </w:p>
        </w:tc>
      </w:tr>
      <w:tr>
        <w:trPr>
          <w:trHeight w:val="45" w:hRule="atLeast"/>
        </w:trPr>
        <w:tc>
          <w:tcPr>
            <w:tcW w:w="1637"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本科生学段
                    </w:t>
            </w:r>
          </w:p>
        </w:tc>
        <w:tc>
          <w:tcPr>
            <w:tcW w:w="2046"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r>
              <w:rPr>
                <w:rFonts w:ascii="SimSun" w:hAnsi="SimSun"/>
                <w:b w:val="false"/>
                <w:i w:val="false"/>
                <w:color w:val="000000"/>
                <w:sz w:val="21"/>
              </w:rPr>
              <w:t xml:space="preserve">年级
                    </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学术学位</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预防医学</w:t>
            </w: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按照不少于总学分比例</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按照不少于学分数   </w:t>
            </w:r>
            <w:r>
              <w:rPr>
                <w:rFonts w:ascii="SimSun" w:hAnsi="SimSun"/>
                <w:b w:val="false"/>
                <w:i w:val="false"/>
                <w:color w:val="000000"/>
                <w:sz w:val="21"/>
              </w:rPr>
              <w:t xml:space="preserve"> </w:t>
            </w:r>
            <w:r>
              <w:rPr>
                <w:rFonts w:ascii="SimSun" w:hAnsi="SimSun"/>
                <w:b w:val="false"/>
                <w:i w:val="false"/>
                <w:color w:val="000000"/>
                <w:sz w:val="21"/>
              </w:rPr>
              <w:t>195</w:t>
            </w:r>
          </w:p>
        </w:tc>
      </w:tr>
      <w:tr>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954"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必修课组须通过   </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通识教育课程</w:t>
            </w:r>
            <w:r>
              <w:rPr>
                <w:rFonts w:ascii="SimSun" w:hAnsi="SimSun"/>
                <w:b w:val="false"/>
                <w:i w:val="false"/>
                <w:color w:val="000000"/>
                <w:sz w:val="21"/>
              </w:rPr>
              <w:t xml:space="preserve"> </w:t>
            </w:r>
            <w:r>
              <w:rPr>
                <w:rFonts w:ascii="SimSun" w:hAnsi="SimSun"/>
                <w:b w:val="false"/>
                <w:i w:val="false"/>
                <w:color w:val="000000"/>
                <w:sz w:val="21"/>
              </w:rPr>
              <w:t>42</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专业培养课程</w:t>
            </w:r>
            <w:r>
              <w:rPr>
                <w:rFonts w:ascii="SimSun" w:hAnsi="SimSun"/>
                <w:b w:val="false"/>
                <w:i w:val="false"/>
                <w:color w:val="000000"/>
                <w:sz w:val="21"/>
              </w:rPr>
              <w:t xml:space="preserve"> </w:t>
            </w:r>
            <w:r>
              <w:rPr>
                <w:rFonts w:ascii="SimSun" w:hAnsi="SimSun"/>
                <w:b w:val="false"/>
                <w:i w:val="false"/>
                <w:color w:val="000000"/>
                <w:sz w:val="21"/>
              </w:rPr>
              <w:t>109</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专业进阶模块</w:t>
            </w:r>
            <w:r>
              <w:rPr>
                <w:rFonts w:ascii="SimSun" w:hAnsi="SimSun"/>
                <w:b w:val="false"/>
                <w:i w:val="false"/>
                <w:color w:val="000000"/>
                <w:sz w:val="21"/>
              </w:rPr>
              <w:t xml:space="preserve"> </w:t>
            </w:r>
            <w:r>
              <w:rPr>
                <w:rFonts w:ascii="SimSun" w:hAnsi="SimSun"/>
                <w:b w:val="false"/>
                <w:i w:val="false"/>
                <w:color w:val="000000"/>
                <w:sz w:val="21"/>
              </w:rPr>
              <w:t>20</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融合创新能力实验模块</w:t>
            </w:r>
            <w:r>
              <w:rPr>
                <w:rFonts w:ascii="SimSun" w:hAnsi="SimSun"/>
                <w:b w:val="false"/>
                <w:i w:val="false"/>
                <w:color w:val="000000"/>
                <w:sz w:val="21"/>
              </w:rPr>
              <w:t xml:space="preserve"> </w:t>
            </w:r>
            <w:r>
              <w:rPr>
                <w:rFonts w:ascii="SimSun" w:hAnsi="SimSun"/>
                <w:b w:val="false"/>
                <w:i w:val="false"/>
                <w:color w:val="000000"/>
                <w:sz w:val="21"/>
              </w:rPr>
              <w:t>6</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融合创新能力实践模块</w:t>
            </w:r>
            <w:r>
              <w:rPr>
                <w:rFonts w:ascii="SimSun" w:hAnsi="SimSun"/>
                <w:b w:val="false"/>
                <w:i w:val="false"/>
                <w:color w:val="000000"/>
                <w:sz w:val="21"/>
              </w:rPr>
              <w:t xml:space="preserve"> </w:t>
            </w:r>
            <w:r>
              <w:rPr>
                <w:rFonts w:ascii="SimSun" w:hAnsi="SimSun"/>
                <w:b w:val="false"/>
                <w:i w:val="false"/>
                <w:color w:val="000000"/>
                <w:sz w:val="21"/>
              </w:rPr>
              <w:t>18</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其他   </w:t>
            </w:r>
            <w:r>
              <w:rPr>
                <w:rFonts w:ascii="SimSun" w:hAnsi="SimSun"/>
                <w:b w:val="false"/>
                <w:i w:val="false"/>
                <w:color w:val="000000"/>
                <w:sz w:val="21"/>
              </w:rPr>
              <w:t xml:space="preserve"> </w:t>
            </w:r>
          </w:p>
        </w:tc>
      </w:tr>
      <w:tr>
        <w:trPr>
          <w:trHeight w:val="45" w:hRule="atLeast"/>
        </w:trPr>
        <w:tc>
          <w:tcPr>
            <w:tcW w:w="1637"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研究生学段（博士生资格考核分流）</w:t>
            </w:r>
          </w:p>
        </w:tc>
        <w:tc>
          <w:tcPr>
            <w:tcW w:w="2046"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r>
              <w:rPr>
                <w:rFonts w:ascii="SimSun" w:hAnsi="SimSun"/>
                <w:b w:val="false"/>
                <w:i w:val="false"/>
                <w:color w:val="000000"/>
                <w:sz w:val="21"/>
              </w:rPr>
              <w:t xml:space="preserve"> </w:t>
            </w:r>
            <w:r>
              <w:rPr>
                <w:rFonts w:ascii="SimSun" w:hAnsi="SimSun"/>
                <w:b w:val="false"/>
                <w:i w:val="false"/>
                <w:color w:val="000000"/>
                <w:sz w:val="21"/>
              </w:rPr>
              <w:t>年级</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医学硕士</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学术学位</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公共卫生与预防医学</w:t>
            </w: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按照本硕融通培养方案进行毕业审核   </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按照硕士培养方案进行毕业审核   </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其他   </w:t>
            </w:r>
            <w:r>
              <w:rPr>
                <w:rFonts w:ascii="SimSun" w:hAnsi="SimSun"/>
                <w:b w:val="false"/>
                <w:i w:val="false"/>
                <w:color w:val="000000"/>
                <w:sz w:val="21"/>
              </w:rPr>
              <w:t xml:space="preserve"> </w:t>
            </w:r>
          </w:p>
        </w:tc>
      </w:tr>
      <w:tr>
        <w:trPr>
          <w:trHeight w:val="45" w:hRule="atLeast"/>
        </w:trPr>
        <w:tc>
          <w:tcPr>
            <w:tcW w:w="1637"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博士生学段
                    </w:t>
            </w:r>
          </w:p>
        </w:tc>
        <w:tc>
          <w:tcPr>
            <w:tcW w:w="2046"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w:t>
            </w:r>
            <w:r>
              <w:rPr>
                <w:rFonts w:ascii="SimSun" w:hAnsi="SimSun"/>
                <w:b w:val="false"/>
                <w:i w:val="false"/>
                <w:color w:val="000000"/>
                <w:sz w:val="21"/>
              </w:rPr>
              <w:t xml:space="preserve"> </w:t>
            </w:r>
            <w:r>
              <w:rPr>
                <w:rFonts w:ascii="SimSun" w:hAnsi="SimSun"/>
                <w:b w:val="false"/>
                <w:i w:val="false"/>
                <w:color w:val="000000"/>
                <w:sz w:val="21"/>
              </w:rPr>
              <w:t>年级</w:t>
            </w:r>
          </w:p>
        </w:tc>
        <w:tc>
          <w:tcPr>
            <w:tcW w:w="1772"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医学博士</w:t>
            </w:r>
          </w:p>
        </w:tc>
        <w:tc>
          <w:tcPr>
            <w:tcW w:w="1772"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学术学位</w:t>
            </w:r>
          </w:p>
        </w:tc>
        <w:tc>
          <w:tcPr>
            <w:tcW w:w="1772"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公共卫生与预防医学</w:t>
            </w:r>
          </w:p>
        </w:tc>
        <w:tc>
          <w:tcPr>
            <w:tcW w:w="0" w:type="auto"/>
            <w:gridSpan w:val="2"/>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按照“2+X+Y”本博融通培养方案进行毕业审核   </w:t>
            </w:r>
          </w:p>
        </w:tc>
      </w:tr>
    </w:tbl>
    <w:p>
      <w:pPr>
        <w:spacing w:after="0"/>
        <w:ind w:left="0"/>
        <w:jc w:val="left"/>
      </w:pPr>
      <w:r>
        <w:rPr>
          <w:rFonts w:ascii="SimSun" w:hAnsi="SimSun"/>
          <w:b/>
          <w:i w:val="false"/>
          <w:color w:val="000000"/>
          <w:sz w:val="24"/>
        </w:rPr>
        <w:t xml:space="preserve">
       五.    学分要求
      </w:t>
      </w:r>
    </w:p>
    <w:p>
      <w:pPr>
        <w:spacing w:after="0"/>
        <w:ind w:left="0"/>
        <w:jc w:val="left"/>
      </w:pPr>
      <w:r>
        <w:drawing>
          <wp:inline distT="0" distB="0" distL="0" distR="0">
            <wp:extent cx="4114800" cy="846667"/>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4114800" cy="846667"/>
                    </a:xfrm>
                    <a:prstGeom prst="rect">
                      <a:avLst/>
                    </a:prstGeom>
                  </pic:spPr>
                </pic:pic>
              </a:graphicData>
            </a:graphic>
          </wp:inline>
        </w:drawing>
      </w:r>
    </w:p>
    <w:p>
      <w:pPr>
        <w:spacing w:after="0"/>
        <w:ind w:left="0"/>
        <w:jc w:val="left"/>
      </w:pPr>
      <w:r>
        <w:rPr>
          <w:rFonts w:ascii="SimSun" w:hAnsi="SimSun"/>
          <w:b w:val="false"/>
          <w:i w:val="false"/>
          <w:color w:val="000000"/>
          <w:sz w:val="21"/>
        </w:rPr>
        <w:t>专业进阶路径：215学分</w:t>
      </w:r>
    </w:p>
    <w:p>
      <w:pPr>
        <w:spacing w:after="0"/>
        <w:ind w:left="0"/>
        <w:jc w:val="left"/>
      </w:pPr>
      <w:r>
        <w:rPr>
          <w:rFonts w:ascii="SimSun" w:hAnsi="SimSun"/>
          <w:b w:val="false"/>
          <w:i w:val="false"/>
          <w:color w:val="000000"/>
          <w:sz w:val="21"/>
        </w:rPr>
        <w:t>本路径学生本博期间必须修满教学计划规定的215学分，包括通识教育课程44学分、专业培养课程119学分、专业进阶模块I修读13学分（研究生课程不少于4学分）、专业进阶模块II修读15学分（研究生课程不少于4学分）、融合创新能力模块24学分的修读。</w:t>
      </w:r>
      <w:r>
        <w:br/>
      </w:r>
      <w:r>
        <w:br/>
      </w:r>
      <w:r>
        <w:rPr>
          <w:rFonts w:ascii="SimSun" w:hAnsi="SimSun"/>
          <w:b w:val="false"/>
          <w:i w:val="false"/>
          <w:color w:val="000000"/>
          <w:sz w:val="21"/>
        </w:rPr>
        <w:t>其中，本科学段需要完成195学分（含实践学分不低于50学分；含美育学分不少于2学分，其中至少在“美学和艺术史论类”或“艺术鉴赏和评论类”课程中修读1学分，并至少参与一项艺术实践活动；劳动教育不少于32学时，并满足劳动周教育要求），包括通识教育课程42学分、专业培养课程109学分、专业进阶模块修读20学分、融合创新能力模块24学分。</w:t>
      </w:r>
    </w:p>
    <w:p>
      <w:pPr>
        <w:spacing w:after="0"/>
        <w:ind w:left="0"/>
        <w:jc w:val="left"/>
      </w:pPr>
      <w:r>
        <w:rPr>
          <w:rFonts w:ascii="SimSun" w:hAnsi="SimSun"/>
          <w:b/>
          <w:i w:val="false"/>
          <w:color w:val="000000"/>
          <w:sz w:val="24"/>
        </w:rPr>
        <w:t xml:space="preserve">
       六.    学位要求
      </w:t>
      </w:r>
    </w:p>
    <w:tbl>
      <w:tblPr>
        <w:tblW w:w="0" w:type="auto"/>
        <w:tblCellSpacing w:w="0" w:type="auto"/>
        <w:tblInd w:w="115" w:type="dxa"/>
        <w:tblBorders>
          <w:top w:val="single" w:color="000000" w:sz="8"/>
          <w:left w:val="single" w:color="000000" w:sz="8"/>
          <w:bottom w:val="none"/>
          <w:right w:val="none"/>
          <w:insideH w:val="none"/>
          <w:insideV w:val="none"/>
        </w:tblBorders>
      </w:tblPr>
      <w:tblGrid>
        <w:gridCol w:w="1501"/>
        <w:gridCol w:w="1501"/>
        <w:gridCol w:w="1502"/>
        <w:gridCol w:w="1502"/>
        <w:gridCol w:w="1502"/>
        <w:gridCol w:w="1502"/>
        <w:gridCol w:w="1502"/>
        <w:gridCol w:w="1521"/>
        <w:gridCol w:w="1521"/>
        <w:gridCol w:w="1522"/>
        <w:gridCol w:w="1524"/>
      </w:tblGrid>
      <w:tr>
        <w:trPr>
          <w:trHeight w:val="240"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（一）本科学位</w:t>
            </w:r>
          </w:p>
        </w:tc>
      </w:tr>
      <w:tr>
        <w:trPr>
          <w:trHeight w:val="240"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xml:space="preserve">1. 5年级结束时，如达到学士学位要求者授予医学学士学位。  </w:t>
            </w:r>
          </w:p>
        </w:tc>
      </w:tr>
      <w:tr>
        <w:trPr>
          <w:trHeight w:val="240"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（1）修满规定的学分，达到本科教学培养方案规定的各项要求。</w:t>
            </w:r>
          </w:p>
        </w:tc>
      </w:tr>
      <w:tr>
        <w:trPr>
          <w:trHeight w:val="480"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（2）以符合学生毕业时所在专业教学培养方案规定的所有课程的有效成绩为准计算平均绩点，且此平均绩点大于或等于2.0。</w:t>
            </w:r>
          </w:p>
        </w:tc>
      </w:tr>
      <w:tr>
        <w:trPr>
          <w:trHeight w:val="480"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 本科学段主动退出和转段考核不合格退出本博融通计划的学生，需按照预防医学本科培养方案修读课程，如达到学士学位要求者授予医学学士学位。</w:t>
            </w:r>
          </w:p>
        </w:tc>
      </w:tr>
      <w:tr>
        <w:trPr>
          <w:trHeight w:val="240"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（二）研究生学位</w:t>
            </w:r>
          </w:p>
        </w:tc>
      </w:tr>
      <w:tr>
        <w:trPr>
          <w:trHeight w:val="240"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1、 达到博士学位要求者授予医学博士学位。</w:t>
            </w:r>
          </w:p>
        </w:tc>
      </w:tr>
      <w:tr>
        <w:trPr>
          <w:trHeight w:val="240"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（1）如在8年级时已完成学业，可申请提前毕业。</w:t>
            </w:r>
          </w:p>
        </w:tc>
      </w:tr>
      <w:tr>
        <w:trPr>
          <w:trHeight w:val="240"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（2）必须已修满学校规定的学分，所有修读课程成绩合格，其中研究生学位课程平均绩点不低于2.5。</w:t>
            </w:r>
          </w:p>
        </w:tc>
      </w:tr>
      <w:tr>
        <w:trPr>
          <w:trHeight w:val="1920"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（3）申请人在申请博士学位时，须已获得下列成果之一，并经公共卫生学位评定分委员会认定，其水平达到了博士学位授予要求：</w:t>
            </w:r>
            <w:r>
              <w:br/>
            </w:r>
            <w:r>
              <w:br/>
            </w:r>
            <w:r>
              <w:rPr>
                <w:rFonts w:ascii="SimSun" w:hAnsi="SimSun"/>
                <w:b w:val="false"/>
                <w:i w:val="false"/>
                <w:color w:val="000000"/>
                <w:sz w:val="21"/>
              </w:rPr>
              <w:t>1）与博士论文相关的研究 成果以第一署名作者在公共卫生学位评定分委员会认定的高水平期刊上发表（或被 录用或以共同第一作者在公共卫生学位评定分委员会认定的顶级期刊上发表（或被录用 ），且复旦大学为第一署名单位直博生（含卓博计划和硕博连读生除达到上述要求外，还须以第一署名作者在公共卫生学位评定 分委员会认定的 A 类或高水平期刊上另行发表（或被录用 ）至少 1 篇与学位论文相关的研究性学术论文</w:t>
            </w:r>
            <w:r>
              <w:br/>
            </w:r>
            <w:r>
              <w:br/>
            </w:r>
            <w:r>
              <w:rPr>
                <w:rFonts w:ascii="SimSun" w:hAnsi="SimSun"/>
                <w:b w:val="false"/>
                <w:i w:val="false"/>
                <w:color w:val="000000"/>
                <w:sz w:val="21"/>
              </w:rPr>
              <w:t>2）学位论文的研究成果以复旦大学为第一完成单位获得国家级科研成果奖（排名在前五名之内 ，含第五名 ）或省部级科研成果奖（排名在前三名之内 ，含第三名）。</w:t>
            </w:r>
          </w:p>
        </w:tc>
      </w:tr>
      <w:tr>
        <w:trPr>
          <w:trHeight w:val="480"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2、研究生学段主动退出和博士生资格考核不合格退出本博融通计划的学生，需按照公共卫生与预防医学学历硕士生培养方案修读课程，如达到硕士学位要求者授予医学硕士学位。</w:t>
            </w:r>
          </w:p>
        </w:tc>
      </w:tr>
      <w:tr>
        <w:trPr>
          <w:trHeight w:val="240"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（1）必须已修满学校规定的学分，所有修读课程成绩合格，其中研究生学位课程平均绩点不低于 2.5。</w:t>
            </w:r>
          </w:p>
        </w:tc>
      </w:tr>
      <w:tr>
        <w:trPr>
          <w:trHeight w:val="7440"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（2）在申请硕士学位时，申请人须已获得下列成果之一，且经公共卫生学位评定分委员会认定，其水平达到了硕士学位</w:t>
            </w:r>
            <w:r>
              <w:br/>
            </w:r>
            <w:r>
              <w:br/>
            </w:r>
            <w:r>
              <w:rPr>
                <w:rFonts w:ascii="SimSun" w:hAnsi="SimSun"/>
                <w:b w:val="false"/>
                <w:i w:val="false"/>
                <w:color w:val="000000"/>
                <w:sz w:val="21"/>
              </w:rPr>
              <w:t>授予要求：</w:t>
            </w:r>
            <w:r>
              <w:br/>
            </w:r>
            <w:r>
              <w:br/>
            </w:r>
            <w:r>
              <w:rPr>
                <w:rFonts w:ascii="SimSun" w:hAnsi="SimSun"/>
                <w:b w:val="false"/>
                <w:i w:val="false"/>
                <w:color w:val="000000"/>
                <w:sz w:val="21"/>
              </w:rPr>
              <w:t>1）以第一署名作者、复旦大学为第一署名单位在公共卫生学位评定分委员会认定的国内 B 类期刊上至少发表与学位论文内容相关论文 1 篇；或是以共同第一作者在公共卫生学位评定分委员会认定的 B 类以上期刊含高水平期刊 、顶级期刊 上发表与学位论文内容相关论文1篇；</w:t>
            </w:r>
            <w:r>
              <w:br/>
            </w:r>
            <w:r>
              <w:br/>
            </w:r>
            <w:r>
              <w:rPr>
                <w:rFonts w:ascii="SimSun" w:hAnsi="SimSun"/>
                <w:b w:val="false"/>
                <w:i w:val="false"/>
                <w:color w:val="000000"/>
                <w:sz w:val="21"/>
              </w:rPr>
              <w:t>2）撰写与学位论文内容相关的研究成果报告，以复旦大学为第一完成单位，申请人为第一完成人、导师为完成人之一，或导师为第一完成人、申请人为第二完成人。研究报告的形式包括：国家级行业标准或国家标准； 国家或省部级政策简报、内参。</w:t>
            </w:r>
          </w:p>
        </w:tc>
      </w:tr>
    </w:tbl>
    <w:p>
      <w:pPr>
        <w:spacing w:after="0"/>
        <w:ind w:left="0"/>
        <w:jc w:val="left"/>
      </w:pPr>
      <w:r>
        <w:rPr>
          <w:rFonts w:ascii="SimSun" w:hAnsi="SimSun"/>
          <w:b/>
          <w:i w:val="false"/>
          <w:color w:val="000000"/>
          <w:sz w:val="24"/>
        </w:rPr>
        <w:t xml:space="preserve">
       七.    课程体系与科研训练体系
      </w:t>
      </w:r>
    </w:p>
    <w:p>
      <w:pPr>
        <w:spacing w:after="0"/>
        <w:ind w:left="0"/>
        <w:jc w:val="left"/>
      </w:pPr>
      <w:r>
        <w:rPr>
          <w:rFonts w:ascii="SimSun" w:hAnsi="SimSun"/>
          <w:b w:val="false"/>
          <w:i w:val="false"/>
          <w:color w:val="000000"/>
          <w:sz w:val="21"/>
        </w:rPr>
        <w:t>1.课程体系</w:t>
      </w:r>
    </w:p>
    <w:p>
      <w:pPr>
        <w:spacing w:after="0"/>
        <w:ind w:left="0"/>
        <w:jc w:val="left"/>
      </w:pPr>
      <w:r>
        <w:rPr>
          <w:rFonts w:ascii="SimSun" w:hAnsi="SimSun"/>
          <w:b w:val="false"/>
          <w:i w:val="false"/>
          <w:color w:val="000000"/>
          <w:sz w:val="21"/>
        </w:rPr>
        <w:t>供参考，以课程列表为准。</w:t>
      </w:r>
    </w:p>
    <w:p>
      <w:pPr>
        <w:spacing w:after="0"/>
        <w:ind w:left="0"/>
        <w:jc w:val="left"/>
      </w:pPr>
      <w:r>
        <w:drawing>
          <wp:inline distT="0" distB="0" distL="0" distR="0">
            <wp:extent cx="5486400" cy="12192000"/>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486400" cy="12192000"/>
                    </a:xfrm>
                    <a:prstGeom prst="rect">
                      <a:avLst/>
                    </a:prstGeom>
                  </pic:spPr>
                </pic:pic>
              </a:graphicData>
            </a:graphic>
          </wp:inline>
        </w:drawing>
      </w:r>
    </w:p>
    <w:p>
      <w:pPr>
        <w:spacing w:after="0"/>
        <w:ind w:left="0"/>
        <w:jc w:val="left"/>
      </w:pPr>
      <w:r>
        <w:rPr>
          <w:rFonts w:ascii="SimSun" w:hAnsi="SimSun"/>
          <w:b w:val="false"/>
          <w:i w:val="false"/>
          <w:color w:val="000000"/>
          <w:sz w:val="21"/>
        </w:rPr>
        <w:t>2.科研训练体系</w:t>
      </w:r>
    </w:p>
    <w:p>
      <w:pPr>
        <w:spacing w:after="0"/>
        <w:ind w:left="0"/>
        <w:jc w:val="left"/>
      </w:pPr>
      <w:r>
        <w:rPr>
          <w:rFonts w:ascii="SimSun" w:hAnsi="SimSun"/>
          <w:b w:val="false"/>
          <w:i w:val="false"/>
          <w:color w:val="000000"/>
          <w:sz w:val="21"/>
        </w:rPr>
        <w:t>建立螺旋递进的全周期科研训练体系，给低年级本科生配备学业导师／拔尖导师，鼓励师生共创，通过校级复芏计划(FDUROP)、学院德隆项目等引导学生在“做中学、学中悟、悟中创”。通过科研实践训练与公共卫生领导力课程，完成1项复芏计划(FDUROP)和1项德隆科创项目，引导学生早进课题组，培养创新素质。</w:t>
      </w:r>
      <w:r>
        <w:br/>
      </w:r>
      <w:r>
        <w:br/>
      </w:r>
      <w:r>
        <w:rPr>
          <w:rFonts w:ascii="SimSun" w:hAnsi="SimSun"/>
          <w:b w:val="false"/>
          <w:i w:val="false"/>
          <w:color w:val="000000"/>
          <w:sz w:val="21"/>
        </w:rPr>
        <w:t>多渠道支持学生参加国内国际高水平学术交流，原则上应到具有世界一流水平的国内外机构进行三个月左右（累计）的学习、研究或联合培养。鼓励学生参加国内国际高水平创新竞赛（中国国际大学生创新大赛、“挑战杯”全国大学生课外学术科技作品竞赛）。</w:t>
      </w:r>
    </w:p>
    <w:p>
      <w:pPr>
        <w:spacing w:after="0"/>
        <w:ind w:left="0"/>
        <w:jc w:val="left"/>
      </w:pPr>
      <w:r>
        <w:rPr>
          <w:rFonts w:ascii="SimSun" w:hAnsi="SimSun"/>
          <w:b/>
          <w:i w:val="false"/>
          <w:color w:val="000000"/>
          <w:sz w:val="24"/>
        </w:rPr>
        <w:t xml:space="preserve">
       八.    课程设置与修读要求
      </w:t>
      </w:r>
    </w:p>
    <w:p>
      <w:pPr>
        <w:spacing w:after="0"/>
        <w:ind w:left="0"/>
        <w:jc w:val="left"/>
      </w:pPr>
    </w:p>
    <w:p>
      <w:pPr>
        <w:spacing w:after="0"/>
        <w:ind w:left="0"/>
        <w:jc w:val="left"/>
      </w:pPr>
      <w:r>
        <w:rPr>
          <w:rFonts w:ascii="SimSun" w:hAnsi="SimSun"/>
          <w:b/>
          <w:i w:val="false"/>
          <w:color w:val="000000"/>
          <w:sz w:val="21"/>
        </w:rPr>
        <w:t xml:space="preserve">
       </w:t>
      </w:r>
      <w:r>
        <w:rPr>
          <w:rFonts w:ascii="SimSun" w:hAnsi="SimSun"/>
          <w:b/>
          <w:i w:val="false"/>
          <w:color w:val="000000"/>
          <w:sz w:val="21"/>
        </w:rPr>
        <w:t>(一) 通识教育课程</w:t>
      </w:r>
      <w:r>
        <w:rPr>
          <w:rFonts w:ascii="SimSun" w:hAnsi="SimSun"/>
          <w:b/>
          <w:i w:val="false"/>
          <w:color w:val="000000"/>
          <w:sz w:val="21"/>
        </w:rPr>
        <w:t>（44学分,本科要求42学分）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通识教育核心课程</w:t>
      </w:r>
      <w:r>
        <w:rPr>
          <w:rFonts w:ascii="SimSun" w:hAnsi="SimSun"/>
          <w:b/>
          <w:i w:val="false"/>
          <w:color w:val="000000"/>
          <w:sz w:val="21"/>
        </w:rPr>
        <w:t>（28学分,本科要求26学分）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要求修读28学分，含思想政治理论课21学分（其中研究生学位课2学分），七大模块课程6学分（美育学分不少于2学分），大学生国家安全教育1学分。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2.  通识教育专项教育课程</w:t>
      </w:r>
      <w:r>
        <w:rPr>
          <w:rFonts w:ascii="SimSun" w:hAnsi="SimSun"/>
          <w:b/>
          <w:i w:val="false"/>
          <w:color w:val="000000"/>
          <w:sz w:val="21"/>
        </w:rPr>
        <w:t>（16学分,本科要求16学分）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(二) 专业培养课程</w:t>
      </w:r>
      <w:r>
        <w:rPr>
          <w:rFonts w:ascii="SimSun" w:hAnsi="SimSun"/>
          <w:b/>
          <w:i w:val="false"/>
          <w:color w:val="000000"/>
          <w:sz w:val="21"/>
        </w:rPr>
        <w:t>（119学分,本科要求109学分）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专业培养课程包括学科基础课程和专业核心教育课程。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学科基础课程</w:t>
      </w:r>
      <w:r>
        <w:rPr>
          <w:rFonts w:ascii="SimSun" w:hAnsi="SimSun"/>
          <w:b/>
          <w:i w:val="false"/>
          <w:color w:val="000000"/>
          <w:sz w:val="21"/>
        </w:rPr>
        <w:t>（25学分,本科要求25学分）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要求修读医学学科类基础课程25学分。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医学基础课程</w:t>
      </w:r>
      <w:r>
        <w:rPr>
          <w:rFonts w:ascii="SimSun" w:hAnsi="SimSun"/>
          <w:b/>
          <w:i w:val="false"/>
          <w:color w:val="000000"/>
          <w:sz w:val="21"/>
        </w:rPr>
        <w:t>（25学分,本科要求25学分）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要求修读医学学科类基础课程25学分。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现代生物科学导论C</w:t>
            </w:r>
            <w:r>
              <w:br/>
            </w:r>
            <w:r>
              <w:br/>
            </w:r>
            <w:r>
              <w:rPr>
                <w:rFonts w:ascii="SimSun" w:hAnsi="SimSun"/>
                <w:b w:val="false"/>
                <w:i w:val="false"/>
                <w:color w:val="000000"/>
                <w:sz w:val="21"/>
              </w:rPr>
              <w:t>Introduction to Modern Biological Science C</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BIOL10002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有机化学</w:t>
            </w:r>
            <w:r>
              <w:br/>
            </w:r>
            <w:r>
              <w:br/>
            </w:r>
            <w:r>
              <w:rPr>
                <w:rFonts w:ascii="SimSun" w:hAnsi="SimSun"/>
                <w:b w:val="false"/>
                <w:i w:val="false"/>
                <w:color w:val="000000"/>
                <w:sz w:val="21"/>
              </w:rPr>
              <w:t>Organic Chemistry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CHEM10002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普通化学A（上）</w:t>
            </w:r>
            <w:r>
              <w:br/>
            </w:r>
            <w:r>
              <w:br/>
            </w:r>
            <w:r>
              <w:rPr>
                <w:rFonts w:ascii="SimSun" w:hAnsi="SimSun"/>
                <w:b w:val="false"/>
                <w:i w:val="false"/>
                <w:color w:val="000000"/>
                <w:sz w:val="21"/>
              </w:rPr>
              <w:t>General Chemistry A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CHEM10003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普通化学A（下）</w:t>
            </w:r>
            <w:r>
              <w:br/>
            </w:r>
            <w:r>
              <w:br/>
            </w:r>
            <w:r>
              <w:rPr>
                <w:rFonts w:ascii="SimSun" w:hAnsi="SimSun"/>
                <w:b w:val="false"/>
                <w:i w:val="false"/>
                <w:color w:val="000000"/>
                <w:sz w:val="21"/>
              </w:rPr>
              <w:t>General Chemistry A II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CHEM10004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普通化学实验I</w:t>
            </w:r>
            <w:r>
              <w:br/>
            </w:r>
            <w:r>
              <w:br/>
            </w:r>
            <w:r>
              <w:rPr>
                <w:rFonts w:ascii="SimSun" w:hAnsi="SimSun"/>
                <w:b w:val="false"/>
                <w:i w:val="false"/>
                <w:color w:val="000000"/>
                <w:sz w:val="21"/>
              </w:rPr>
              <w:t>Experiments in General Chemistry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CHEM10005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有机化学实验I</w:t>
            </w:r>
            <w:r>
              <w:br/>
            </w:r>
            <w:r>
              <w:br/>
            </w:r>
            <w:r>
              <w:rPr>
                <w:rFonts w:ascii="SimSun" w:hAnsi="SimSun"/>
                <w:b w:val="false"/>
                <w:i w:val="false"/>
                <w:color w:val="000000"/>
                <w:sz w:val="21"/>
              </w:rPr>
              <w:t>Experiments in Organic Chemistry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CHEM10006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高等数学C(上）</w:t>
            </w:r>
            <w:r>
              <w:br/>
            </w:r>
            <w:r>
              <w:br/>
            </w:r>
            <w:r>
              <w:rPr>
                <w:rFonts w:ascii="SimSun" w:hAnsi="SimSun"/>
                <w:b w:val="false"/>
                <w:i w:val="false"/>
                <w:color w:val="000000"/>
                <w:sz w:val="21"/>
              </w:rPr>
              <w:t>Advanced Mathematics C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MATH10006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高等数学C(下）</w:t>
            </w:r>
            <w:r>
              <w:br/>
            </w:r>
            <w:r>
              <w:br/>
            </w:r>
            <w:r>
              <w:rPr>
                <w:rFonts w:ascii="SimSun" w:hAnsi="SimSun"/>
                <w:b w:val="false"/>
                <w:i w:val="false"/>
                <w:color w:val="000000"/>
                <w:sz w:val="21"/>
              </w:rPr>
              <w:t>Advanced Mathematics C II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MATH10007</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普通物理B</w:t>
            </w:r>
            <w:r>
              <w:br/>
            </w:r>
            <w:r>
              <w:br/>
            </w:r>
            <w:r>
              <w:rPr>
                <w:rFonts w:ascii="SimSun" w:hAnsi="SimSun"/>
                <w:b w:val="false"/>
                <w:i w:val="false"/>
                <w:color w:val="000000"/>
                <w:sz w:val="21"/>
              </w:rPr>
              <w:t>General Physics B</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基础物理实验</w:t>
            </w:r>
            <w:r>
              <w:br/>
            </w:r>
            <w:r>
              <w:br/>
            </w:r>
            <w:r>
              <w:rPr>
                <w:rFonts w:ascii="SimSun" w:hAnsi="SimSun"/>
                <w:b w:val="false"/>
                <w:i w:val="false"/>
                <w:color w:val="000000"/>
                <w:sz w:val="21"/>
              </w:rPr>
              <w:t>Fundamental Physics Experiments</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PHYS10005</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专业核心教育课程</w:t>
      </w:r>
      <w:r>
        <w:rPr>
          <w:rFonts w:ascii="SimSun" w:hAnsi="SimSun"/>
          <w:b/>
          <w:i w:val="false"/>
          <w:color w:val="000000"/>
          <w:sz w:val="21"/>
        </w:rPr>
        <w:t>（94学分,本科要求84学分）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要求修读94学分。
      </w:t>
      </w:r>
    </w:p>
    <w:tbl>
      <w:tblPr>
        <w:tblW w:w="0" w:type="auto"/>
        <w:tblCellSpacing w:w="0" w:type="auto"/>
        <w:tblBorders>
          <w:top w:val="none"/>
          <w:left w:val="none"/>
          <w:bottom w:val="none"/>
          <w:right w:val="none"/>
          <w:insideH w:val="none"/>
          <w:insideV w:val="none"/>
        </w:tblBorders>
      </w:tblPr>
      <w:tblGrid>
        <w:gridCol w:w="3186"/>
        <w:gridCol w:w="796"/>
        <w:gridCol w:w="796"/>
        <w:gridCol w:w="1115"/>
        <w:gridCol w:w="1846"/>
        <w:gridCol w:w="796"/>
        <w:gridCol w:w="796"/>
        <w:gridCol w:w="796"/>
        <w:gridCol w:w="796"/>
        <w:gridCol w:w="1116"/>
        <w:gridCol w:w="1595"/>
      </w:tblGrid>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系统解剖学B</w:t>
            </w:r>
            <w:r>
              <w:br/>
            </w:r>
            <w:r>
              <w:br/>
            </w:r>
            <w:r>
              <w:rPr>
                <w:rFonts w:ascii="SimSun" w:hAnsi="SimSun"/>
                <w:b w:val="false"/>
                <w:i w:val="false"/>
                <w:color w:val="000000"/>
                <w:sz w:val="21"/>
              </w:rPr>
              <w:t>Systematic Anatomy B</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3.5</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MED20006</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组织胚胎学B</w:t>
            </w:r>
            <w:r>
              <w:br/>
            </w:r>
            <w:r>
              <w:br/>
            </w:r>
            <w:r>
              <w:rPr>
                <w:rFonts w:ascii="SimSun" w:hAnsi="SimSun"/>
                <w:b w:val="false"/>
                <w:i w:val="false"/>
                <w:color w:val="000000"/>
                <w:sz w:val="21"/>
              </w:rPr>
              <w:t>Histoembryology B</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3.5</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MED20007</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医学细胞与遗传学</w:t>
            </w:r>
            <w:r>
              <w:br/>
            </w:r>
            <w:r>
              <w:br/>
            </w:r>
            <w:r>
              <w:rPr>
                <w:rFonts w:ascii="SimSun" w:hAnsi="SimSun"/>
                <w:b w:val="false"/>
                <w:i w:val="false"/>
                <w:color w:val="000000"/>
                <w:sz w:val="21"/>
              </w:rPr>
              <w:t>Cytology and Genetics</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MED20031</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生物化学</w:t>
            </w:r>
            <w:r>
              <w:br/>
            </w:r>
            <w:r>
              <w:br/>
            </w:r>
            <w:r>
              <w:rPr>
                <w:rFonts w:ascii="SimSun" w:hAnsi="SimSun"/>
                <w:b w:val="false"/>
                <w:i w:val="false"/>
                <w:color w:val="000000"/>
                <w:sz w:val="21"/>
              </w:rPr>
              <w:t>Biochemistry</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MED20048</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生理学B</w:t>
            </w:r>
            <w:r>
              <w:br/>
            </w:r>
            <w:r>
              <w:br/>
            </w:r>
            <w:r>
              <w:rPr>
                <w:rFonts w:ascii="SimSun" w:hAnsi="SimSun"/>
                <w:b w:val="false"/>
                <w:i w:val="false"/>
                <w:color w:val="000000"/>
                <w:sz w:val="21"/>
              </w:rPr>
              <w:t>Physiology B</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MED20008</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免疫学C</w:t>
            </w:r>
            <w:r>
              <w:br/>
            </w:r>
            <w:r>
              <w:br/>
            </w:r>
            <w:r>
              <w:rPr>
                <w:rFonts w:ascii="SimSun" w:hAnsi="SimSun"/>
                <w:b w:val="false"/>
                <w:i w:val="false"/>
                <w:color w:val="000000"/>
                <w:sz w:val="21"/>
              </w:rPr>
              <w:t>Medical Immunology C</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2.5</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MED20009</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医学微生物学C</w:t>
            </w:r>
            <w:r>
              <w:br/>
            </w:r>
            <w:r>
              <w:br/>
            </w:r>
            <w:r>
              <w:rPr>
                <w:rFonts w:ascii="SimSun" w:hAnsi="SimSun"/>
                <w:b w:val="false"/>
                <w:i w:val="false"/>
                <w:color w:val="000000"/>
                <w:sz w:val="21"/>
              </w:rPr>
              <w:t>Medical Microbiology C</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3.5</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MED20060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寄生虫学C</w:t>
            </w:r>
            <w:r>
              <w:br/>
            </w:r>
            <w:r>
              <w:br/>
            </w:r>
            <w:r>
              <w:rPr>
                <w:rFonts w:ascii="SimSun" w:hAnsi="SimSun"/>
                <w:b w:val="false"/>
                <w:i w:val="false"/>
                <w:color w:val="000000"/>
                <w:sz w:val="21"/>
              </w:rPr>
              <w:t>Human Parasitology C</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45</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MED30008</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病理生理学B</w:t>
            </w:r>
            <w:r>
              <w:br/>
            </w:r>
            <w:r>
              <w:br/>
            </w:r>
            <w:r>
              <w:rPr>
                <w:rFonts w:ascii="SimSun" w:hAnsi="SimSun"/>
                <w:b w:val="false"/>
                <w:i w:val="false"/>
                <w:color w:val="000000"/>
                <w:sz w:val="21"/>
              </w:rPr>
              <w:t>Pathophysiology B</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MED30009</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药理学C</w:t>
            </w:r>
            <w:r>
              <w:br/>
            </w:r>
            <w:r>
              <w:br/>
            </w:r>
            <w:r>
              <w:rPr>
                <w:rFonts w:ascii="SimSun" w:hAnsi="SimSun"/>
                <w:b w:val="false"/>
                <w:i w:val="false"/>
                <w:color w:val="000000"/>
                <w:sz w:val="21"/>
              </w:rPr>
              <w:t>Pharmacology C</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MED20011</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功能学科综合实验</w:t>
            </w:r>
            <w:r>
              <w:br/>
            </w:r>
            <w:r>
              <w:br/>
            </w:r>
            <w:r>
              <w:rPr>
                <w:rFonts w:ascii="SimSun" w:hAnsi="SimSun"/>
                <w:b w:val="false"/>
                <w:i w:val="false"/>
                <w:color w:val="000000"/>
                <w:sz w:val="21"/>
              </w:rPr>
              <w:t>Composite Experiments in Functional Sciences</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2.5</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MED30010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病理学</w:t>
            </w:r>
            <w:r>
              <w:br/>
            </w:r>
            <w:r>
              <w:br/>
            </w:r>
            <w:r>
              <w:rPr>
                <w:rFonts w:ascii="SimSun" w:hAnsi="SimSun"/>
                <w:b w:val="false"/>
                <w:i w:val="false"/>
                <w:color w:val="000000"/>
                <w:sz w:val="21"/>
              </w:rPr>
              <w:t>Pathology</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MED30063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诊断学B</w:t>
            </w:r>
            <w:r>
              <w:br/>
            </w:r>
            <w:r>
              <w:br/>
            </w:r>
            <w:r>
              <w:rPr>
                <w:rFonts w:ascii="SimSun" w:hAnsi="SimSun"/>
                <w:b w:val="false"/>
                <w:i w:val="false"/>
                <w:color w:val="000000"/>
                <w:sz w:val="21"/>
              </w:rPr>
              <w:t>Diagnostics B</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3.5</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MED30019</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影像诊断学C</w:t>
            </w:r>
            <w:r>
              <w:br/>
            </w:r>
            <w:r>
              <w:br/>
            </w:r>
            <w:r>
              <w:rPr>
                <w:rFonts w:ascii="SimSun" w:hAnsi="SimSun"/>
                <w:b w:val="false"/>
                <w:i w:val="false"/>
                <w:color w:val="000000"/>
                <w:sz w:val="21"/>
              </w:rPr>
              <w:t>Diagnostic Imaging C</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2.5</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48</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MED30020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内科学C</w:t>
            </w:r>
            <w:r>
              <w:br/>
            </w:r>
            <w:r>
              <w:br/>
            </w:r>
            <w:r>
              <w:rPr>
                <w:rFonts w:ascii="SimSun" w:hAnsi="SimSun"/>
                <w:b w:val="false"/>
                <w:i w:val="false"/>
                <w:color w:val="000000"/>
                <w:sz w:val="21"/>
              </w:rPr>
              <w:t>Internal Medicine C</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112</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MED30021</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外科学C</w:t>
            </w:r>
            <w:r>
              <w:br/>
            </w:r>
            <w:r>
              <w:br/>
            </w:r>
            <w:r>
              <w:rPr>
                <w:rFonts w:ascii="SimSun" w:hAnsi="SimSun"/>
                <w:b w:val="false"/>
                <w:i w:val="false"/>
                <w:color w:val="000000"/>
                <w:sz w:val="21"/>
              </w:rPr>
              <w:t>Surgery C</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MED30022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传染病学B</w:t>
            </w:r>
            <w:r>
              <w:br/>
            </w:r>
            <w:r>
              <w:br/>
            </w:r>
            <w:r>
              <w:rPr>
                <w:rFonts w:ascii="SimSun" w:hAnsi="SimSun"/>
                <w:b w:val="false"/>
                <w:i w:val="false"/>
                <w:color w:val="000000"/>
                <w:sz w:val="21"/>
              </w:rPr>
              <w:t>Infectious Diseases B</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2.5</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48</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MED30029</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公共卫生导论</w:t>
            </w:r>
            <w:r>
              <w:br/>
            </w:r>
            <w:r>
              <w:br/>
            </w:r>
            <w:r>
              <w:rPr>
                <w:rFonts w:ascii="SimSun" w:hAnsi="SimSun"/>
                <w:b w:val="false"/>
                <w:i w:val="false"/>
                <w:color w:val="000000"/>
                <w:sz w:val="21"/>
              </w:rPr>
              <w:t>Introduction to Public Health</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PHPM10002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社会医学</w:t>
            </w:r>
            <w:r>
              <w:br/>
            </w:r>
            <w:r>
              <w:br/>
            </w:r>
            <w:r>
              <w:rPr>
                <w:rFonts w:ascii="SimSun" w:hAnsi="SimSun"/>
                <w:b w:val="false"/>
                <w:i w:val="false"/>
                <w:color w:val="000000"/>
                <w:sz w:val="21"/>
              </w:rPr>
              <w:t>Social Medicine</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PHPM20001</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卫生化学</w:t>
            </w:r>
            <w:r>
              <w:br/>
            </w:r>
            <w:r>
              <w:br/>
            </w:r>
            <w:r>
              <w:rPr>
                <w:rFonts w:ascii="SimSun" w:hAnsi="SimSun"/>
                <w:b w:val="false"/>
                <w:i w:val="false"/>
                <w:color w:val="000000"/>
                <w:sz w:val="21"/>
              </w:rPr>
              <w:t>Sanitary Chemistry</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2.5</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PHPM20002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卫生统计学A</w:t>
            </w:r>
            <w:r>
              <w:br/>
            </w:r>
            <w:r>
              <w:br/>
            </w:r>
            <w:r>
              <w:rPr>
                <w:rFonts w:ascii="SimSun" w:hAnsi="SimSun"/>
                <w:b w:val="false"/>
                <w:i w:val="false"/>
                <w:color w:val="000000"/>
                <w:sz w:val="21"/>
              </w:rPr>
              <w:t>Health Statistics A</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PHPM40014</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卫生统计学实践</w:t>
            </w:r>
            <w:r>
              <w:br/>
            </w:r>
            <w:r>
              <w:br/>
            </w:r>
            <w:r>
              <w:rPr>
                <w:rFonts w:ascii="SimSun" w:hAnsi="SimSun"/>
                <w:b w:val="false"/>
                <w:i w:val="false"/>
                <w:color w:val="000000"/>
                <w:sz w:val="21"/>
              </w:rPr>
              <w:t>Practice of Hygiene Statistics</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PHPM40013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基础毒理</w:t>
            </w:r>
            <w:r>
              <w:br/>
            </w:r>
            <w:r>
              <w:br/>
            </w:r>
            <w:r>
              <w:rPr>
                <w:rFonts w:ascii="SimSun" w:hAnsi="SimSun"/>
                <w:b w:val="false"/>
                <w:i w:val="false"/>
                <w:color w:val="000000"/>
                <w:sz w:val="21"/>
              </w:rPr>
              <w:t>Basics of Toxicology</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PHPM40001</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卫生事业管理学</w:t>
            </w:r>
            <w:r>
              <w:br/>
            </w:r>
            <w:r>
              <w:br/>
            </w:r>
            <w:r>
              <w:rPr>
                <w:rFonts w:ascii="SimSun" w:hAnsi="SimSun"/>
                <w:b w:val="false"/>
                <w:i w:val="false"/>
                <w:color w:val="000000"/>
                <w:sz w:val="21"/>
              </w:rPr>
              <w:t>Health Service Management</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PHPM30003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健康教育学</w:t>
            </w:r>
            <w:r>
              <w:br/>
            </w:r>
            <w:r>
              <w:br/>
            </w:r>
            <w:r>
              <w:rPr>
                <w:rFonts w:ascii="SimSun" w:hAnsi="SimSun"/>
                <w:b w:val="false"/>
                <w:i w:val="false"/>
                <w:color w:val="000000"/>
                <w:sz w:val="21"/>
              </w:rPr>
              <w:t>Gender-Specific Health Education</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PHPM40002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儿少卫生学</w:t>
            </w:r>
            <w:r>
              <w:br/>
            </w:r>
            <w:r>
              <w:br/>
            </w:r>
            <w:r>
              <w:rPr>
                <w:rFonts w:ascii="SimSun" w:hAnsi="SimSun"/>
                <w:b w:val="false"/>
                <w:i w:val="false"/>
                <w:color w:val="000000"/>
                <w:sz w:val="21"/>
              </w:rPr>
              <w:t>Child and Adolescent Health</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2.5</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PHPM40003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流行病学</w:t>
            </w:r>
            <w:r>
              <w:br/>
            </w:r>
            <w:r>
              <w:br/>
            </w:r>
            <w:r>
              <w:rPr>
                <w:rFonts w:ascii="SimSun" w:hAnsi="SimSun"/>
                <w:b w:val="false"/>
                <w:i w:val="false"/>
                <w:color w:val="000000"/>
                <w:sz w:val="21"/>
              </w:rPr>
              <w:t>Epidemiology</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2.5</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PHPM30015</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流行病学实践</w:t>
            </w:r>
            <w:r>
              <w:br/>
            </w:r>
            <w:r>
              <w:br/>
            </w:r>
            <w:r>
              <w:rPr>
                <w:rFonts w:ascii="SimSun" w:hAnsi="SimSun"/>
                <w:b w:val="false"/>
                <w:i w:val="false"/>
                <w:color w:val="000000"/>
                <w:sz w:val="21"/>
              </w:rPr>
              <w:t>Experiments in Epidemiology</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PHPM30016</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职业卫生与职业医学</w:t>
            </w:r>
            <w:r>
              <w:br/>
            </w:r>
            <w:r>
              <w:br/>
            </w:r>
            <w:r>
              <w:rPr>
                <w:rFonts w:ascii="SimSun" w:hAnsi="SimSun"/>
                <w:b w:val="false"/>
                <w:i w:val="false"/>
                <w:color w:val="000000"/>
                <w:sz w:val="21"/>
              </w:rPr>
              <w:t>Occupational Health and Occupational Medicine</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2.5</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PHPM40015</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环境卫生学</w:t>
            </w:r>
            <w:r>
              <w:br/>
            </w:r>
            <w:r>
              <w:br/>
            </w:r>
            <w:r>
              <w:rPr>
                <w:rFonts w:ascii="SimSun" w:hAnsi="SimSun"/>
                <w:b w:val="false"/>
                <w:i w:val="false"/>
                <w:color w:val="000000"/>
                <w:sz w:val="21"/>
              </w:rPr>
              <w:t>Environmental Health</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2.5</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PHPM40017</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营养与食品卫生学</w:t>
            </w:r>
            <w:r>
              <w:br/>
            </w:r>
            <w:r>
              <w:br/>
            </w:r>
            <w:r>
              <w:rPr>
                <w:rFonts w:ascii="SimSun" w:hAnsi="SimSun"/>
                <w:b w:val="false"/>
                <w:i w:val="false"/>
                <w:color w:val="000000"/>
                <w:sz w:val="21"/>
              </w:rPr>
              <w:t>Nutrition and Food Hygiene</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2.5</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PHPM40019</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流行病学原理</w:t>
            </w:r>
            <w:r>
              <w:br/>
            </w:r>
            <w:r>
              <w:br/>
            </w:r>
            <w:r>
              <w:rPr>
                <w:rFonts w:ascii="SimSun" w:hAnsi="SimSun"/>
                <w:b w:val="false"/>
                <w:i w:val="false"/>
                <w:color w:val="000000"/>
                <w:sz w:val="21"/>
              </w:rPr>
              <w:t>Principles of Epidemiology</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PHPM60008</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医用多元统计方法</w:t>
            </w:r>
            <w:r>
              <w:br/>
            </w:r>
            <w:r>
              <w:br/>
            </w:r>
            <w:r>
              <w:rPr>
                <w:rFonts w:ascii="SimSun" w:hAnsi="SimSun"/>
                <w:b w:val="false"/>
                <w:i w:val="false"/>
                <w:color w:val="000000"/>
                <w:sz w:val="21"/>
              </w:rPr>
              <w:t>Multivariate Statistics in Medicine</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PHPM60009</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毒理学原理</w:t>
            </w:r>
            <w:r>
              <w:br/>
            </w:r>
            <w:r>
              <w:br/>
            </w:r>
            <w:r>
              <w:rPr>
                <w:rFonts w:ascii="SimSun" w:hAnsi="SimSun"/>
                <w:b w:val="false"/>
                <w:i w:val="false"/>
                <w:color w:val="000000"/>
                <w:sz w:val="21"/>
              </w:rPr>
              <w:t>Principles of Toxicology</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PHPM60010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卫生经济学</w:t>
            </w:r>
            <w:r>
              <w:br/>
            </w:r>
            <w:r>
              <w:br/>
            </w:r>
            <w:r>
              <w:rPr>
                <w:rFonts w:ascii="SimSun" w:hAnsi="SimSun"/>
                <w:b w:val="false"/>
                <w:i w:val="false"/>
                <w:color w:val="000000"/>
                <w:sz w:val="21"/>
              </w:rPr>
              <w:t>Health Economics</w:t>
            </w: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MANA60030</w:t>
            </w: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w:t>
            </w:r>
          </w:p>
        </w:tc>
        <w:tc>
          <w:tcPr>
            <w:tcW w:w="111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95"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(三) 强基专业发展课程</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专业进阶路径</w:t>
      </w:r>
      <w:r>
        <w:rPr>
          <w:rFonts w:ascii="SimSun" w:hAnsi="SimSun"/>
          <w:b/>
          <w:i w:val="false"/>
          <w:color w:val="000000"/>
          <w:sz w:val="21"/>
        </w:rPr>
        <w:t>（28学分）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修满28学分。要求在本专业专业进阶模块I修读13学分（研究生课程不少于4学分）、专业进阶模块II修读15学分（研究生课程不少于4学分）。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专业进阶模块I</w:t>
      </w:r>
      <w:r>
        <w:rPr>
          <w:rFonts w:ascii="SimSun" w:hAnsi="SimSun"/>
          <w:b/>
          <w:i w:val="false"/>
          <w:color w:val="000000"/>
          <w:sz w:val="21"/>
        </w:rPr>
        <w:t>（13学分,本科要求9学分）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a) 本科课程</w:t>
      </w:r>
      <w:r>
        <w:rPr>
          <w:rFonts w:ascii="SimSun" w:hAnsi="SimSun"/>
          <w:b/>
          <w:i w:val="false"/>
          <w:color w:val="000000"/>
          <w:sz w:val="21"/>
        </w:rPr>
        <w:t>（9学分,本科要求9学分）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8"/>
        <w:gridCol w:w="801"/>
        <w:gridCol w:w="801"/>
        <w:gridCol w:w="1123"/>
        <w:gridCol w:w="1764"/>
        <w:gridCol w:w="802"/>
        <w:gridCol w:w="802"/>
        <w:gridCol w:w="802"/>
        <w:gridCol w:w="802"/>
        <w:gridCol w:w="1123"/>
        <w:gridCol w:w="1606"/>
      </w:tblGrid>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妇产科学C</w:t>
            </w:r>
            <w:r>
              <w:br/>
            </w:r>
            <w:r>
              <w:br/>
            </w:r>
            <w:r>
              <w:rPr>
                <w:rFonts w:ascii="SimSun" w:hAnsi="SimSun"/>
                <w:b w:val="false"/>
                <w:i w:val="false"/>
                <w:color w:val="000000"/>
                <w:sz w:val="21"/>
              </w:rPr>
              <w:t>Obstetrics and Gynecology C</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48</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MED30023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儿科学C</w:t>
            </w:r>
            <w:r>
              <w:br/>
            </w:r>
            <w:r>
              <w:br/>
            </w:r>
            <w:r>
              <w:rPr>
                <w:rFonts w:ascii="SimSun" w:hAnsi="SimSun"/>
                <w:b w:val="false"/>
                <w:i w:val="false"/>
                <w:color w:val="000000"/>
                <w:sz w:val="21"/>
              </w:rPr>
              <w:t>Pediatrics C</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48</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MED30024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卫生微生物</w:t>
            </w:r>
            <w:r>
              <w:br/>
            </w:r>
            <w:r>
              <w:br/>
            </w:r>
            <w:r>
              <w:rPr>
                <w:rFonts w:ascii="SimSun" w:hAnsi="SimSun"/>
                <w:b w:val="false"/>
                <w:i w:val="false"/>
                <w:color w:val="000000"/>
                <w:sz w:val="21"/>
              </w:rPr>
              <w:t>Sanitary Microbiology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PHPM30004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大数据与统计模拟在公共卫生中的应用</w:t>
            </w:r>
            <w:r>
              <w:br/>
            </w:r>
            <w:r>
              <w:br/>
            </w:r>
            <w:r>
              <w:rPr>
                <w:rFonts w:ascii="SimSun" w:hAnsi="SimSun"/>
                <w:b w:val="false"/>
                <w:i w:val="false"/>
                <w:color w:val="000000"/>
                <w:sz w:val="21"/>
              </w:rPr>
              <w:t>Application of Big Data and Statistical Simulation in Public Health</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AIS410011</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b) 研究生学位专业课</w:t>
      </w:r>
      <w:r>
        <w:rPr>
          <w:rFonts w:ascii="SimSun" w:hAnsi="SimSun"/>
          <w:b/>
          <w:i w:val="false"/>
          <w:color w:val="000000"/>
          <w:sz w:val="21"/>
        </w:rPr>
        <w:t>（4学分）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 xml:space="preserve"> 学位专业课（劳动卫生与环境卫生学方向必修）</w:t>
      </w:r>
      <w:r>
        <w:rPr>
          <w:rFonts w:ascii="SimSun" w:hAnsi="SimSun"/>
          <w:b/>
          <w:i w:val="false"/>
          <w:color w:val="000000"/>
          <w:sz w:val="21"/>
        </w:rPr>
        <w:t>（4学分）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6"/>
        <w:gridCol w:w="801"/>
        <w:gridCol w:w="801"/>
        <w:gridCol w:w="1122"/>
        <w:gridCol w:w="1763"/>
        <w:gridCol w:w="801"/>
        <w:gridCol w:w="801"/>
        <w:gridCol w:w="801"/>
        <w:gridCol w:w="810"/>
        <w:gridCol w:w="1123"/>
        <w:gridCol w:w="1605"/>
      </w:tblGrid>
      <w:tr>
        <w:trPr>
          <w:trHeight w:val="45" w:hRule="atLeast"/>
        </w:trPr>
        <w:tc>
          <w:tcPr>
            <w:tcW w:w="32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环境与职业流行病学</w:t>
            </w:r>
            <w:r>
              <w:br/>
            </w:r>
            <w:r>
              <w:br/>
            </w:r>
            <w:r>
              <w:rPr>
                <w:rFonts w:ascii="SimSun" w:hAnsi="SimSun"/>
                <w:b w:val="false"/>
                <w:i w:val="false"/>
                <w:color w:val="000000"/>
                <w:sz w:val="21"/>
              </w:rPr>
              <w:t>Environmental and Occupational Epidemiology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PHPM60015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11,12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二选一 </w:t>
            </w:r>
          </w:p>
        </w:tc>
      </w:tr>
      <w:tr>
        <w:trPr>
          <w:trHeight w:val="45" w:hRule="atLeast"/>
        </w:trPr>
        <w:tc>
          <w:tcPr>
            <w:tcW w:w="32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高级环境卫生学</w:t>
            </w:r>
            <w:r>
              <w:br/>
            </w:r>
            <w:r>
              <w:br/>
            </w:r>
            <w:r>
              <w:rPr>
                <w:rFonts w:ascii="SimSun" w:hAnsi="SimSun"/>
                <w:b w:val="false"/>
                <w:i w:val="false"/>
                <w:color w:val="000000"/>
                <w:sz w:val="21"/>
              </w:rPr>
              <w:t>Advanced Environmental Health</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PHPM60017</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11,12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二选一 </w:t>
            </w:r>
          </w:p>
        </w:tc>
      </w:tr>
      <w:tr>
        <w:trPr>
          <w:trHeight w:val="45" w:hRule="atLeast"/>
        </w:trPr>
        <w:tc>
          <w:tcPr>
            <w:tcW w:w="32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职业卫生与职业医学进展</w:t>
            </w:r>
            <w:r>
              <w:br/>
            </w:r>
            <w:r>
              <w:br/>
            </w:r>
            <w:r>
              <w:rPr>
                <w:rFonts w:ascii="SimSun" w:hAnsi="SimSun"/>
                <w:b w:val="false"/>
                <w:i w:val="false"/>
                <w:color w:val="000000"/>
                <w:sz w:val="21"/>
              </w:rPr>
              <w:t>Progress in Occupational Health &amp; Medicine</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PHPM60084</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11,12</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5"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 xml:space="preserve"> 学位专业课（儿少卫生与妇幼保健学方向必修）</w:t>
      </w:r>
      <w:r>
        <w:rPr>
          <w:rFonts w:ascii="SimSun" w:hAnsi="SimSun"/>
          <w:b/>
          <w:i w:val="false"/>
          <w:color w:val="000000"/>
          <w:sz w:val="21"/>
        </w:rPr>
        <w:t>（4学分）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84"/>
        <w:gridCol w:w="795"/>
        <w:gridCol w:w="795"/>
        <w:gridCol w:w="1114"/>
        <w:gridCol w:w="1845"/>
        <w:gridCol w:w="796"/>
        <w:gridCol w:w="796"/>
        <w:gridCol w:w="796"/>
        <w:gridCol w:w="805"/>
        <w:gridCol w:w="1115"/>
        <w:gridCol w:w="1593"/>
      </w:tblGrid>
      <w:tr>
        <w:trPr>
          <w:trHeight w:val="45" w:hRule="atLeast"/>
        </w:trPr>
        <w:tc>
          <w:tcPr>
            <w:tcW w:w="31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4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循证卫生服务导论</w:t>
            </w:r>
            <w:r>
              <w:br/>
            </w:r>
            <w:r>
              <w:br/>
            </w:r>
            <w:r>
              <w:rPr>
                <w:rFonts w:ascii="SimSun" w:hAnsi="SimSun"/>
                <w:b w:val="false"/>
                <w:i w:val="false"/>
                <w:color w:val="000000"/>
                <w:sz w:val="21"/>
              </w:rPr>
              <w:t>Introduction to Evidence-based Healthcare</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4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MANA60027</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11,12</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人群健康干预的实施研究：从理论到实践</w:t>
            </w:r>
            <w:r>
              <w:br/>
            </w:r>
            <w:r>
              <w:br/>
            </w:r>
            <w:r>
              <w:rPr>
                <w:rFonts w:ascii="SimSun" w:hAnsi="SimSun"/>
                <w:b w:val="false"/>
                <w:i w:val="false"/>
                <w:color w:val="000000"/>
                <w:sz w:val="21"/>
              </w:rPr>
              <w:t>Implementation research for population based health intervention：from theory and practice</w:t>
            </w:r>
          </w:p>
        </w:tc>
        <w:tc>
          <w:tcPr>
            <w:tcW w:w="79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4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MANA60057</w:t>
            </w: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11,12</w:t>
            </w:r>
          </w:p>
        </w:tc>
        <w:tc>
          <w:tcPr>
            <w:tcW w:w="111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3"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 xml:space="preserve"> 学位专业课（流行病与卫生统计学方向必修）</w:t>
      </w:r>
      <w:r>
        <w:rPr>
          <w:rFonts w:ascii="SimSun" w:hAnsi="SimSun"/>
          <w:b/>
          <w:i w:val="false"/>
          <w:color w:val="000000"/>
          <w:sz w:val="21"/>
        </w:rPr>
        <w:t>（4学分）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6"/>
        <w:gridCol w:w="801"/>
        <w:gridCol w:w="801"/>
        <w:gridCol w:w="1122"/>
        <w:gridCol w:w="1763"/>
        <w:gridCol w:w="801"/>
        <w:gridCol w:w="801"/>
        <w:gridCol w:w="801"/>
        <w:gridCol w:w="810"/>
        <w:gridCol w:w="1123"/>
        <w:gridCol w:w="1605"/>
      </w:tblGrid>
      <w:tr>
        <w:trPr>
          <w:trHeight w:val="45" w:hRule="atLeast"/>
        </w:trPr>
        <w:tc>
          <w:tcPr>
            <w:tcW w:w="32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流行病学方法</w:t>
            </w:r>
            <w:r>
              <w:br/>
            </w:r>
            <w:r>
              <w:br/>
            </w:r>
            <w:r>
              <w:rPr>
                <w:rFonts w:ascii="SimSun" w:hAnsi="SimSun"/>
                <w:b w:val="false"/>
                <w:i w:val="false"/>
                <w:color w:val="000000"/>
                <w:sz w:val="21"/>
              </w:rPr>
              <w:t>Epidemiologic Methods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PHPM60083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11,12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二选一 </w:t>
            </w:r>
          </w:p>
        </w:tc>
      </w:tr>
      <w:tr>
        <w:trPr>
          <w:trHeight w:val="45" w:hRule="atLeast"/>
        </w:trPr>
        <w:tc>
          <w:tcPr>
            <w:tcW w:w="32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重大疾病流行病学与控制</w:t>
            </w:r>
            <w:r>
              <w:br/>
            </w:r>
            <w:r>
              <w:br/>
            </w:r>
            <w:r>
              <w:rPr>
                <w:rFonts w:ascii="SimSun" w:hAnsi="SimSun"/>
                <w:b w:val="false"/>
                <w:i w:val="false"/>
                <w:color w:val="000000"/>
                <w:sz w:val="21"/>
              </w:rPr>
              <w:t>Epidemiology and Control of Major Diseases in the 21st Century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PHPM60092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11,12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二选一 </w:t>
            </w:r>
          </w:p>
        </w:tc>
      </w:tr>
      <w:tr>
        <w:trPr>
          <w:trHeight w:val="45" w:hRule="atLeast"/>
        </w:trPr>
        <w:tc>
          <w:tcPr>
            <w:tcW w:w="32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应用统计线性模型</w:t>
            </w:r>
            <w:r>
              <w:br/>
            </w:r>
            <w:r>
              <w:br/>
            </w:r>
            <w:r>
              <w:rPr>
                <w:rFonts w:ascii="SimSun" w:hAnsi="SimSun"/>
                <w:b w:val="false"/>
                <w:i w:val="false"/>
                <w:color w:val="000000"/>
                <w:sz w:val="21"/>
              </w:rPr>
              <w:t>Applied Linear Statistical Model</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PHPM60025</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11,12</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5"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 xml:space="preserve"> 学位专业课（营养与食品卫生学方向必修）</w:t>
      </w:r>
      <w:r>
        <w:rPr>
          <w:rFonts w:ascii="SimSun" w:hAnsi="SimSun"/>
          <w:b/>
          <w:i w:val="false"/>
          <w:color w:val="000000"/>
          <w:sz w:val="21"/>
        </w:rPr>
        <w:t>（4学分）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6"/>
        <w:gridCol w:w="801"/>
        <w:gridCol w:w="801"/>
        <w:gridCol w:w="1122"/>
        <w:gridCol w:w="1763"/>
        <w:gridCol w:w="801"/>
        <w:gridCol w:w="801"/>
        <w:gridCol w:w="801"/>
        <w:gridCol w:w="810"/>
        <w:gridCol w:w="1123"/>
        <w:gridCol w:w="1605"/>
      </w:tblGrid>
      <w:tr>
        <w:trPr>
          <w:trHeight w:val="45" w:hRule="atLeast"/>
        </w:trPr>
        <w:tc>
          <w:tcPr>
            <w:tcW w:w="32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营养流行病学</w:t>
            </w:r>
            <w:r>
              <w:br/>
            </w:r>
            <w:r>
              <w:br/>
            </w:r>
            <w:r>
              <w:rPr>
                <w:rFonts w:ascii="SimSun" w:hAnsi="SimSun"/>
                <w:b w:val="false"/>
                <w:i w:val="false"/>
                <w:color w:val="000000"/>
                <w:sz w:val="21"/>
              </w:rPr>
              <w:t>Nutritional Epidemiology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PHPM60019</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11,12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微量营养素</w:t>
            </w:r>
            <w:r>
              <w:br/>
            </w:r>
            <w:r>
              <w:br/>
            </w:r>
            <w:r>
              <w:rPr>
                <w:rFonts w:ascii="SimSun" w:hAnsi="SimSun"/>
                <w:b w:val="false"/>
                <w:i w:val="false"/>
                <w:color w:val="000000"/>
                <w:sz w:val="21"/>
              </w:rPr>
              <w:t>Micronutrients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PHPM60020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11,12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二选一 </w:t>
            </w:r>
          </w:p>
        </w:tc>
      </w:tr>
      <w:tr>
        <w:trPr>
          <w:trHeight w:val="45" w:hRule="atLeast"/>
        </w:trPr>
        <w:tc>
          <w:tcPr>
            <w:tcW w:w="32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现代食品卫生学</w:t>
            </w:r>
            <w:r>
              <w:br/>
            </w:r>
            <w:r>
              <w:br/>
            </w:r>
            <w:r>
              <w:rPr>
                <w:rFonts w:ascii="SimSun" w:hAnsi="SimSun"/>
                <w:b w:val="false"/>
                <w:i w:val="false"/>
                <w:color w:val="000000"/>
                <w:sz w:val="21"/>
              </w:rPr>
              <w:t>Advanced Food Hygiene</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PHPM60018</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11,12</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5"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二选一 </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 xml:space="preserve"> 学位专业课（卫生毒理学方向必修）</w:t>
      </w:r>
      <w:r>
        <w:rPr>
          <w:rFonts w:ascii="SimSun" w:hAnsi="SimSun"/>
          <w:b/>
          <w:i w:val="false"/>
          <w:color w:val="000000"/>
          <w:sz w:val="21"/>
        </w:rPr>
        <w:t>（4学分）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6"/>
        <w:gridCol w:w="801"/>
        <w:gridCol w:w="801"/>
        <w:gridCol w:w="1122"/>
        <w:gridCol w:w="1763"/>
        <w:gridCol w:w="801"/>
        <w:gridCol w:w="801"/>
        <w:gridCol w:w="801"/>
        <w:gridCol w:w="810"/>
        <w:gridCol w:w="1123"/>
        <w:gridCol w:w="1605"/>
      </w:tblGrid>
      <w:tr>
        <w:trPr>
          <w:trHeight w:val="45" w:hRule="atLeast"/>
        </w:trPr>
        <w:tc>
          <w:tcPr>
            <w:tcW w:w="32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分子毒理学</w:t>
            </w:r>
            <w:r>
              <w:br/>
            </w:r>
            <w:r>
              <w:br/>
            </w:r>
            <w:r>
              <w:rPr>
                <w:rFonts w:ascii="SimSun" w:hAnsi="SimSun"/>
                <w:b w:val="false"/>
                <w:i w:val="false"/>
                <w:color w:val="000000"/>
                <w:sz w:val="21"/>
              </w:rPr>
              <w:t>Molecular Toxicology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48</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PHPM60013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11,12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毒理学方法</w:t>
            </w:r>
            <w:r>
              <w:br/>
            </w:r>
            <w:r>
              <w:br/>
            </w:r>
            <w:r>
              <w:rPr>
                <w:rFonts w:ascii="SimSun" w:hAnsi="SimSun"/>
                <w:b w:val="false"/>
                <w:i w:val="false"/>
                <w:color w:val="000000"/>
                <w:sz w:val="21"/>
              </w:rPr>
              <w:t>Methods in Toxicology</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PHPM60091</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11,12</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5"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专业进阶模块II</w:t>
      </w:r>
      <w:r>
        <w:rPr>
          <w:rFonts w:ascii="SimSun" w:hAnsi="SimSun"/>
          <w:b/>
          <w:i w:val="false"/>
          <w:color w:val="000000"/>
          <w:sz w:val="21"/>
        </w:rPr>
        <w:t>（15学分,本科要求11学分）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a) 本科选修课程</w:t>
      </w:r>
      <w:r>
        <w:rPr>
          <w:rFonts w:ascii="SimSun" w:hAnsi="SimSun"/>
          <w:b/>
          <w:i w:val="false"/>
          <w:color w:val="000000"/>
          <w:sz w:val="21"/>
        </w:rPr>
        <w:t>（11学分,本科要求11学分）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75"/>
        <w:gridCol w:w="793"/>
        <w:gridCol w:w="793"/>
        <w:gridCol w:w="1111"/>
        <w:gridCol w:w="1888"/>
        <w:gridCol w:w="793"/>
        <w:gridCol w:w="793"/>
        <w:gridCol w:w="793"/>
        <w:gridCol w:w="793"/>
        <w:gridCol w:w="1112"/>
        <w:gridCol w:w="1590"/>
      </w:tblGrid>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健康心理学</w:t>
            </w:r>
            <w:r>
              <w:br/>
            </w:r>
            <w:r>
              <w:br/>
            </w:r>
            <w:r>
              <w:rPr>
                <w:rFonts w:ascii="SimSun" w:hAnsi="SimSun"/>
                <w:b w:val="false"/>
                <w:i w:val="false"/>
                <w:color w:val="000000"/>
                <w:sz w:val="21"/>
              </w:rPr>
              <w:t>Health Psychology</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PHPM30005</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医院获得性感染</w:t>
            </w:r>
            <w:r>
              <w:br/>
            </w:r>
            <w:r>
              <w:br/>
            </w:r>
            <w:r>
              <w:rPr>
                <w:rFonts w:ascii="SimSun" w:hAnsi="SimSun"/>
                <w:b w:val="false"/>
                <w:i w:val="false"/>
                <w:color w:val="000000"/>
                <w:sz w:val="21"/>
              </w:rPr>
              <w:t>Hospital-Acquired Infection</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PHPM20004</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管理与沟通技巧</w:t>
            </w:r>
            <w:r>
              <w:br/>
            </w:r>
            <w:r>
              <w:br/>
            </w:r>
            <w:r>
              <w:rPr>
                <w:rFonts w:ascii="SimSun" w:hAnsi="SimSun"/>
                <w:b w:val="false"/>
                <w:i w:val="false"/>
                <w:color w:val="000000"/>
                <w:sz w:val="21"/>
              </w:rPr>
              <w:t>Management and Communication Skills</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PHPM20005</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妇幼卫生学概论</w:t>
            </w:r>
            <w:r>
              <w:br/>
            </w:r>
            <w:r>
              <w:br/>
            </w:r>
            <w:r>
              <w:rPr>
                <w:rFonts w:ascii="SimSun" w:hAnsi="SimSun"/>
                <w:b w:val="false"/>
                <w:i w:val="false"/>
                <w:color w:val="000000"/>
                <w:sz w:val="21"/>
              </w:rPr>
              <w:t>Introduction to Maternal and Child Health</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PHPM10001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医学人口统计学</w:t>
            </w:r>
            <w:r>
              <w:br/>
            </w:r>
            <w:r>
              <w:br/>
            </w:r>
            <w:r>
              <w:rPr>
                <w:rFonts w:ascii="SimSun" w:hAnsi="SimSun"/>
                <w:b w:val="false"/>
                <w:i w:val="false"/>
                <w:color w:val="000000"/>
                <w:sz w:val="21"/>
              </w:rPr>
              <w:t>Medical Demography</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PHPM30006</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公共卫生监督学</w:t>
            </w:r>
            <w:r>
              <w:br/>
            </w:r>
            <w:r>
              <w:br/>
            </w:r>
            <w:r>
              <w:rPr>
                <w:rFonts w:ascii="SimSun" w:hAnsi="SimSun"/>
                <w:b w:val="false"/>
                <w:i w:val="false"/>
                <w:color w:val="000000"/>
                <w:sz w:val="21"/>
              </w:rPr>
              <w:t>Public Health Inspection　</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PHPM30007</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卫生人力规划</w:t>
            </w:r>
            <w:r>
              <w:br/>
            </w:r>
            <w:r>
              <w:br/>
            </w:r>
            <w:r>
              <w:rPr>
                <w:rFonts w:ascii="SimSun" w:hAnsi="SimSun"/>
                <w:b w:val="false"/>
                <w:i w:val="false"/>
                <w:color w:val="000000"/>
                <w:sz w:val="21"/>
              </w:rPr>
              <w:t>Health and Human Resources Development</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PHPM30008</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仪器分析的应用</w:t>
            </w:r>
            <w:r>
              <w:br/>
            </w:r>
            <w:r>
              <w:br/>
            </w:r>
            <w:r>
              <w:rPr>
                <w:rFonts w:ascii="SimSun" w:hAnsi="SimSun"/>
                <w:b w:val="false"/>
                <w:i w:val="false"/>
                <w:color w:val="000000"/>
                <w:sz w:val="21"/>
              </w:rPr>
              <w:t>Application of Instrumental Analysis　</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PHPM20006</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全球卫生导论</w:t>
            </w:r>
            <w:r>
              <w:br/>
            </w:r>
            <w:r>
              <w:br/>
            </w:r>
            <w:r>
              <w:rPr>
                <w:rFonts w:ascii="SimSun" w:hAnsi="SimSun"/>
                <w:b w:val="false"/>
                <w:i w:val="false"/>
                <w:color w:val="000000"/>
                <w:sz w:val="21"/>
              </w:rPr>
              <w:t>Introduction to Global Hygiene</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PHPM20013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放射卫生学与放射防护</w:t>
            </w:r>
            <w:r>
              <w:br/>
            </w:r>
            <w:r>
              <w:br/>
            </w:r>
            <w:r>
              <w:rPr>
                <w:rFonts w:ascii="SimSun" w:hAnsi="SimSun"/>
                <w:b w:val="false"/>
                <w:i w:val="false"/>
                <w:color w:val="000000"/>
                <w:sz w:val="21"/>
              </w:rPr>
              <w:t>Radiological Health and Radiation Protection</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PHPM50002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卫生经济评价方法</w:t>
            </w:r>
            <w:r>
              <w:br/>
            </w:r>
            <w:r>
              <w:br/>
            </w:r>
            <w:r>
              <w:rPr>
                <w:rFonts w:ascii="SimSun" w:hAnsi="SimSun"/>
                <w:b w:val="false"/>
                <w:i w:val="false"/>
                <w:color w:val="000000"/>
                <w:sz w:val="21"/>
              </w:rPr>
              <w:t>Method of Health Economic Evaluation</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PHPM50003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色谱分析新技术</w:t>
            </w:r>
            <w:r>
              <w:br/>
            </w:r>
            <w:r>
              <w:br/>
            </w:r>
            <w:r>
              <w:rPr>
                <w:rFonts w:ascii="SimSun" w:hAnsi="SimSun"/>
                <w:b w:val="false"/>
                <w:i w:val="false"/>
                <w:color w:val="000000"/>
                <w:sz w:val="21"/>
              </w:rPr>
              <w:t>Advances in Chromatography</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PHPM40023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医学生职业生涯规划</w:t>
            </w:r>
            <w:r>
              <w:br/>
            </w:r>
            <w:r>
              <w:br/>
            </w:r>
            <w:r>
              <w:rPr>
                <w:rFonts w:ascii="SimSun" w:hAnsi="SimSun"/>
                <w:b w:val="false"/>
                <w:i w:val="false"/>
                <w:color w:val="000000"/>
                <w:sz w:val="21"/>
              </w:rPr>
              <w:t>Career Planning for Medical Students</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PHPM10003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卫生经济学概论</w:t>
            </w:r>
            <w:r>
              <w:br/>
            </w:r>
            <w:r>
              <w:br/>
            </w:r>
            <w:r>
              <w:rPr>
                <w:rFonts w:ascii="SimSun" w:hAnsi="SimSun"/>
                <w:b w:val="false"/>
                <w:i w:val="false"/>
                <w:color w:val="000000"/>
                <w:sz w:val="21"/>
              </w:rPr>
              <w:t>Introduction of Health Economics</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PHPM20016</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人体的社交网络：共生微生物</w:t>
            </w:r>
            <w:r>
              <w:br/>
            </w:r>
            <w:r>
              <w:br/>
            </w:r>
            <w:r>
              <w:rPr>
                <w:rFonts w:ascii="SimSun" w:hAnsi="SimSun"/>
                <w:b w:val="false"/>
                <w:i w:val="false"/>
                <w:color w:val="000000"/>
                <w:sz w:val="21"/>
              </w:rPr>
              <w:t>Human Social Networks: the symbiosis between microorganism and their human hosts</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MED30064</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食品免疫学</w:t>
            </w:r>
            <w:r>
              <w:br/>
            </w:r>
            <w:r>
              <w:br/>
            </w:r>
            <w:r>
              <w:rPr>
                <w:rFonts w:ascii="SimSun" w:hAnsi="SimSun"/>
                <w:b w:val="false"/>
                <w:i w:val="false"/>
                <w:color w:val="000000"/>
                <w:sz w:val="21"/>
              </w:rPr>
              <w:t>Food Immunology</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PHPM30024</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卫生管理预测与决策分析</w:t>
            </w:r>
            <w:r>
              <w:br/>
            </w:r>
            <w:r>
              <w:br/>
            </w:r>
            <w:r>
              <w:rPr>
                <w:rFonts w:ascii="SimSun" w:hAnsi="SimSun"/>
                <w:b w:val="false"/>
                <w:i w:val="false"/>
                <w:color w:val="000000"/>
                <w:sz w:val="21"/>
              </w:rPr>
              <w:t>Forecasting and Decision Making in Health Management</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PHPM30025</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科学写作：聚焦群医学</w:t>
            </w:r>
            <w:r>
              <w:br/>
            </w:r>
            <w:r>
              <w:br/>
            </w:r>
            <w:r>
              <w:rPr>
                <w:rFonts w:ascii="SimSun" w:hAnsi="SimSun"/>
                <w:b w:val="false"/>
                <w:i w:val="false"/>
                <w:color w:val="000000"/>
                <w:sz w:val="21"/>
              </w:rPr>
              <w:t>Scientific Writing: Focusing on Population-based Medicine</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30</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PHPM40029</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行为经济学与公众健康</w:t>
            </w:r>
            <w:r>
              <w:br/>
            </w:r>
            <w:r>
              <w:br/>
            </w:r>
            <w:r>
              <w:rPr>
                <w:rFonts w:ascii="SimSun" w:hAnsi="SimSun"/>
                <w:b w:val="false"/>
                <w:i w:val="false"/>
                <w:color w:val="000000"/>
                <w:sz w:val="21"/>
              </w:rPr>
              <w:t>Behavioral Economics and Public Health</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PHPM130116</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健康公平</w:t>
            </w:r>
            <w:r>
              <w:br/>
            </w:r>
            <w:r>
              <w:br/>
            </w:r>
            <w:r>
              <w:rPr>
                <w:rFonts w:ascii="SimSun" w:hAnsi="SimSun"/>
                <w:b w:val="false"/>
                <w:i w:val="false"/>
                <w:color w:val="000000"/>
                <w:sz w:val="21"/>
              </w:rPr>
              <w:t>Health equity</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PHPM20018</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现代技术与营养科学</w:t>
            </w:r>
            <w:r>
              <w:br/>
            </w:r>
            <w:r>
              <w:br/>
            </w:r>
            <w:r>
              <w:rPr>
                <w:rFonts w:ascii="SimSun" w:hAnsi="SimSun"/>
                <w:b w:val="false"/>
                <w:i w:val="false"/>
                <w:color w:val="000000"/>
                <w:sz w:val="21"/>
              </w:rPr>
              <w:t>Modern Technology and Nutritional Science</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AIS110005</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疫苗与传染病防控</w:t>
            </w:r>
            <w:r>
              <w:br/>
            </w:r>
            <w:r>
              <w:br/>
            </w:r>
            <w:r>
              <w:rPr>
                <w:rFonts w:ascii="SimSun" w:hAnsi="SimSun"/>
                <w:b w:val="false"/>
                <w:i w:val="false"/>
                <w:color w:val="000000"/>
                <w:sz w:val="21"/>
              </w:rPr>
              <w:t>Vaccines and Infectious Disease Prevention</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PHPM30002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心理与饮食行为</w:t>
            </w:r>
            <w:r>
              <w:br/>
            </w:r>
            <w:r>
              <w:br/>
            </w:r>
            <w:r>
              <w:rPr>
                <w:rFonts w:ascii="SimSun" w:hAnsi="SimSun"/>
                <w:b w:val="false"/>
                <w:i w:val="false"/>
                <w:color w:val="000000"/>
                <w:sz w:val="21"/>
              </w:rPr>
              <w:t>Psychology of eating</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PHPM50001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卫生学评价</w:t>
            </w:r>
            <w:r>
              <w:br/>
            </w:r>
            <w:r>
              <w:br/>
            </w:r>
            <w:r>
              <w:rPr>
                <w:rFonts w:ascii="SimSun" w:hAnsi="SimSun"/>
                <w:b w:val="false"/>
                <w:i w:val="false"/>
                <w:color w:val="000000"/>
                <w:sz w:val="21"/>
              </w:rPr>
              <w:t>Hygenic Evaluation</w:t>
            </w:r>
          </w:p>
        </w:tc>
        <w:tc>
          <w:tcPr>
            <w:tcW w:w="79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PHPM40008</w:t>
            </w:r>
          </w:p>
        </w:tc>
        <w:tc>
          <w:tcPr>
            <w:tcW w:w="79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b) 研究生选修课程</w:t>
      </w:r>
      <w:r>
        <w:rPr>
          <w:rFonts w:ascii="SimSun" w:hAnsi="SimSun"/>
          <w:b/>
          <w:i w:val="false"/>
          <w:color w:val="000000"/>
          <w:sz w:val="21"/>
        </w:rPr>
        <w:t>（4学分）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84"/>
        <w:gridCol w:w="795"/>
        <w:gridCol w:w="795"/>
        <w:gridCol w:w="1114"/>
        <w:gridCol w:w="1845"/>
        <w:gridCol w:w="796"/>
        <w:gridCol w:w="796"/>
        <w:gridCol w:w="796"/>
        <w:gridCol w:w="805"/>
        <w:gridCol w:w="1115"/>
        <w:gridCol w:w="1593"/>
      </w:tblGrid>
      <w:tr>
        <w:trPr>
          <w:trHeight w:val="45" w:hRule="atLeast"/>
        </w:trPr>
        <w:tc>
          <w:tcPr>
            <w:tcW w:w="31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4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循证卫生服务导论</w:t>
            </w:r>
            <w:r>
              <w:br/>
            </w:r>
            <w:r>
              <w:br/>
            </w:r>
            <w:r>
              <w:rPr>
                <w:rFonts w:ascii="SimSun" w:hAnsi="SimSun"/>
                <w:b w:val="false"/>
                <w:i w:val="false"/>
                <w:color w:val="000000"/>
                <w:sz w:val="21"/>
              </w:rPr>
              <w:t>Introduction to Evidence-based Healthcare</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MANA60027</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11,12</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高级环境卫生学</w:t>
            </w:r>
            <w:r>
              <w:br/>
            </w:r>
            <w:r>
              <w:br/>
            </w:r>
            <w:r>
              <w:rPr>
                <w:rFonts w:ascii="SimSun" w:hAnsi="SimSun"/>
                <w:b w:val="false"/>
                <w:i w:val="false"/>
                <w:color w:val="000000"/>
                <w:sz w:val="21"/>
              </w:rPr>
              <w:t>Advanced Environmental Health</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PHPM60017</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11,12</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儿童心理发展与心理卫生</w:t>
            </w:r>
            <w:r>
              <w:br/>
            </w:r>
            <w:r>
              <w:br/>
            </w:r>
            <w:r>
              <w:rPr>
                <w:rFonts w:ascii="SimSun" w:hAnsi="SimSun"/>
                <w:b w:val="false"/>
                <w:i w:val="false"/>
                <w:color w:val="000000"/>
                <w:sz w:val="21"/>
              </w:rPr>
              <w:t>Psychological Development and Mental Health of Children</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PHPM60021</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11,12</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生殖保健进展</w:t>
            </w:r>
            <w:r>
              <w:br/>
            </w:r>
            <w:r>
              <w:br/>
            </w:r>
            <w:r>
              <w:rPr>
                <w:rFonts w:ascii="SimSun" w:hAnsi="SimSun"/>
                <w:b w:val="false"/>
                <w:i w:val="false"/>
                <w:color w:val="000000"/>
                <w:sz w:val="21"/>
              </w:rPr>
              <w:t>Advances in Reproductive Healthcare Research</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PHPM60022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11,12</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应用统计线性模型</w:t>
            </w:r>
            <w:r>
              <w:br/>
            </w:r>
            <w:r>
              <w:br/>
            </w:r>
            <w:r>
              <w:rPr>
                <w:rFonts w:ascii="SimSun" w:hAnsi="SimSun"/>
                <w:b w:val="false"/>
                <w:i w:val="false"/>
                <w:color w:val="000000"/>
                <w:sz w:val="21"/>
              </w:rPr>
              <w:t>Applied Linear Statistical Model</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PHPM60025</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11,12</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性健康社会科学</w:t>
            </w:r>
            <w:r>
              <w:br/>
            </w:r>
            <w:r>
              <w:br/>
            </w:r>
            <w:r>
              <w:rPr>
                <w:rFonts w:ascii="SimSun" w:hAnsi="SimSun"/>
                <w:b w:val="false"/>
                <w:i w:val="false"/>
                <w:color w:val="000000"/>
                <w:sz w:val="21"/>
              </w:rPr>
              <w:t>Health Sexuality and Gender</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PHPM60029</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11,12</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干预规划制定技术</w:t>
            </w:r>
            <w:r>
              <w:br/>
            </w:r>
            <w:r>
              <w:br/>
            </w:r>
            <w:r>
              <w:rPr>
                <w:rFonts w:ascii="SimSun" w:hAnsi="SimSun"/>
                <w:b w:val="false"/>
                <w:i w:val="false"/>
                <w:color w:val="000000"/>
                <w:sz w:val="21"/>
              </w:rPr>
              <w:t>Skills in Intervention Mapping</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PHPM60040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11,12</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实施科学导论</w:t>
            </w:r>
            <w:r>
              <w:br/>
            </w:r>
            <w:r>
              <w:br/>
            </w:r>
            <w:r>
              <w:rPr>
                <w:rFonts w:ascii="SimSun" w:hAnsi="SimSun"/>
                <w:b w:val="false"/>
                <w:i w:val="false"/>
                <w:color w:val="000000"/>
                <w:sz w:val="21"/>
              </w:rPr>
              <w:t>Implementation Science</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MANA60052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11,12</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流行病学方法</w:t>
            </w:r>
            <w:r>
              <w:br/>
            </w:r>
            <w:r>
              <w:br/>
            </w:r>
            <w:r>
              <w:rPr>
                <w:rFonts w:ascii="SimSun" w:hAnsi="SimSun"/>
                <w:b w:val="false"/>
                <w:i w:val="false"/>
                <w:color w:val="000000"/>
                <w:sz w:val="21"/>
              </w:rPr>
              <w:t>Epidemiologic Methods</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PHPM60083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11,12</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职业卫生与职业医学进展</w:t>
            </w:r>
            <w:r>
              <w:br/>
            </w:r>
            <w:r>
              <w:br/>
            </w:r>
            <w:r>
              <w:rPr>
                <w:rFonts w:ascii="SimSun" w:hAnsi="SimSun"/>
                <w:b w:val="false"/>
                <w:i w:val="false"/>
                <w:color w:val="000000"/>
                <w:sz w:val="21"/>
              </w:rPr>
              <w:t>Progress in Occupational Health &amp; Medicine</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PHPM60084</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11,12</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SPSS高级统计分析</w:t>
            </w:r>
            <w:r>
              <w:br/>
            </w:r>
            <w:r>
              <w:br/>
            </w:r>
            <w:r>
              <w:rPr>
                <w:rFonts w:ascii="SimSun" w:hAnsi="SimSun"/>
                <w:b w:val="false"/>
                <w:i w:val="false"/>
                <w:color w:val="000000"/>
                <w:sz w:val="21"/>
              </w:rPr>
              <w:t>Statistical Analysis Using SPSS</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PHPM60085</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11,12</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高级SAS统计分析</w:t>
            </w:r>
            <w:r>
              <w:br/>
            </w:r>
            <w:r>
              <w:br/>
            </w:r>
            <w:r>
              <w:rPr>
                <w:rFonts w:ascii="SimSun" w:hAnsi="SimSun"/>
                <w:b w:val="false"/>
                <w:i w:val="false"/>
                <w:color w:val="000000"/>
                <w:sz w:val="21"/>
              </w:rPr>
              <w:t>Advanced Statistical Analysis Using SAS Program</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PHPM60086</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11,12</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生殖健康研究方法学</w:t>
            </w:r>
            <w:r>
              <w:br/>
            </w:r>
            <w:r>
              <w:br/>
            </w:r>
            <w:r>
              <w:rPr>
                <w:rFonts w:ascii="SimSun" w:hAnsi="SimSun"/>
                <w:b w:val="false"/>
                <w:i w:val="false"/>
                <w:color w:val="000000"/>
                <w:sz w:val="21"/>
              </w:rPr>
              <w:t>Research Methodology in Reproductive Health</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PHPM60087</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11,12</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常用多水平统计模型</w:t>
            </w:r>
            <w:r>
              <w:br/>
            </w:r>
            <w:r>
              <w:br/>
            </w:r>
            <w:r>
              <w:rPr>
                <w:rFonts w:ascii="SimSun" w:hAnsi="SimSun"/>
                <w:b w:val="false"/>
                <w:i w:val="false"/>
                <w:color w:val="000000"/>
                <w:sz w:val="21"/>
              </w:rPr>
              <w:t>Multilevelstatistical Models in Common Use</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PHPM60088</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11,12</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卫生政策研究</w:t>
            </w:r>
            <w:r>
              <w:br/>
            </w:r>
            <w:r>
              <w:br/>
            </w:r>
            <w:r>
              <w:rPr>
                <w:rFonts w:ascii="SimSun" w:hAnsi="SimSun"/>
                <w:b w:val="false"/>
                <w:i w:val="false"/>
                <w:color w:val="000000"/>
                <w:sz w:val="21"/>
              </w:rPr>
              <w:t>Health Policy Study</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MANA60053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11,12</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卫生改革与发展</w:t>
            </w:r>
            <w:r>
              <w:br/>
            </w:r>
            <w:r>
              <w:br/>
            </w:r>
            <w:r>
              <w:rPr>
                <w:rFonts w:ascii="SimSun" w:hAnsi="SimSun"/>
                <w:b w:val="false"/>
                <w:i w:val="false"/>
                <w:color w:val="000000"/>
                <w:sz w:val="21"/>
              </w:rPr>
              <w:t>Health Reform and Development</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MANA60054</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11,12</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卫生经济学研究</w:t>
            </w:r>
            <w:r>
              <w:br/>
            </w:r>
            <w:r>
              <w:br/>
            </w:r>
            <w:r>
              <w:rPr>
                <w:rFonts w:ascii="SimSun" w:hAnsi="SimSun"/>
                <w:b w:val="false"/>
                <w:i w:val="false"/>
                <w:color w:val="000000"/>
                <w:sz w:val="21"/>
              </w:rPr>
              <w:t>Health Economics Study</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MANA60055</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11,12</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现代医院管理理论与研究</w:t>
            </w:r>
            <w:r>
              <w:br/>
            </w:r>
            <w:r>
              <w:br/>
            </w:r>
            <w:r>
              <w:rPr>
                <w:rFonts w:ascii="SimSun" w:hAnsi="SimSun"/>
                <w:b w:val="false"/>
                <w:i w:val="false"/>
                <w:color w:val="000000"/>
                <w:sz w:val="21"/>
              </w:rPr>
              <w:t>The Theory and Research on Hospital Management</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MANA60056</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11,12</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人群健康干预的实施研究：从理论到实践</w:t>
            </w:r>
            <w:r>
              <w:br/>
            </w:r>
            <w:r>
              <w:br/>
            </w:r>
            <w:r>
              <w:rPr>
                <w:rFonts w:ascii="SimSun" w:hAnsi="SimSun"/>
                <w:b w:val="false"/>
                <w:i w:val="false"/>
                <w:color w:val="000000"/>
                <w:sz w:val="21"/>
              </w:rPr>
              <w:t>Implementation research for population based health intervention：from theory and practice</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MANA60057</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11,12</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实施性研究的理论与方法</w:t>
            </w:r>
            <w:r>
              <w:br/>
            </w:r>
            <w:r>
              <w:br/>
            </w:r>
            <w:r>
              <w:rPr>
                <w:rFonts w:ascii="SimSun" w:hAnsi="SimSun"/>
                <w:b w:val="false"/>
                <w:i w:val="false"/>
                <w:color w:val="000000"/>
                <w:sz w:val="21"/>
              </w:rPr>
              <w:t>Implementation research: theory and approaches</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MANA60058</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11,12</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毒理学方法</w:t>
            </w:r>
            <w:r>
              <w:br/>
            </w:r>
            <w:r>
              <w:br/>
            </w:r>
            <w:r>
              <w:rPr>
                <w:rFonts w:ascii="SimSun" w:hAnsi="SimSun"/>
                <w:b w:val="false"/>
                <w:i w:val="false"/>
                <w:color w:val="000000"/>
                <w:sz w:val="21"/>
              </w:rPr>
              <w:t>Methods in Toxicology</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PHPM60091</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11,12</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重大疾病流行病学与控制</w:t>
            </w:r>
            <w:r>
              <w:br/>
            </w:r>
            <w:r>
              <w:br/>
            </w:r>
            <w:r>
              <w:rPr>
                <w:rFonts w:ascii="SimSun" w:hAnsi="SimSun"/>
                <w:b w:val="false"/>
                <w:i w:val="false"/>
                <w:color w:val="000000"/>
                <w:sz w:val="21"/>
              </w:rPr>
              <w:t>Epidemiology and Control of Major Diseases in the 21st Century</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PHPM60092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11,12</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肿瘤流行病学</w:t>
            </w:r>
            <w:r>
              <w:br/>
            </w:r>
            <w:r>
              <w:br/>
            </w:r>
            <w:r>
              <w:rPr>
                <w:rFonts w:ascii="SimSun" w:hAnsi="SimSun"/>
                <w:b w:val="false"/>
                <w:i w:val="false"/>
                <w:color w:val="000000"/>
                <w:sz w:val="21"/>
              </w:rPr>
              <w:t>Cancer Epidemiology</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PHPM60041</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11,12</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职业卫生评价与危险度评估</w:t>
            </w:r>
            <w:r>
              <w:br/>
            </w:r>
            <w:r>
              <w:br/>
            </w:r>
            <w:r>
              <w:rPr>
                <w:rFonts w:ascii="SimSun" w:hAnsi="SimSun"/>
                <w:b w:val="false"/>
                <w:i w:val="false"/>
                <w:color w:val="000000"/>
                <w:sz w:val="21"/>
              </w:rPr>
              <w:t>Application of Risk Assessment in Occupational Health</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PHPM60027</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11,12</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营养组学</w:t>
            </w:r>
            <w:r>
              <w:br/>
            </w:r>
            <w:r>
              <w:br/>
            </w:r>
            <w:r>
              <w:rPr>
                <w:rFonts w:ascii="SimSun" w:hAnsi="SimSun"/>
                <w:b w:val="false"/>
                <w:i w:val="false"/>
                <w:color w:val="000000"/>
                <w:sz w:val="21"/>
              </w:rPr>
              <w:t>Nutriomics</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PHPM60077</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11,12</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营养与肿瘤</w:t>
            </w:r>
            <w:r>
              <w:br/>
            </w:r>
            <w:r>
              <w:br/>
            </w:r>
            <w:r>
              <w:rPr>
                <w:rFonts w:ascii="SimSun" w:hAnsi="SimSun"/>
                <w:b w:val="false"/>
                <w:i w:val="false"/>
                <w:color w:val="000000"/>
                <w:sz w:val="21"/>
              </w:rPr>
              <w:t>Nutrition and Cancer</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PHPM60079</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11,12</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疫苗研究设计与数据分析</w:t>
            </w:r>
            <w:r>
              <w:br/>
            </w:r>
            <w:r>
              <w:br/>
            </w:r>
            <w:r>
              <w:rPr>
                <w:rFonts w:ascii="SimSun" w:hAnsi="SimSun"/>
                <w:b w:val="false"/>
                <w:i w:val="false"/>
                <w:color w:val="000000"/>
                <w:sz w:val="21"/>
              </w:rPr>
              <w:t>Design and data analysis of vaccine studies</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PHPM60068</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11,12</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遗传流行病学</w:t>
            </w:r>
            <w:r>
              <w:br/>
            </w:r>
            <w:r>
              <w:br/>
            </w:r>
            <w:r>
              <w:rPr>
                <w:rFonts w:ascii="SimSun" w:hAnsi="SimSun"/>
                <w:b w:val="false"/>
                <w:i w:val="false"/>
                <w:color w:val="000000"/>
                <w:sz w:val="21"/>
              </w:rPr>
              <w:t>Genetic Epidemiology</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PHPM60012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11,12</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医院信息管理</w:t>
            </w:r>
            <w:r>
              <w:br/>
            </w:r>
            <w:r>
              <w:br/>
            </w:r>
            <w:r>
              <w:rPr>
                <w:rFonts w:ascii="SimSun" w:hAnsi="SimSun"/>
                <w:b w:val="false"/>
                <w:i w:val="false"/>
                <w:color w:val="000000"/>
                <w:sz w:val="21"/>
              </w:rPr>
              <w:t>Hospital information management</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MANA60049</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11,12</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医学研究生学术规范和执业伦理</w:t>
            </w:r>
            <w:r>
              <w:br/>
            </w:r>
            <w:r>
              <w:br/>
            </w:r>
            <w:r>
              <w:rPr>
                <w:rFonts w:ascii="SimSun" w:hAnsi="SimSun"/>
                <w:b w:val="false"/>
                <w:i w:val="false"/>
                <w:color w:val="000000"/>
                <w:sz w:val="21"/>
              </w:rPr>
              <w:t>Academic Norms and Professional Ethics for Medical Graduate Student</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PHPM60062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11,12</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医学文献评阅与论文写作</w:t>
            </w:r>
            <w:r>
              <w:br/>
            </w:r>
            <w:r>
              <w:br/>
            </w:r>
            <w:r>
              <w:rPr>
                <w:rFonts w:ascii="SimSun" w:hAnsi="SimSun"/>
                <w:b w:val="false"/>
                <w:i w:val="false"/>
                <w:color w:val="000000"/>
                <w:sz w:val="21"/>
              </w:rPr>
              <w:t>Critical Appraisal of Medical Studies and Academic Writing</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PHPM60070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11,12</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医学文献评阅方法</w:t>
            </w:r>
            <w:r>
              <w:br/>
            </w:r>
            <w:r>
              <w:br/>
            </w:r>
            <w:r>
              <w:rPr>
                <w:rFonts w:ascii="SimSun" w:hAnsi="SimSun"/>
                <w:b w:val="false"/>
                <w:i w:val="false"/>
                <w:color w:val="000000"/>
                <w:sz w:val="21"/>
              </w:rPr>
              <w:t>Critical Appraisal of Scientific Studies</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PHPM60023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11,12</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研究生职业发展与职业规范</w:t>
            </w:r>
            <w:r>
              <w:br/>
            </w:r>
            <w:r>
              <w:br/>
            </w:r>
            <w:r>
              <w:rPr>
                <w:rFonts w:ascii="SimSun" w:hAnsi="SimSun"/>
                <w:b w:val="false"/>
                <w:i w:val="false"/>
                <w:color w:val="000000"/>
                <w:sz w:val="21"/>
              </w:rPr>
              <w:t>Career development and occupational standard for graduate</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PHPM60061</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11,12</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行为科学与健康促进</w:t>
            </w:r>
            <w:r>
              <w:br/>
            </w:r>
            <w:r>
              <w:br/>
            </w:r>
            <w:r>
              <w:rPr>
                <w:rFonts w:ascii="SimSun" w:hAnsi="SimSun"/>
                <w:b w:val="false"/>
                <w:i w:val="false"/>
                <w:color w:val="000000"/>
                <w:sz w:val="21"/>
              </w:rPr>
              <w:t>Behavioral Science and Health Promotion</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PHPM60011</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11,12</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新现化学品安全与健康</w:t>
            </w:r>
            <w:r>
              <w:br/>
            </w:r>
            <w:r>
              <w:br/>
            </w:r>
            <w:r>
              <w:rPr>
                <w:rFonts w:ascii="SimSun" w:hAnsi="SimSun"/>
                <w:b w:val="false"/>
                <w:i w:val="false"/>
                <w:color w:val="000000"/>
                <w:sz w:val="21"/>
              </w:rPr>
              <w:t>Emerging chemical safety and health</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PHPM60049</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11,12</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现代卫生微生物学</w:t>
            </w:r>
            <w:r>
              <w:br/>
            </w:r>
            <w:r>
              <w:br/>
            </w:r>
            <w:r>
              <w:rPr>
                <w:rFonts w:ascii="SimSun" w:hAnsi="SimSun"/>
                <w:b w:val="false"/>
                <w:i w:val="false"/>
                <w:color w:val="000000"/>
                <w:sz w:val="21"/>
              </w:rPr>
              <w:t>Modern Sanitary Microbiology</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PHPM60034</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11,12</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现代卫生分析化学</w:t>
            </w:r>
            <w:r>
              <w:br/>
            </w:r>
            <w:r>
              <w:br/>
            </w:r>
            <w:r>
              <w:rPr>
                <w:rFonts w:ascii="SimSun" w:hAnsi="SimSun"/>
                <w:b w:val="false"/>
                <w:i w:val="false"/>
                <w:color w:val="000000"/>
                <w:sz w:val="21"/>
              </w:rPr>
              <w:t>Modern Analytical Chemistry in Public Health</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PHPM60056</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11,12</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现场流行病学</w:t>
            </w:r>
            <w:r>
              <w:br/>
            </w:r>
            <w:r>
              <w:br/>
            </w:r>
            <w:r>
              <w:rPr>
                <w:rFonts w:ascii="SimSun" w:hAnsi="SimSun"/>
                <w:b w:val="false"/>
                <w:i w:val="false"/>
                <w:color w:val="000000"/>
                <w:sz w:val="21"/>
              </w:rPr>
              <w:t>Field Epidemiology</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PHPM60059</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11,12</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现场调查技术</w:t>
            </w:r>
            <w:r>
              <w:br/>
            </w:r>
            <w:r>
              <w:br/>
            </w:r>
            <w:r>
              <w:rPr>
                <w:rFonts w:ascii="SimSun" w:hAnsi="SimSun"/>
                <w:b w:val="false"/>
                <w:i w:val="false"/>
                <w:color w:val="000000"/>
                <w:sz w:val="21"/>
              </w:rPr>
              <w:t>Field Survey Techniques</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SPH60022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11,12</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系统思维</w:t>
            </w:r>
            <w:r>
              <w:br/>
            </w:r>
            <w:r>
              <w:br/>
            </w:r>
            <w:r>
              <w:rPr>
                <w:rFonts w:ascii="SimSun" w:hAnsi="SimSun"/>
                <w:b w:val="false"/>
                <w:i w:val="false"/>
                <w:color w:val="000000"/>
                <w:sz w:val="21"/>
              </w:rPr>
              <w:t>Systematic Thinking</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SPH60024</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11,12</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卫生体系研究</w:t>
            </w:r>
            <w:r>
              <w:br/>
            </w:r>
            <w:r>
              <w:br/>
            </w:r>
            <w:r>
              <w:rPr>
                <w:rFonts w:ascii="SimSun" w:hAnsi="SimSun"/>
                <w:b w:val="false"/>
                <w:i w:val="false"/>
                <w:color w:val="000000"/>
                <w:sz w:val="21"/>
              </w:rPr>
              <w:t>Health System Research</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MANA60048</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11,12</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围产流行病学</w:t>
            </w:r>
            <w:r>
              <w:br/>
            </w:r>
            <w:r>
              <w:br/>
            </w:r>
            <w:r>
              <w:rPr>
                <w:rFonts w:ascii="SimSun" w:hAnsi="SimSun"/>
                <w:b w:val="false"/>
                <w:i w:val="false"/>
                <w:color w:val="000000"/>
                <w:sz w:val="21"/>
              </w:rPr>
              <w:t>Perinatal epidemiology</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PHPM60052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11,12</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生殖毒理学</w:t>
            </w:r>
            <w:r>
              <w:br/>
            </w:r>
            <w:r>
              <w:br/>
            </w:r>
            <w:r>
              <w:rPr>
                <w:rFonts w:ascii="SimSun" w:hAnsi="SimSun"/>
                <w:b w:val="false"/>
                <w:i w:val="false"/>
                <w:color w:val="000000"/>
                <w:sz w:val="21"/>
              </w:rPr>
              <w:t>Reproductive Toxicology</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PHPM60035</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11,12</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社会医学研究方法与应用</w:t>
            </w:r>
            <w:r>
              <w:br/>
            </w:r>
            <w:r>
              <w:br/>
            </w:r>
            <w:r>
              <w:rPr>
                <w:rFonts w:ascii="SimSun" w:hAnsi="SimSun"/>
                <w:b w:val="false"/>
                <w:i w:val="false"/>
                <w:color w:val="000000"/>
                <w:sz w:val="21"/>
              </w:rPr>
              <w:t>Research on Health problems from a Sociological Perspective</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MANA60051</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11,12</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社会学视角下健康问题的研究实践</w:t>
            </w:r>
            <w:r>
              <w:br/>
            </w:r>
            <w:r>
              <w:br/>
            </w:r>
            <w:r>
              <w:rPr>
                <w:rFonts w:ascii="SimSun" w:hAnsi="SimSun"/>
                <w:b w:val="false"/>
                <w:i w:val="false"/>
                <w:color w:val="000000"/>
                <w:sz w:val="21"/>
              </w:rPr>
              <w:t>Research on Health problems from a Sociological Perspective</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MANA60050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11,12</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社会科学研究方法在健康领域的应用</w:t>
            </w:r>
            <w:r>
              <w:br/>
            </w:r>
            <w:r>
              <w:br/>
            </w:r>
            <w:r>
              <w:rPr>
                <w:rFonts w:ascii="SimSun" w:hAnsi="SimSun"/>
                <w:b w:val="false"/>
                <w:i w:val="false"/>
                <w:color w:val="000000"/>
                <w:sz w:val="21"/>
              </w:rPr>
              <w:t>Social Research Methods and their Application in Health Issues</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MANA60047</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11,12</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伤害预防与干预研究：理论与实践</w:t>
            </w:r>
            <w:r>
              <w:br/>
            </w:r>
            <w:r>
              <w:br/>
            </w:r>
            <w:r>
              <w:rPr>
                <w:rFonts w:ascii="SimSun" w:hAnsi="SimSun"/>
                <w:b w:val="false"/>
                <w:i w:val="false"/>
                <w:color w:val="000000"/>
                <w:sz w:val="21"/>
              </w:rPr>
              <w:t>Injury prevention and intervention: theory and practice</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PHPM60053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11,12</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全球卫生研究-理论与实践</w:t>
            </w:r>
            <w:r>
              <w:br/>
            </w:r>
            <w:r>
              <w:br/>
            </w:r>
            <w:r>
              <w:rPr>
                <w:rFonts w:ascii="SimSun" w:hAnsi="SimSun"/>
                <w:b w:val="false"/>
                <w:i w:val="false"/>
                <w:color w:val="000000"/>
                <w:sz w:val="21"/>
              </w:rPr>
              <w:t>Global Health Study – Principles and Practice</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PHPM60067</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11,12</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全球健康领导力</w:t>
            </w:r>
            <w:r>
              <w:br/>
            </w:r>
            <w:r>
              <w:br/>
            </w:r>
            <w:r>
              <w:rPr>
                <w:rFonts w:ascii="SimSun" w:hAnsi="SimSun"/>
                <w:b w:val="false"/>
                <w:i w:val="false"/>
                <w:color w:val="000000"/>
                <w:sz w:val="21"/>
              </w:rPr>
              <w:t>Global Health Leadership</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PHPM60071</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11,12</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流行病学数据分析</w:t>
            </w:r>
            <w:r>
              <w:br/>
            </w:r>
            <w:r>
              <w:br/>
            </w:r>
            <w:r>
              <w:rPr>
                <w:rFonts w:ascii="SimSun" w:hAnsi="SimSun"/>
                <w:b w:val="false"/>
                <w:i w:val="false"/>
                <w:color w:val="000000"/>
                <w:sz w:val="21"/>
              </w:rPr>
              <w:t>Computer Software in Epidemiology</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PHPM60014</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11,12</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流行病学偏倚分析技术</w:t>
            </w:r>
            <w:r>
              <w:br/>
            </w:r>
            <w:r>
              <w:br/>
            </w:r>
            <w:r>
              <w:rPr>
                <w:rFonts w:ascii="SimSun" w:hAnsi="SimSun"/>
                <w:b w:val="false"/>
                <w:i w:val="false"/>
                <w:color w:val="000000"/>
                <w:sz w:val="21"/>
              </w:rPr>
              <w:t>Bias Analytic Techniques in Epidemiology</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PHPM60030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11,12</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临床科研设计与数据分析</w:t>
            </w:r>
            <w:r>
              <w:br/>
            </w:r>
            <w:r>
              <w:br/>
            </w:r>
            <w:r>
              <w:rPr>
                <w:rFonts w:ascii="SimSun" w:hAnsi="SimSun"/>
                <w:b w:val="false"/>
                <w:i w:val="false"/>
                <w:color w:val="000000"/>
                <w:sz w:val="21"/>
              </w:rPr>
              <w:t>Study design and data analysis for clinical research</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PHPM60057</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11,12</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跨学科理论在健康促进干预设计中的应用</w:t>
            </w:r>
            <w:r>
              <w:br/>
            </w:r>
            <w:r>
              <w:br/>
            </w:r>
            <w:r>
              <w:rPr>
                <w:rFonts w:ascii="SimSun" w:hAnsi="SimSun"/>
                <w:b w:val="false"/>
                <w:i w:val="false"/>
                <w:color w:val="000000"/>
                <w:sz w:val="21"/>
              </w:rPr>
              <w:t>Application of Interdisciplinary Theory in the Design of Health Promotion Interventions</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PHPM60078</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11,12</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空气污染气候变化与健康</w:t>
            </w:r>
            <w:r>
              <w:br/>
            </w:r>
            <w:r>
              <w:br/>
            </w:r>
            <w:r>
              <w:rPr>
                <w:rFonts w:ascii="SimSun" w:hAnsi="SimSun"/>
                <w:b w:val="false"/>
                <w:i w:val="false"/>
                <w:color w:val="000000"/>
                <w:sz w:val="21"/>
              </w:rPr>
              <w:t>Air Pollution, Climate Change and Health</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PHPM60093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11,12</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健康行为与健康心理学</w:t>
            </w:r>
            <w:r>
              <w:br/>
            </w:r>
            <w:r>
              <w:br/>
            </w:r>
            <w:r>
              <w:rPr>
                <w:rFonts w:ascii="SimSun" w:hAnsi="SimSun"/>
                <w:b w:val="false"/>
                <w:i w:val="false"/>
                <w:color w:val="000000"/>
                <w:sz w:val="21"/>
              </w:rPr>
              <w:t>Health Behavior and Health Psychology</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PHPM60039</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11,12</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健康老龄化策略与长期护理保障体系</w:t>
            </w:r>
            <w:r>
              <w:br/>
            </w:r>
            <w:r>
              <w:br/>
            </w:r>
            <w:r>
              <w:rPr>
                <w:rFonts w:ascii="SimSun" w:hAnsi="SimSun"/>
                <w:b w:val="false"/>
                <w:i w:val="false"/>
                <w:color w:val="000000"/>
                <w:sz w:val="21"/>
              </w:rPr>
              <w:t>Long-term care service system and insurance</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SPH60025</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11,12</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健康管理技术与方法</w:t>
            </w:r>
            <w:r>
              <w:br/>
            </w:r>
            <w:r>
              <w:br/>
            </w:r>
            <w:r>
              <w:rPr>
                <w:rFonts w:ascii="SimSun" w:hAnsi="SimSun"/>
                <w:b w:val="false"/>
                <w:i w:val="false"/>
                <w:color w:val="000000"/>
                <w:sz w:val="21"/>
              </w:rPr>
              <w:t>Health management technology and method</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SPH60026</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11,12</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计算毒理学方法导论</w:t>
            </w:r>
            <w:r>
              <w:br/>
            </w:r>
            <w:r>
              <w:br/>
            </w:r>
            <w:r>
              <w:rPr>
                <w:rFonts w:ascii="SimSun" w:hAnsi="SimSun"/>
                <w:b w:val="false"/>
                <w:i w:val="false"/>
                <w:color w:val="000000"/>
                <w:sz w:val="21"/>
              </w:rPr>
              <w:t>Introduction of research method in computational toxicology</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PHPM60075</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11,12</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积极心理学</w:t>
            </w:r>
            <w:r>
              <w:br/>
            </w:r>
            <w:r>
              <w:br/>
            </w:r>
            <w:r>
              <w:rPr>
                <w:rFonts w:ascii="SimSun" w:hAnsi="SimSun"/>
                <w:b w:val="false"/>
                <w:i w:val="false"/>
                <w:color w:val="000000"/>
                <w:sz w:val="21"/>
              </w:rPr>
              <w:t>The Positive Psychology</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PHPM60074</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11,12</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环境与生殖</w:t>
            </w:r>
            <w:r>
              <w:br/>
            </w:r>
            <w:r>
              <w:br/>
            </w:r>
            <w:r>
              <w:rPr>
                <w:rFonts w:ascii="SimSun" w:hAnsi="SimSun"/>
                <w:b w:val="false"/>
                <w:i w:val="false"/>
                <w:color w:val="000000"/>
                <w:sz w:val="21"/>
              </w:rPr>
              <w:t>Environment and Reproductive</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PHPM60037</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11,12</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环境与生物监测</w:t>
            </w:r>
            <w:r>
              <w:br/>
            </w:r>
            <w:r>
              <w:br/>
            </w:r>
            <w:r>
              <w:rPr>
                <w:rFonts w:ascii="SimSun" w:hAnsi="SimSun"/>
                <w:b w:val="false"/>
                <w:i w:val="false"/>
                <w:color w:val="000000"/>
                <w:sz w:val="21"/>
              </w:rPr>
              <w:t>Environmental and Biological Monitoring</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PHPM60016</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11,12</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环境与儿童健康</w:t>
            </w:r>
            <w:r>
              <w:br/>
            </w:r>
            <w:r>
              <w:br/>
            </w:r>
            <w:r>
              <w:rPr>
                <w:rFonts w:ascii="SimSun" w:hAnsi="SimSun"/>
                <w:b w:val="false"/>
                <w:i w:val="false"/>
                <w:color w:val="000000"/>
                <w:sz w:val="21"/>
              </w:rPr>
              <w:t>Environment and Children’s Health</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PHPM60044</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11,12</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环境污染物暴露评价技术</w:t>
            </w:r>
            <w:r>
              <w:br/>
            </w:r>
            <w:r>
              <w:br/>
            </w:r>
            <w:r>
              <w:rPr>
                <w:rFonts w:ascii="SimSun" w:hAnsi="SimSun"/>
                <w:b w:val="false"/>
                <w:i w:val="false"/>
                <w:color w:val="000000"/>
                <w:sz w:val="21"/>
              </w:rPr>
              <w:t>Exposure assessment techniques of environmental pollutants</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PHPM60050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11,12</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环境流行病学研究方法及应用</w:t>
            </w:r>
            <w:r>
              <w:br/>
            </w:r>
            <w:r>
              <w:br/>
            </w:r>
            <w:r>
              <w:rPr>
                <w:rFonts w:ascii="SimSun" w:hAnsi="SimSun"/>
                <w:b w:val="false"/>
                <w:i w:val="false"/>
                <w:color w:val="000000"/>
                <w:sz w:val="21"/>
              </w:rPr>
              <w:t>Environmental Epidemiology Research Methods and Applications</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PHPM60080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11,12</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环境流行病学研究方法及应用</w:t>
            </w:r>
            <w:r>
              <w:br/>
            </w:r>
            <w:r>
              <w:br/>
            </w:r>
            <w:r>
              <w:rPr>
                <w:rFonts w:ascii="SimSun" w:hAnsi="SimSun"/>
                <w:b w:val="false"/>
                <w:i w:val="false"/>
                <w:color w:val="000000"/>
                <w:sz w:val="21"/>
              </w:rPr>
              <w:t>Environmental Epidemiology Research Methods and Applications</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PHPM60081</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11,12</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国际视野下的儿童发展</w:t>
            </w:r>
            <w:r>
              <w:br/>
            </w:r>
            <w:r>
              <w:br/>
            </w:r>
            <w:r>
              <w:rPr>
                <w:rFonts w:ascii="SimSun" w:hAnsi="SimSun"/>
                <w:b w:val="false"/>
                <w:i w:val="false"/>
                <w:color w:val="000000"/>
                <w:sz w:val="21"/>
              </w:rPr>
              <w:t>Child development under international context</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PHPM60069</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11,12</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公众心理健康促进</w:t>
            </w:r>
            <w:r>
              <w:br/>
            </w:r>
            <w:r>
              <w:br/>
            </w:r>
            <w:r>
              <w:rPr>
                <w:rFonts w:ascii="SimSun" w:hAnsi="SimSun"/>
                <w:b w:val="false"/>
                <w:i w:val="false"/>
                <w:color w:val="000000"/>
                <w:sz w:val="21"/>
              </w:rPr>
              <w:t>Prevent ill-mental health</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PHPM60055</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11,12</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公共卫生与环境相关疾病</w:t>
            </w:r>
            <w:r>
              <w:br/>
            </w:r>
            <w:r>
              <w:br/>
            </w:r>
            <w:r>
              <w:rPr>
                <w:rFonts w:ascii="SimSun" w:hAnsi="SimSun"/>
                <w:b w:val="false"/>
                <w:i w:val="false"/>
                <w:color w:val="000000"/>
                <w:sz w:val="21"/>
              </w:rPr>
              <w:t>Hygiene</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PHPM60026</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11,12</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公共卫生实践技能</w:t>
            </w:r>
            <w:r>
              <w:br/>
            </w:r>
            <w:r>
              <w:br/>
            </w:r>
            <w:r>
              <w:rPr>
                <w:rFonts w:ascii="SimSun" w:hAnsi="SimSun"/>
                <w:b w:val="false"/>
                <w:i w:val="false"/>
                <w:color w:val="000000"/>
                <w:sz w:val="21"/>
              </w:rPr>
              <w:t>Practice  of Public Health</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SPH60023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11,12</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公共卫生实践</w:t>
            </w:r>
            <w:r>
              <w:br/>
            </w:r>
            <w:r>
              <w:br/>
            </w:r>
            <w:r>
              <w:rPr>
                <w:rFonts w:ascii="SimSun" w:hAnsi="SimSun"/>
                <w:b w:val="false"/>
                <w:i w:val="false"/>
                <w:color w:val="000000"/>
                <w:sz w:val="21"/>
              </w:rPr>
              <w:t>Public Health Practice</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SPH60017</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11,12</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公共卫生生物信息学：导论和数据分析</w:t>
            </w:r>
            <w:r>
              <w:br/>
            </w:r>
            <w:r>
              <w:br/>
            </w:r>
            <w:r>
              <w:rPr>
                <w:rFonts w:ascii="SimSun" w:hAnsi="SimSun"/>
                <w:b w:val="false"/>
                <w:i w:val="false"/>
                <w:color w:val="000000"/>
                <w:sz w:val="21"/>
              </w:rPr>
              <w:t>Public Health Bioinformatics: Introduction and Data Analysis</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PHPM60060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11,12</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公共卫生科研写作</w:t>
            </w:r>
            <w:r>
              <w:br/>
            </w:r>
            <w:r>
              <w:br/>
            </w:r>
            <w:r>
              <w:rPr>
                <w:rFonts w:ascii="SimSun" w:hAnsi="SimSun"/>
                <w:b w:val="false"/>
                <w:i w:val="false"/>
                <w:color w:val="000000"/>
                <w:sz w:val="21"/>
              </w:rPr>
              <w:t>Public Health Scientific Writing</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SPH60027</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11,12</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妇幼营养与健康</w:t>
            </w:r>
            <w:r>
              <w:br/>
            </w:r>
            <w:r>
              <w:br/>
            </w:r>
            <w:r>
              <w:rPr>
                <w:rFonts w:ascii="SimSun" w:hAnsi="SimSun"/>
                <w:b w:val="false"/>
                <w:i w:val="false"/>
                <w:color w:val="000000"/>
                <w:sz w:val="21"/>
              </w:rPr>
              <w:t>Mother and Infant Nutrition and Health</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PHPM60045</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11,12</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分子流行病学</w:t>
            </w:r>
            <w:r>
              <w:br/>
            </w:r>
            <w:r>
              <w:br/>
            </w:r>
            <w:r>
              <w:rPr>
                <w:rFonts w:ascii="SimSun" w:hAnsi="SimSun"/>
                <w:b w:val="false"/>
                <w:i w:val="false"/>
                <w:color w:val="000000"/>
                <w:sz w:val="21"/>
              </w:rPr>
              <w:t>Molecular Epidemiology</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PHPM60024</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11,12</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发育毒理学</w:t>
            </w:r>
            <w:r>
              <w:br/>
            </w:r>
            <w:r>
              <w:br/>
            </w:r>
            <w:r>
              <w:rPr>
                <w:rFonts w:ascii="SimSun" w:hAnsi="SimSun"/>
                <w:b w:val="false"/>
                <w:i w:val="false"/>
                <w:color w:val="000000"/>
                <w:sz w:val="21"/>
              </w:rPr>
              <w:t>Developmental Toxicology</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PHPM60036</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11,12</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儿童青少年健康研究进展</w:t>
            </w:r>
            <w:r>
              <w:br/>
            </w:r>
            <w:r>
              <w:br/>
            </w:r>
            <w:r>
              <w:rPr>
                <w:rFonts w:ascii="SimSun" w:hAnsi="SimSun"/>
                <w:b w:val="false"/>
                <w:i w:val="false"/>
                <w:color w:val="000000"/>
                <w:sz w:val="21"/>
              </w:rPr>
              <w:t>Progress in Child and Adolescent Health Researches</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PHPM60042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11,12</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多组学与大健康</w:t>
            </w:r>
            <w:r>
              <w:br/>
            </w:r>
            <w:r>
              <w:br/>
            </w:r>
            <w:r>
              <w:rPr>
                <w:rFonts w:ascii="SimSun" w:hAnsi="SimSun"/>
                <w:b w:val="false"/>
                <w:i w:val="false"/>
                <w:color w:val="000000"/>
                <w:sz w:val="21"/>
              </w:rPr>
              <w:t>Omics and Health</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PHPM60076</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11,12</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地理信息系统与公共卫生</w:t>
            </w:r>
            <w:r>
              <w:br/>
            </w:r>
            <w:r>
              <w:br/>
            </w:r>
            <w:r>
              <w:rPr>
                <w:rFonts w:ascii="SimSun" w:hAnsi="SimSun"/>
                <w:b w:val="false"/>
                <w:i w:val="false"/>
                <w:color w:val="000000"/>
                <w:sz w:val="21"/>
              </w:rPr>
              <w:t>GIS and Public Health</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PHPM60043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11,12</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传染病流行病学</w:t>
            </w:r>
            <w:r>
              <w:br/>
            </w:r>
            <w:r>
              <w:br/>
            </w:r>
            <w:r>
              <w:rPr>
                <w:rFonts w:ascii="SimSun" w:hAnsi="SimSun"/>
                <w:b w:val="false"/>
                <w:i w:val="false"/>
                <w:color w:val="000000"/>
                <w:sz w:val="21"/>
              </w:rPr>
              <w:t>Infectious Disease Epidemiology</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PHPM60058</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11,12</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传染病建模导论</w:t>
            </w:r>
            <w:r>
              <w:br/>
            </w:r>
            <w:r>
              <w:br/>
            </w:r>
            <w:r>
              <w:rPr>
                <w:rFonts w:ascii="SimSun" w:hAnsi="SimSun"/>
                <w:b w:val="false"/>
                <w:i w:val="false"/>
                <w:color w:val="000000"/>
                <w:sz w:val="21"/>
              </w:rPr>
              <w:t>Introduction to Infectious Disease Modelling</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PHPM60082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11,12</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常用定性研究分析软件的应用与实践</w:t>
            </w:r>
            <w:r>
              <w:br/>
            </w:r>
            <w:r>
              <w:br/>
            </w:r>
            <w:r>
              <w:rPr>
                <w:rFonts w:ascii="SimSun" w:hAnsi="SimSun"/>
                <w:b w:val="false"/>
                <w:i w:val="false"/>
                <w:color w:val="000000"/>
                <w:sz w:val="21"/>
              </w:rPr>
              <w:t>Application and practice for qualitative data</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PHPM60048</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11,12</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边弱群体健康促进--从边缘看问题（性与性别视角）</w:t>
            </w:r>
            <w:r>
              <w:br/>
            </w:r>
            <w:r>
              <w:br/>
            </w:r>
            <w:r>
              <w:rPr>
                <w:rFonts w:ascii="SimSun" w:hAnsi="SimSun"/>
                <w:b w:val="false"/>
                <w:i w:val="false"/>
                <w:color w:val="000000"/>
                <w:sz w:val="21"/>
              </w:rPr>
              <w:t>Marginal Vision of Health Intervention from Sexuality and Gender Perspectives</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PHPM60054</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11,12</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暴露科学和暴露组学</w:t>
            </w:r>
            <w:r>
              <w:br/>
            </w:r>
            <w:r>
              <w:br/>
            </w:r>
            <w:r>
              <w:rPr>
                <w:rFonts w:ascii="SimSun" w:hAnsi="SimSun"/>
                <w:b w:val="false"/>
                <w:i w:val="false"/>
                <w:color w:val="000000"/>
                <w:sz w:val="21"/>
              </w:rPr>
              <w:t>Exposure Science and Exposomes</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PHPM60065</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11,12</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艾滋病健康社会科学</w:t>
            </w:r>
            <w:r>
              <w:br/>
            </w:r>
            <w:r>
              <w:br/>
            </w:r>
            <w:r>
              <w:rPr>
                <w:rFonts w:ascii="SimSun" w:hAnsi="SimSun"/>
                <w:b w:val="false"/>
                <w:i w:val="false"/>
                <w:color w:val="000000"/>
                <w:sz w:val="21"/>
              </w:rPr>
              <w:t>HIV/AIDS Health Social Sciences</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PHPM60038</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11,12</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SPSS统计分析</w:t>
            </w:r>
            <w:r>
              <w:br/>
            </w:r>
            <w:r>
              <w:br/>
            </w:r>
            <w:r>
              <w:rPr>
                <w:rFonts w:ascii="SimSun" w:hAnsi="SimSun"/>
                <w:b w:val="false"/>
                <w:i w:val="false"/>
                <w:color w:val="000000"/>
                <w:sz w:val="21"/>
              </w:rPr>
              <w:t>Statistical Analysis Using SPSS</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40</w:t>
            </w:r>
          </w:p>
        </w:tc>
        <w:tc>
          <w:tcPr>
            <w:tcW w:w="111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PHPM60032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11,12</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SAS-中级数据分析</w:t>
            </w:r>
            <w:r>
              <w:br/>
            </w:r>
            <w:r>
              <w:br/>
            </w:r>
            <w:r>
              <w:rPr>
                <w:rFonts w:ascii="SimSun" w:hAnsi="SimSun"/>
                <w:b w:val="false"/>
                <w:i w:val="false"/>
                <w:color w:val="000000"/>
                <w:sz w:val="21"/>
              </w:rPr>
              <w:t>Intermediate Data Analysis Using SAS</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PHPM60073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11,12</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SAS统计分析</w:t>
            </w:r>
            <w:r>
              <w:br/>
            </w:r>
            <w:r>
              <w:br/>
            </w:r>
            <w:r>
              <w:rPr>
                <w:rFonts w:ascii="SimSun" w:hAnsi="SimSun"/>
                <w:b w:val="false"/>
                <w:i w:val="false"/>
                <w:color w:val="000000"/>
                <w:sz w:val="21"/>
              </w:rPr>
              <w:t>Statistical Analysis Using SAS Program</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PHPM60033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11,12</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SAS数据分析入门</w:t>
            </w:r>
            <w:r>
              <w:br/>
            </w:r>
            <w:r>
              <w:br/>
            </w:r>
            <w:r>
              <w:rPr>
                <w:rFonts w:ascii="SimSun" w:hAnsi="SimSun"/>
                <w:b w:val="false"/>
                <w:i w:val="false"/>
                <w:color w:val="000000"/>
                <w:sz w:val="21"/>
              </w:rPr>
              <w:t>Introduction to Data Analysis Using SAS</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PHPM60072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11,12</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R统计分析基础课程</w:t>
            </w:r>
            <w:r>
              <w:br/>
            </w:r>
            <w:r>
              <w:br/>
            </w:r>
            <w:r>
              <w:rPr>
                <w:rFonts w:ascii="SimSun" w:hAnsi="SimSun"/>
                <w:b w:val="false"/>
                <w:i w:val="false"/>
                <w:color w:val="000000"/>
                <w:sz w:val="21"/>
              </w:rPr>
              <w:t>Introductory statistical analysis using R</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2.5</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PHPM60051</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11,12</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全球健康治理</w:t>
            </w:r>
            <w:r>
              <w:br/>
            </w:r>
            <w:r>
              <w:br/>
            </w:r>
            <w:r>
              <w:rPr>
                <w:rFonts w:ascii="SimSun" w:hAnsi="SimSun"/>
                <w:b w:val="false"/>
                <w:i w:val="false"/>
                <w:color w:val="000000"/>
                <w:sz w:val="21"/>
              </w:rPr>
              <w:t>Global Health Governance</w:t>
            </w:r>
          </w:p>
        </w:tc>
        <w:tc>
          <w:tcPr>
            <w:tcW w:w="79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PHPM70001</w:t>
            </w: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暑期</w:t>
            </w:r>
          </w:p>
        </w:tc>
        <w:tc>
          <w:tcPr>
            <w:tcW w:w="111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3"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荣誉项目路径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3.  跨学科发展路径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4.  创新创业路径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5.  辅修学士学位路径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其他</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(四) 融合创新能力</w:t>
      </w:r>
      <w:r>
        <w:rPr>
          <w:rFonts w:ascii="SimSun" w:hAnsi="SimSun"/>
          <w:b/>
          <w:i w:val="false"/>
          <w:color w:val="000000"/>
          <w:sz w:val="21"/>
        </w:rPr>
        <w:t>（24学分）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8"/>
        <w:gridCol w:w="801"/>
        <w:gridCol w:w="801"/>
        <w:gridCol w:w="1123"/>
        <w:gridCol w:w="1764"/>
        <w:gridCol w:w="802"/>
        <w:gridCol w:w="802"/>
        <w:gridCol w:w="802"/>
        <w:gridCol w:w="802"/>
        <w:gridCol w:w="1123"/>
        <w:gridCol w:w="1606"/>
      </w:tblGrid>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职业卫生与职业医学实验</w:t>
            </w:r>
            <w:r>
              <w:br/>
            </w:r>
            <w:r>
              <w:br/>
            </w:r>
            <w:r>
              <w:rPr>
                <w:rFonts w:ascii="SimSun" w:hAnsi="SimSun"/>
                <w:b w:val="false"/>
                <w:i w:val="false"/>
                <w:color w:val="000000"/>
                <w:sz w:val="21"/>
              </w:rPr>
              <w:t>Experiments in Occupational Health and Occupational Medicine　</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PHPM40016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环境卫生学实验</w:t>
            </w:r>
            <w:r>
              <w:br/>
            </w:r>
            <w:r>
              <w:br/>
            </w:r>
            <w:r>
              <w:rPr>
                <w:rFonts w:ascii="SimSun" w:hAnsi="SimSun"/>
                <w:b w:val="false"/>
                <w:i w:val="false"/>
                <w:color w:val="000000"/>
                <w:sz w:val="21"/>
              </w:rPr>
              <w:t>Experiments in Environmental Health　</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PHPM40018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营养与食品卫生学实验</w:t>
            </w:r>
            <w:r>
              <w:br/>
            </w:r>
            <w:r>
              <w:br/>
            </w:r>
            <w:r>
              <w:rPr>
                <w:rFonts w:ascii="SimSun" w:hAnsi="SimSun"/>
                <w:b w:val="false"/>
                <w:i w:val="false"/>
                <w:color w:val="000000"/>
                <w:sz w:val="21"/>
              </w:rPr>
              <w:t>Experiments in Nutrition and Food Hygiene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PHPM40020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探索型公共卫生综合实验</w:t>
            </w:r>
            <w:r>
              <w:br/>
            </w:r>
            <w:r>
              <w:br/>
            </w:r>
            <w:r>
              <w:rPr>
                <w:rFonts w:ascii="SimSun" w:hAnsi="SimSun"/>
                <w:b w:val="false"/>
                <w:i w:val="false"/>
                <w:color w:val="000000"/>
                <w:sz w:val="21"/>
              </w:rPr>
              <w:t>Exploratory Integrated Public Health Laboratory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PHPM50004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生产实习</w:t>
            </w:r>
            <w:r>
              <w:br/>
            </w:r>
            <w:r>
              <w:br/>
            </w:r>
            <w:r>
              <w:rPr>
                <w:rFonts w:ascii="SimSun" w:hAnsi="SimSun"/>
                <w:b w:val="false"/>
                <w:i w:val="false"/>
                <w:color w:val="000000"/>
                <w:sz w:val="21"/>
              </w:rPr>
              <w:t>Production practice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PHPM40027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临床实习</w:t>
            </w:r>
            <w:r>
              <w:br/>
            </w:r>
            <w:r>
              <w:br/>
            </w:r>
            <w:r>
              <w:rPr>
                <w:rFonts w:ascii="SimSun" w:hAnsi="SimSun"/>
                <w:b w:val="false"/>
                <w:i w:val="false"/>
                <w:color w:val="000000"/>
                <w:sz w:val="21"/>
              </w:rPr>
              <w:t>Clinical practice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PHPM40026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毕业论文</w:t>
            </w:r>
            <w:r>
              <w:br/>
            </w:r>
            <w:r>
              <w:br/>
            </w:r>
            <w:r>
              <w:rPr>
                <w:rFonts w:ascii="SimSun" w:hAnsi="SimSun"/>
                <w:b w:val="false"/>
                <w:i w:val="false"/>
                <w:color w:val="000000"/>
                <w:sz w:val="21"/>
              </w:rPr>
              <w:t>Graduation Thesis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PHPM40032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科研伦理与学术规范</w:t>
            </w:r>
            <w:r>
              <w:br/>
            </w:r>
            <w:r>
              <w:br/>
            </w:r>
            <w:r>
              <w:rPr>
                <w:rFonts w:ascii="SimSun" w:hAnsi="SimSun"/>
                <w:b w:val="false"/>
                <w:i w:val="false"/>
                <w:color w:val="000000"/>
                <w:sz w:val="21"/>
              </w:rPr>
              <w:t>Scientific Research Ethics and Academic Norms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PHPM30030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公共卫生领导力实训</w:t>
            </w:r>
            <w:r>
              <w:br/>
            </w:r>
            <w:r>
              <w:br/>
            </w:r>
            <w:r>
              <w:rPr>
                <w:rFonts w:ascii="SimSun" w:hAnsi="SimSun"/>
                <w:b w:val="false"/>
                <w:i w:val="false"/>
                <w:color w:val="000000"/>
                <w:sz w:val="21"/>
              </w:rPr>
              <w:t>Public Health Leadership Practical Training</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PHPM40033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公共卫生科研创新与实践Ⅰ</w:t>
            </w:r>
            <w:r>
              <w:br/>
            </w:r>
            <w:r>
              <w:br/>
            </w:r>
            <w:r>
              <w:rPr>
                <w:rFonts w:ascii="SimSun" w:hAnsi="SimSun"/>
                <w:b w:val="false"/>
                <w:i w:val="false"/>
                <w:color w:val="000000"/>
                <w:sz w:val="21"/>
              </w:rPr>
              <w:t>Public Health Research Innovation and Practice I</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27</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PHPM30031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公共卫生科研创新与实践Ⅱ</w:t>
            </w:r>
            <w:r>
              <w:br/>
            </w:r>
            <w:r>
              <w:br/>
            </w:r>
            <w:r>
              <w:rPr>
                <w:rFonts w:ascii="SimSun" w:hAnsi="SimSun"/>
                <w:b w:val="false"/>
                <w:i w:val="false"/>
                <w:color w:val="000000"/>
                <w:sz w:val="21"/>
              </w:rPr>
              <w:t>Public Health Research Innovation and Practice II</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27</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PHPM30032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复芏计划(FDUROP)</w:t>
            </w:r>
            <w:r>
              <w:br/>
            </w:r>
            <w:r>
              <w:br/>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第5、6学期，需要承担1项复芏计划(包括正谊项目)，详见复旦大学本科生学术研究资助计划管理办法。</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科研轮转</w:t>
            </w:r>
            <w:r>
              <w:br/>
            </w:r>
            <w:r>
              <w:br/>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第3、4学期，学生在四个不同的研究团队中进行轮转，拓宽科研视野。</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研究生学术活动</w:t>
            </w:r>
            <w:r>
              <w:br/>
            </w:r>
            <w:r>
              <w:br/>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要求参加前沿学术讲座及学术活动不得少于10次，其中由研究生主讲的各类学术讲座或国内外学术会议大会报告不少于4次</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研究生实践活动</w:t>
            </w:r>
            <w:r>
              <w:br/>
            </w:r>
            <w:r>
              <w:br/>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参加教研室安排的教学活动，完成规定的教学工作量。研究生学段必须完成2个学期全岗的助教助管工作（2岗中至少包含1个助教全岗）。指导老师评价为合格方为通过。</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专业外语</w:t>
            </w:r>
            <w:r>
              <w:br/>
            </w:r>
            <w:r>
              <w:br/>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至少修读1门全英语的研究生课程</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国际交流</w:t>
            </w:r>
            <w:r>
              <w:br/>
            </w:r>
            <w:r>
              <w:br/>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原则上应到具有世界一流水平的国内外机构进行三个月左右（累计）的学习、研究或联合培养。需具有参加高水平国际学术会议并作报告的经历。</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博士学位论文开题</w:t>
            </w:r>
            <w:r>
              <w:br/>
            </w:r>
            <w:r>
              <w:br/>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在第12学期完成</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博士生资格考核</w:t>
            </w:r>
            <w:r>
              <w:br/>
            </w:r>
            <w:r>
              <w:br/>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在第12学期完成</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博士论文中期考核</w:t>
            </w:r>
            <w:r>
              <w:br/>
            </w:r>
            <w:r>
              <w:br/>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在第14学期完成</w:t>
            </w:r>
          </w:p>
        </w:tc>
      </w:tr>
      <w:tr>
        <w:trPr>
          <w:trHeight w:val="45" w:hRule="atLeast"/>
        </w:trPr>
        <w:tc>
          <w:tcPr>
            <w:tcW w:w="32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博士学位论文预审</w:t>
            </w:r>
            <w:r>
              <w:br/>
            </w:r>
            <w:r>
              <w:br/>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博士学位论文预审由院系组织，具体参照《复旦大学博士、硕士学位论文预审办法》《复旦大学博士研究生培养分流退出实施办法》及院系相关文件规定执行。</w:t>
            </w:r>
          </w:p>
        </w:tc>
      </w:tr>
    </w:tbl>
    <w:sectPr>
      <w:pgSz w:w="11907" w:h="16839" w:code="9"/>
      <w:pgMar w:top="1440" w:right="1440" w:bottom="1440" w:left="1440"/>
    </w:sectPr>
  </w:body>
</w:document>
</file>

<file path=word/numbering.xml><?xml version="1.0" encoding="utf-8"?>
<w:numbering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file>

<file path=word/settings.xml><?xml version="1.0" encoding="utf-8"?>
<w:setting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mc:Ignorable="">
  <w:compat>
    <w:compatSetting w:name="overrideTableStyleFontSizeAndJustification" w:uri="http://schemas.microsoft.com/office/word" w:val="1"/>
  </w:compat>
</w:settings>
</file>

<file path=word/styles.xml><?xml version="1.0" encoding="utf-8"?>
<w:style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 Target="media/document_image_rId4.png" Type="http://schemas.openxmlformats.org/officeDocument/2006/relationships/image" Id="rId4"/>
   <Relationship Target="media/document_image_rId5.png" Type="http://schemas.openxmlformats.org/officeDocument/2006/relationships/image" Id="rId5"/>
   <Relationship Target="media/document_image_rId6.png" Type="http://schemas.openxmlformats.org/officeDocument/2006/relationships/image" Id="rId6"/>
   <Relationship Target="media/document_image_rId7.png" Type="http://schemas.openxmlformats.org/officeDocument/2006/relationships/image" Id="rId7"/>
</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dcterms="http://purl.org/dc/terms/" xmlns:cp="http://schemas.openxmlformats.org/package/2006/metadata/core-properties" xmlns:dc="http://purl.org/dc/elements/1.1/"/>
</file>