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计算机科学与技术-电子信息本硕融通培养方案（产教融合班适用）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计算与智能创新学院秉承计算机科学与技术专业多年的人才培养经验，积极响应国家重大发展战略和复旦大学新工科本研融通的新举措，充分依托综合性大学优势，聚焦计算机科学、计算机工程和计算机应用全能型的人才培养，造就具有扎实的理论基础、树立计算机系统观点、熟悉计算机科学与工程核心原理、具备计算机系统能力、具有国际视野和参与国际竞争与协作的全能型人才，为中国乃至世界的计算机科学探索、计算机工程实施和计算机应用健康持续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旨在培育具有深厚底蕴与前瞻视野的计算机科学与技术领域精英。学生将系统掌握计算机领域的核心理论、专业知识及实操技能，同时在数理科学等多个维度实现跨领域融合的综合素养。要求学生精通至少一门外语，具备卓越的问题解析、独立研究等能力。通过本研融通培养，构建起循序渐进、层层深入的学习路径，为学生的成长与发展提供持续且强劲的动力，助力其在计算机科学与技术领域稳步迈向顶尖行列。</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758267" cy="231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58267" cy="2319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2年级（学业绩点排名后10%的学生）、3年级结束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计算科学与技术本科培养方案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34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4859867" cy="1524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59867" cy="1524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1、专业进阶路径：156 学分</w:t>
      </w:r>
    </w:p>
    <w:p>
      <w:pPr>
        <w:spacing w:after="0"/>
        <w:ind w:left="0"/>
        <w:jc w:val="left"/>
      </w:pPr>
      <w:r>
        <w:rPr>
          <w:rFonts w:ascii="SimSun" w:hAnsi="SimSun"/>
          <w:b w:val="false"/>
          <w:i w:val="false"/>
          <w:color w:val="000000"/>
          <w:sz w:val="21"/>
        </w:rPr>
        <w:t xml:space="preserve">  本路径学生本硕期间必须修满教学计划规定的 156 学分，包括通识教育课程42学分、专业培养课程 62 学分、专业进阶I修读 19 学分、专业进阶II修读 15 学分、融合创新能力培养 18 学分。</w:t>
      </w:r>
      <w:r>
        <w:br/>
      </w:r>
      <w:r>
        <w:br/>
      </w:r>
      <w:r>
        <w:rPr>
          <w:rFonts w:ascii="SimSun" w:hAnsi="SimSun"/>
          <w:b w:val="false"/>
          <w:i w:val="false"/>
          <w:color w:val="000000"/>
          <w:sz w:val="21"/>
        </w:rPr>
        <w:t xml:space="preserve">    其中，本科学段需要完成 142 学分（含实践学分不低于 36 学分；含美育学分不少于2学分，其中至少在“美学和艺术史论类”或“艺术鉴赏和评论类”课程中修读1学分，并至少参与一项艺术实践活动；劳动教育不少于32学时，并满足劳动周教育要求），包括通识教育课程 39 学分、专业培养课程 62 学分、专业进阶模块修读 34 学分、融合创新能力培养 7 学分。</w:t>
      </w:r>
    </w:p>
    <w:p>
      <w:pPr>
        <w:spacing w:after="0"/>
        <w:ind w:left="0"/>
        <w:jc w:val="left"/>
      </w:pPr>
      <w:r>
        <w:rPr>
          <w:rFonts w:ascii="SimSun" w:hAnsi="SimSun"/>
          <w:b w:val="false"/>
          <w:i w:val="false"/>
          <w:color w:val="000000"/>
          <w:sz w:val="21"/>
        </w:rPr>
        <w:t>2、    荣誉项目：156 学分</w:t>
      </w:r>
    </w:p>
    <w:p>
      <w:pPr>
        <w:spacing w:after="0"/>
        <w:ind w:left="0"/>
        <w:jc w:val="left"/>
      </w:pPr>
      <w:r>
        <w:rPr>
          <w:rFonts w:ascii="SimSun" w:hAnsi="SimSun"/>
          <w:b w:val="false"/>
          <w:i w:val="false"/>
          <w:color w:val="000000"/>
          <w:sz w:val="21"/>
        </w:rPr>
        <w:t xml:space="preserve">    荣誉项目课程设置和修读要求请见本学院本科“荣誉项目”实施方案。下载地址：https://jwc.fudan.edu.cn/（复旦大学教务处）专业培养-常用文档。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3、跨学科发展路径：171学分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 本科学段主动退出和转段考核不合格退出本硕融通计划的学生，需按照本专业本科“2+X”培养方案修读课程，如达到学士学位要求者授予理学学士学位。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达到硕士学位要求者授予电子信息硕士学位：</w:t>
      </w:r>
      <w:r>
        <w:br/>
      </w:r>
      <w:r>
        <w:br/>
      </w:r>
      <w:r>
        <w:rPr>
          <w:rFonts w:ascii="SimSun" w:hAnsi="SimSun"/>
          <w:b w:val="false"/>
          <w:i w:val="false"/>
          <w:color w:val="000000"/>
          <w:sz w:val="21"/>
        </w:rPr>
        <w:t xml:space="preserve">（1）硕士学位申请人提出学位论文答辩申请时，必须已修满学校规定的学分；所有修读课程成绩合格，其中学位课程平均绩点原则上不低于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（2）硕士学位授予标准院系补充说明：</w:t>
      </w:r>
      <w:r>
        <w:br/>
      </w:r>
      <w:r>
        <w:br/>
      </w:r>
      <w:r>
        <w:rPr>
          <w:rFonts w:ascii="SimSun" w:hAnsi="SimSun"/>
          <w:b w:val="false"/>
          <w:i w:val="false"/>
          <w:color w:val="000000"/>
          <w:sz w:val="21"/>
        </w:rPr>
        <w:t>按照《复旦大学学位授予工作细则》的规定执行。专业学位硕士生申请学位没有发表学术论文的要求。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4216400" cy="2438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16400" cy="2438400"/>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硕融通计划学生在二年级下学期设置《课题组轮转》，要求学生在3个以上不同课题组开展无学分轮转，通过参加讨论班以及交流讨论等方式了解不同研究方向并考虑自身科研兴趣。学期结束后初步确定导师及课题组。</w:t>
      </w:r>
      <w:r>
        <w:br/>
      </w:r>
      <w:r>
        <w:br/>
      </w:r>
      <w:r>
        <w:rPr>
          <w:rFonts w:ascii="SimSun" w:hAnsi="SimSun"/>
          <w:b w:val="false"/>
          <w:i w:val="false"/>
          <w:color w:val="000000"/>
          <w:sz w:val="21"/>
        </w:rPr>
        <w:t>在三年级上学期设置《综合实践》课程，在指导教师组的带领下完成一个与本专业研究方向密切相关的专业能力综合实践。本硕融通项目邀请企业和行业导师参与同时突出强调系统及工程实践能力。学期结束后正式确定导师及课题组。</w:t>
      </w:r>
      <w:r>
        <w:br/>
      </w:r>
      <w:r>
        <w:br/>
      </w:r>
      <w:r>
        <w:rPr>
          <w:rFonts w:ascii="SimSun" w:hAnsi="SimSun"/>
          <w:b w:val="false"/>
          <w:i w:val="false"/>
          <w:color w:val="000000"/>
          <w:sz w:val="21"/>
        </w:rPr>
        <w:t>在三年级下学期设置《前沿探索》课程，在课题组导师指导下完成一个与本专业研究方向密切相关的科研课题。本硕融通项目突出强调系统及应用型研究，可邀请企业和行业导师参与指导，最终成果体现为学术论文、技术报告、工具系统、开源项目或科创竞赛项目等（可合作完成）。</w:t>
      </w:r>
      <w:r>
        <w:br/>
      </w:r>
      <w:r>
        <w:br/>
      </w:r>
      <w:r>
        <w:rPr>
          <w:rFonts w:ascii="SimSun" w:hAnsi="SimSun"/>
          <w:b w:val="false"/>
          <w:i w:val="false"/>
          <w:color w:val="000000"/>
          <w:sz w:val="21"/>
        </w:rPr>
        <w:t>同时，鼓励学生结合《综合实践》和《前沿探索》课程申请FDUROP项目，并参与导师课题组的科研工作。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（42学分,本科要求39学分）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（13学分,本科要求13学分）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（20学分,本科要求20学分）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（42学分,本科要求42学分）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也可修读《Machine Learning Systems》</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 34 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（1）专业进阶模块I（修满 19 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（2）专业进阶模块II（修满15学分）。如选择修读人工智能系统进阶模块课程，15学分需在该模块课程里进行修读。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（19学分,本科要求19学分）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分布式系统</w:t>
            </w:r>
            <w:r>
              <w:br/>
            </w:r>
            <w:r>
              <w:br/>
            </w:r>
            <w:r>
              <w:rPr>
                <w:rFonts w:ascii="SimSun" w:hAnsi="SimSun"/>
                <w:b w:val="false"/>
                <w:i w:val="false"/>
                <w:color w:val="000000"/>
                <w:sz w:val="21"/>
              </w:rPr>
              <w:t>Distributed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计算机安全原理与实践</w:t>
            </w:r>
            <w:r>
              <w:br/>
            </w:r>
            <w:r>
              <w:br/>
            </w:r>
            <w:r>
              <w:rPr>
                <w:rFonts w:ascii="SimSun" w:hAnsi="SimSun"/>
                <w:b w:val="false"/>
                <w:i w:val="false"/>
                <w:color w:val="000000"/>
                <w:sz w:val="21"/>
              </w:rPr>
              <w:t>Computer Security Principle and Practice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专业进阶模块II（修满15学分）。如选择修读人工智能系统进阶模块课程，15学分需在该模块课程里进行修读。
      </w:t>
      </w:r>
    </w:p>
    <w:tbl>
      <w:tblPr>
        <w:tblW w:w="0" w:type="auto"/>
        <w:tblCellSpacing w:w="0" w:type="auto"/>
        <w:tblBorders>
          <w:top w:val="none"/>
          <w:left w:val="none"/>
          <w:bottom w:val="none"/>
          <w:right w:val="none"/>
          <w:insideH w:val="none"/>
          <w:insideV w:val="none"/>
        </w:tblBorders>
      </w:tblPr>
      <w:tblGrid>
        <w:gridCol w:w="2958"/>
        <w:gridCol w:w="739"/>
        <w:gridCol w:w="739"/>
        <w:gridCol w:w="1035"/>
        <w:gridCol w:w="1701"/>
        <w:gridCol w:w="739"/>
        <w:gridCol w:w="739"/>
        <w:gridCol w:w="739"/>
        <w:gridCol w:w="1728"/>
        <w:gridCol w:w="1036"/>
        <w:gridCol w:w="1481"/>
      </w:tblGrid>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可以替代《高等数学A(上)》</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可以替代《高等数学A(下)》</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网络存储导论</w:t>
            </w:r>
            <w:r>
              <w:br/>
            </w:r>
            <w:r>
              <w:br/>
            </w:r>
            <w:r>
              <w:rPr>
                <w:rFonts w:ascii="SimSun" w:hAnsi="SimSun"/>
                <w:b w:val="false"/>
                <w:i w:val="false"/>
                <w:color w:val="000000"/>
                <w:sz w:val="21"/>
              </w:rPr>
              <w:t>Introduction of Network Storage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编程方法与技术</w:t>
            </w:r>
            <w:r>
              <w:br/>
            </w:r>
            <w:r>
              <w:br/>
            </w:r>
            <w:r>
              <w:rPr>
                <w:rFonts w:ascii="SimSun" w:hAnsi="SimSun"/>
                <w:b w:val="false"/>
                <w:i w:val="false"/>
                <w:color w:val="000000"/>
                <w:sz w:val="21"/>
              </w:rPr>
              <w:t>Computer Programming: Methods and Techniques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物联网与边缘计算</w:t>
            </w:r>
            <w:r>
              <w:br/>
            </w:r>
            <w:r>
              <w:br/>
            </w:r>
            <w:r>
              <w:rPr>
                <w:rFonts w:ascii="SimSun" w:hAnsi="SimSun"/>
                <w:b w:val="false"/>
                <w:i w:val="false"/>
                <w:color w:val="000000"/>
                <w:sz w:val="21"/>
              </w:rPr>
              <w:t>Internet of Things and Edge Computing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类脑智能与人工通用智能</w:t>
            </w:r>
            <w:r>
              <w:br/>
            </w:r>
            <w:r>
              <w:br/>
            </w:r>
            <w:r>
              <w:rPr>
                <w:rFonts w:ascii="SimSun" w:hAnsi="SimSun"/>
                <w:b w:val="false"/>
                <w:i w:val="false"/>
                <w:color w:val="000000"/>
                <w:sz w:val="21"/>
              </w:rPr>
              <w:t>Brain-inspired Intelligence and Artificial General Intelligence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计算机网络进阶</w:t>
            </w:r>
            <w:r>
              <w:br/>
            </w:r>
            <w:r>
              <w:br/>
            </w:r>
            <w:r>
              <w:rPr>
                <w:rFonts w:ascii="SimSun" w:hAnsi="SimSun"/>
                <w:b w:val="false"/>
                <w:i w:val="false"/>
                <w:color w:val="000000"/>
                <w:sz w:val="21"/>
              </w:rPr>
              <w:t>Advanced Topics in Computer Networks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w:t>
            </w:r>
            <w:r>
              <w:br/>
            </w:r>
            <w:r>
              <w:br/>
            </w:r>
            <w:r>
              <w:rPr>
                <w:rFonts w:ascii="SimSun" w:hAnsi="SimSun"/>
                <w:b w:val="false"/>
                <w:i w:val="false"/>
                <w:color w:val="000000"/>
                <w:sz w:val="21"/>
              </w:rPr>
              <w:t>Information Security</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Fundamentals of Information Theory</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w:t>
            </w:r>
            <w:r>
              <w:br/>
            </w:r>
            <w:r>
              <w:br/>
            </w:r>
            <w:r>
              <w:rPr>
                <w:rFonts w:ascii="SimSun" w:hAnsi="SimSun"/>
                <w:b w:val="false"/>
                <w:i w:val="false"/>
                <w:color w:val="000000"/>
                <w:sz w:val="21"/>
              </w:rPr>
              <w:t>Mathematical Modeling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CS30039</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移动互联网</w:t>
            </w:r>
            <w:r>
              <w:br/>
            </w:r>
            <w:r>
              <w:br/>
            </w:r>
            <w:r>
              <w:rPr>
                <w:rFonts w:ascii="SimSun" w:hAnsi="SimSun"/>
                <w:b w:val="false"/>
                <w:i w:val="false"/>
                <w:color w:val="000000"/>
                <w:sz w:val="21"/>
              </w:rPr>
              <w:t>Mobile Internet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w:t>
            </w:r>
            <w:r>
              <w:br/>
            </w:r>
            <w:r>
              <w:br/>
            </w:r>
            <w:r>
              <w:rPr>
                <w:rFonts w:ascii="SimSun" w:hAnsi="SimSun"/>
                <w:b w:val="false"/>
                <w:i w:val="false"/>
                <w:color w:val="000000"/>
                <w:sz w:val="21"/>
              </w:rPr>
              <w:t>Data Mining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信息系统安全</w:t>
            </w:r>
            <w:r>
              <w:br/>
            </w:r>
            <w:r>
              <w:br/>
            </w:r>
            <w:r>
              <w:rPr>
                <w:rFonts w:ascii="SimSun" w:hAnsi="SimSun"/>
                <w:b w:val="false"/>
                <w:i w:val="false"/>
                <w:color w:val="000000"/>
                <w:sz w:val="21"/>
              </w:rPr>
              <w:t>Information Systems Security</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CSEC30015</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新型网络体系结构</w:t>
            </w:r>
            <w:r>
              <w:br/>
            </w:r>
            <w:r>
              <w:br/>
            </w:r>
            <w:r>
              <w:rPr>
                <w:rFonts w:ascii="SimSun" w:hAnsi="SimSun"/>
                <w:b w:val="false"/>
                <w:i w:val="false"/>
                <w:color w:val="000000"/>
                <w:sz w:val="21"/>
              </w:rPr>
              <w:t>Future Network Architecture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领域数据科学</w:t>
            </w:r>
            <w:r>
              <w:br/>
            </w:r>
            <w:r>
              <w:br/>
            </w:r>
            <w:r>
              <w:rPr>
                <w:rFonts w:ascii="SimSun" w:hAnsi="SimSun"/>
                <w:b w:val="false"/>
                <w:i w:val="false"/>
                <w:color w:val="000000"/>
                <w:sz w:val="21"/>
              </w:rPr>
              <w:t>Domain-Specific Data Science</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大数据技术</w:t>
            </w:r>
            <w:r>
              <w:br/>
            </w:r>
            <w:r>
              <w:br/>
            </w:r>
            <w:r>
              <w:rPr>
                <w:rFonts w:ascii="SimSun" w:hAnsi="SimSun"/>
                <w:b w:val="false"/>
                <w:i w:val="false"/>
                <w:color w:val="000000"/>
                <w:sz w:val="21"/>
              </w:rPr>
              <w:t>Technique of Big Data</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程序设计语言原理</w:t>
            </w:r>
            <w:r>
              <w:br/>
            </w:r>
            <w:r>
              <w:br/>
            </w:r>
            <w:r>
              <w:rPr>
                <w:rFonts w:ascii="SimSun" w:hAnsi="SimSun"/>
                <w:b w:val="false"/>
                <w:i w:val="false"/>
                <w:color w:val="000000"/>
                <w:sz w:val="21"/>
              </w:rPr>
              <w:t>Principles of Programming Languages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w:t>
            </w:r>
            <w:r>
              <w:br/>
            </w:r>
            <w:r>
              <w:br/>
            </w:r>
            <w:r>
              <w:rPr>
                <w:rFonts w:ascii="SimSun" w:hAnsi="SimSun"/>
                <w:b w:val="false"/>
                <w:i w:val="false"/>
                <w:color w:val="000000"/>
                <w:sz w:val="21"/>
              </w:rPr>
              <w:t>Digital Image Processing</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w:t>
            </w:r>
            <w:r>
              <w:br/>
            </w:r>
            <w:r>
              <w:br/>
            </w:r>
            <w:r>
              <w:rPr>
                <w:rFonts w:ascii="SimSun" w:hAnsi="SimSun"/>
                <w:b w:val="false"/>
                <w:i w:val="false"/>
                <w:color w:val="000000"/>
                <w:sz w:val="21"/>
              </w:rPr>
              <w:t>Computer Graphics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并发理论</w:t>
            </w:r>
            <w:r>
              <w:br/>
            </w:r>
            <w:r>
              <w:br/>
            </w:r>
            <w:r>
              <w:rPr>
                <w:rFonts w:ascii="SimSun" w:hAnsi="SimSun"/>
                <w:b w:val="false"/>
                <w:i w:val="false"/>
                <w:color w:val="000000"/>
                <w:sz w:val="21"/>
              </w:rPr>
              <w:t>Concurrency Models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CS40017</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算法竞赛导论</w:t>
            </w:r>
            <w:r>
              <w:br/>
            </w:r>
            <w:r>
              <w:br/>
            </w:r>
            <w:r>
              <w:rPr>
                <w:rFonts w:ascii="SimSun" w:hAnsi="SimSun"/>
                <w:b w:val="false"/>
                <w:i w:val="false"/>
                <w:color w:val="000000"/>
                <w:sz w:val="21"/>
              </w:rPr>
              <w:t>Introduction to Algorithm Contest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仅限ACM学生选课</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信息物理融合系统</w:t>
            </w:r>
            <w:r>
              <w:br/>
            </w:r>
            <w:r>
              <w:br/>
            </w:r>
            <w:r>
              <w:rPr>
                <w:rFonts w:ascii="SimSun" w:hAnsi="SimSun"/>
                <w:b w:val="false"/>
                <w:i w:val="false"/>
                <w:color w:val="000000"/>
                <w:sz w:val="21"/>
              </w:rPr>
              <w:t>Cyber-physical Systems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CS40026</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算法竞赛进阶</w:t>
            </w:r>
            <w:r>
              <w:br/>
            </w:r>
            <w:r>
              <w:br/>
            </w:r>
            <w:r>
              <w:rPr>
                <w:rFonts w:ascii="SimSun" w:hAnsi="SimSun"/>
                <w:b w:val="false"/>
                <w:i w:val="false"/>
                <w:color w:val="000000"/>
                <w:sz w:val="21"/>
              </w:rPr>
              <w:t>Advanced Algorithm Contest</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CS40018</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仅限ACM学生选课</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并行计算与性能优化</w:t>
            </w:r>
            <w:r>
              <w:br/>
            </w:r>
            <w:r>
              <w:br/>
            </w:r>
            <w:r>
              <w:rPr>
                <w:rFonts w:ascii="SimSun" w:hAnsi="SimSun"/>
                <w:b w:val="false"/>
                <w:i w:val="false"/>
                <w:color w:val="000000"/>
                <w:sz w:val="21"/>
              </w:rPr>
              <w:t>Parallel Computing and Performance Engineerings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CS40033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智能人机交互</w:t>
            </w:r>
            <w:r>
              <w:br/>
            </w:r>
            <w:r>
              <w:br/>
            </w:r>
            <w:r>
              <w:rPr>
                <w:rFonts w:ascii="SimSun" w:hAnsi="SimSun"/>
                <w:b w:val="false"/>
                <w:i w:val="false"/>
                <w:color w:val="000000"/>
                <w:sz w:val="21"/>
              </w:rPr>
              <w:t>Intelligent Human-Computer Interaction</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Robotics Introduction</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CS70012</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r>
        <w:trPr>
          <w:trHeight w:val="45" w:hRule="atLeast"/>
        </w:trPr>
        <w:tc>
          <w:tcPr>
            <w:tcW w:w="29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7,8,9,10,11,12</w:t>
            </w:r>
          </w:p>
        </w:tc>
        <w:tc>
          <w:tcPr>
            <w:tcW w:w="10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人工智能系统进阶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（0学分,本科要求3学分）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修满49学分。要求在本专业专业进阶模块I修读19学分、专业进阶模块II修读15学分、1个非本专业独立开设的学程15学分。学程课程具体要求见教务处网站学程实施方案。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综合实践</w:t>
            </w:r>
            <w:r>
              <w:br/>
            </w:r>
            <w:r>
              <w:br/>
            </w:r>
            <w:r>
              <w:rPr>
                <w:rFonts w:ascii="SimSun" w:hAnsi="SimSun"/>
                <w:b w:val="false"/>
                <w:i w:val="false"/>
                <w:color w:val="000000"/>
                <w:sz w:val="21"/>
              </w:rPr>
              <w:t>Integrated Practicum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前沿探索</w:t>
            </w:r>
            <w:r>
              <w:br/>
            </w:r>
            <w:r>
              <w:br/>
            </w:r>
            <w:r>
              <w:rPr>
                <w:rFonts w:ascii="SimSun" w:hAnsi="SimSun"/>
                <w:b w:val="false"/>
                <w:i w:val="false"/>
                <w:color w:val="000000"/>
                <w:sz w:val="21"/>
              </w:rPr>
              <w:t>Frontier Exploration Practicum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要求掌握本领域基本理论与方法以及前沿动态与最新技术成果，积极参加学术活动（形式包括参加学术报告或研讨、主讲学术或科普报告、参加学术会议等）。原则上要求各方向各年级每周组织一次讨论班，每个学生每学期报告2次以上，同时参加讨论班的总次数应在60次以上。要求每个学生每年参加3次以上前沿学术讲座。参与校企联合攻关项目、产业技术调研、科技成果转化实践等产教融合活动，鼓励学生结合国家重大战略需求及行业关键技术问题开展研究。鼓励有条件的方向在本领域研究基础上与学校文社理工医等其他各专业开展学科交叉研究。由导师和相关专家根据学术活动参加次数、报告质量以及相关学术研究中的具体贡献进行评定，评定等级分为合格(P)、不合格（NP）。</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过专业实践培养学生的产业和行业发展洞察力以及工程实践能力，一般应当在第4到第6学年完成，形式包括企业实习实践、学科交叉研究实践、开源项目实践、系统研发实践、创新创业实践等。学院将与国内外知名科技企业建立长期合作关系，建立实践培养基地或形成联合培养计划，同时聘请行业导师参与指导。鼓励学生在导师指导下，基于所属专业研究内容与学校其他院系开展学科交叉研究。同时，鼓励学生了解行业前沿技术和实际应用场景，结合专业知识及研究成果参与创新创业及成果转化。</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可用修读1门全英语的研究生课程替代</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