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经济学院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2025经济学（数理经济方向）+人工智能双学士学位项目本科培养方案（普通本科生）</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经济学院历史悠久，师资雄厚，学科体系完备，是享誉海内外的经济学研究重镇，理论经济学和应用经济学两个一级学科分别是教育部A+学科和国家“双一流”学科。数理经济拔尖班创立于2005年，汇聚了学院最优秀的师资和学生，培养了一大批在国内外顶级高校和机构任职的精英人才，被誉为复旦大学的“经济学家摇篮”。</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本项目依托教育部基础学科拔尖学生培养计划2.0经济学拔尖学生培养基地，按照“宽口径、厚基础、重能力、求创新”的人才培养要求，以“2+X+Y”为人才培养途径（2是通识和专业教育，X是多元发展路径，Y为融合创新能力），培养学生具备敏锐的问题意识、扎实的经济学理论功底、前沿的数理和量化分析能力，为在国内外顶尖高校攻读相关博士学位、成为世界一流的经济学家打下坚实的基础。</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047067" cy="1557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047067" cy="15578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740"/>
        <w:gridCol w:w="1780"/>
        <w:gridCol w:w="440"/>
        <w:gridCol w:w="440"/>
        <w:gridCol w:w="1700"/>
        <w:gridCol w:w="1160"/>
        <w:gridCol w:w="556"/>
        <w:gridCol w:w="556"/>
        <w:gridCol w:w="2"/>
        <w:gridCol w:w="1220"/>
        <w:gridCol w:w="3040"/>
      </w:tblGrid>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四、 修业要求</w:t>
            </w:r>
          </w:p>
        </w:tc>
        <w:tc>
          <w:tcPr>
            <w:tcW w:w="1220" w:type="dxa"/>
            <w:tcBorders>
              <w:bottom w:val="single" w:color="000000" w:sz="8"/>
              <w:right w:val="single" w:color="000000" w:sz="8"/>
            </w:tcBorders>
            <w:tcMar>
              <w:top w:w="15" w:type="dxa"/>
              <w:left w:w="15" w:type="dxa"/>
              <w:bottom w:w="15" w:type="dxa"/>
              <w:right w:w="15" w:type="dxa"/>
            </w:tcMar>
            <w:vAlign w:val="center"/>
          </w:tcPr>
          <w:p/>
        </w:tc>
        <w:tc>
          <w:tcPr>
            <w:tcW w:w="3040" w:type="dxa"/>
            <w:tcBorders>
              <w:bottom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gridSpan w:val="9"/>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1.修业年限：4年（类型：√本科、□本硕、□本博）</w:t>
            </w:r>
          </w:p>
        </w:tc>
        <w:tc>
          <w:tcPr>
            <w:tcW w:w="1220" w:type="dxa"/>
            <w:tcBorders>
              <w:bottom w:val="single" w:color="000000" w:sz="8"/>
              <w:right w:val="single" w:color="000000" w:sz="8"/>
            </w:tcBorders>
            <w:tcMar>
              <w:top w:w="15" w:type="dxa"/>
              <w:left w:w="15" w:type="dxa"/>
              <w:bottom w:w="15" w:type="dxa"/>
              <w:right w:w="15" w:type="dxa"/>
            </w:tcMar>
            <w:vAlign w:val="center"/>
          </w:tcPr>
          <w:p/>
        </w:tc>
        <w:tc>
          <w:tcPr>
            <w:tcW w:w="3040" w:type="dxa"/>
            <w:tcBorders>
              <w:bottom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5. 学位授予说明：</w:t>
            </w:r>
          </w:p>
        </w:tc>
      </w:tr>
      <w:tr>
        <w:trPr>
          <w:trHeight w:val="45" w:hRule="atLeast"/>
        </w:trPr>
        <w:tc>
          <w:tcPr>
            <w:tcW w:w="27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w:t>
            </w:r>
          </w:p>
        </w:tc>
        <w:tc>
          <w:tcPr>
            <w:tcW w:w="17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时间</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7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16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27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本科生学段</w:t>
            </w:r>
          </w:p>
        </w:tc>
        <w:tc>
          <w:tcPr>
            <w:tcW w:w="17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4年级</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经济学学士</w:t>
            </w:r>
          </w:p>
        </w:tc>
        <w:tc>
          <w:tcPr>
            <w:tcW w:w="170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16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经济学（数理经济方向）</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R按照不少于学分数 176</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R必修课组须通过</w:t>
            </w: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通识教育课程39学分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专业培养课程110学分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专业进阶模块22学分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gridSpan w:val="3"/>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融合创新能力培养5学分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302000" cy="1303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302000" cy="1303867"/>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139"/>
        <w:gridCol w:w="2139"/>
        <w:gridCol w:w="2139"/>
        <w:gridCol w:w="2139"/>
        <w:gridCol w:w="2139"/>
        <w:gridCol w:w="2139"/>
        <w:gridCol w:w="2140"/>
        <w:gridCol w:w="2140"/>
        <w:gridCol w:w="2140"/>
        <w:gridCol w:w="2140"/>
        <w:gridCol w:w="2146"/>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专业进阶路径：176学分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176学分（含实践学分不低于32学分；含美育学分不少于2学分，其中至少在“美学和艺术史论类”或“艺术鉴赏和评论类”课程中修读1学分，并至少参与一项艺术实践活动；劳动教育不少于32学时，并满足劳动周教育要求），包括通识教育课程39学分、专业培养课程110学分、专业进阶模块修读22学分、融合创新能力模块5学分。</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本科荣誉项目：176学分</w:t>
            </w:r>
          </w:p>
        </w:tc>
      </w:tr>
      <w:tr>
        <w:trPr>
          <w:trHeight w:val="339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在专业进阶路径基础上，修读荣誉课程不少于5门课。荣誉项目课程设置和修读要求请见经济学院“本科荣誉项目”实施方案。下载地址：https://jwc.fudan.edu.cn/（复旦大学教务处）专业培养-常用文档。鼓励学生选择荣誉项目。 </w:t>
            </w:r>
          </w:p>
        </w:tc>
      </w:tr>
    </w:tbl>
    <w:p>
      <w:pPr>
        <w:spacing w:after="0"/>
        <w:ind w:left="0"/>
        <w:jc w:val="left"/>
      </w:pPr>
      <w:r>
        <w:rPr>
          <w:rFonts w:ascii="SimSun" w:hAnsi="SimSun"/>
          <w:b/>
          <w:i w:val="false"/>
          <w:color w:val="000000"/>
          <w:sz w:val="24"/>
        </w:rPr>
        <w:t xml:space="preserve">
       六.    学位要求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259"/>
        <w:gridCol w:w="2259"/>
        <w:gridCol w:w="2259"/>
        <w:gridCol w:w="2259"/>
        <w:gridCol w:w="2259"/>
        <w:gridCol w:w="2259"/>
        <w:gridCol w:w="2260"/>
        <w:gridCol w:w="2260"/>
        <w:gridCol w:w="2260"/>
        <w:gridCol w:w="2260"/>
        <w:gridCol w:w="2266"/>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（一）本科学位</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1. 4年级结束时，如达到学士学位要求者理授予学学士学位。  </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（1）修满规定的学分，达到本科教学培养方案规定的各项要求。</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（3）在此基础上，达到经济学院“本科荣誉证书”获得条件的授予“本科荣誉证书”，具体要求请见经济学院“本科荣誉项目”实施方案。</w:t>
            </w:r>
          </w:p>
        </w:tc>
      </w:tr>
      <w:tr>
        <w:trPr>
          <w:trHeight w:val="327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经济学（数理经济方向）+AI学士双学位项目，如达到经济学（数理经济方向）-人工智能双学士学位要求者授予经济学-工学双学士学位。</w:t>
            </w:r>
          </w:p>
        </w:tc>
      </w:tr>
    </w:tbl>
    <w:p>
      <w:pPr>
        <w:spacing w:after="0"/>
        <w:ind w:left="0"/>
        <w:jc w:val="left"/>
      </w:pPr>
      <w:r>
        <w:rPr>
          <w:rFonts w:ascii="SimSun" w:hAnsi="SimSun"/>
          <w:b/>
          <w:i w:val="false"/>
          <w:color w:val="000000"/>
          <w:sz w:val="24"/>
        </w:rPr>
        <w:t xml:space="preserve">
       七.    课程体系与科研训练体系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319"/>
        <w:gridCol w:w="2319"/>
        <w:gridCol w:w="2320"/>
        <w:gridCol w:w="2320"/>
        <w:gridCol w:w="2320"/>
        <w:gridCol w:w="2320"/>
        <w:gridCol w:w="2320"/>
        <w:gridCol w:w="2320"/>
        <w:gridCol w:w="2320"/>
        <w:gridCol w:w="2320"/>
        <w:gridCol w:w="2321"/>
      </w:tblGrid>
      <w:tr>
        <w:trPr>
          <w:trHeight w:val="43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1.课程体系</w:t>
            </w:r>
          </w:p>
        </w:tc>
      </w:tr>
      <w:tr>
        <w:trPr>
          <w:trHeight w:val="78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以8门高难度、大学分的荣誉课程，6门高难度为基础建立了本研融通的专业核心课程体系，以学科领域为横、课程内容梯度为纵建立了难度逐级提升的本研融通的专业进阶课程体系。为鼓励学生挑战自我，数理基础和方法模块设立多门AI等交叉融合必修课程，夯实数理基础，提升分析能力。</w:t>
            </w:r>
          </w:p>
        </w:tc>
      </w:tr>
      <w:tr>
        <w:trPr>
          <w:trHeight w:val="43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2.科研训练体系</w:t>
            </w:r>
          </w:p>
        </w:tc>
      </w:tr>
      <w:tr>
        <w:trPr>
          <w:trHeight w:val="3660"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科阶段，1、2年级设立走进经济学系列讲座和中国经济学系列讲座，引导学生认识经济学、喜欢经济学；激发学生对经济学科的兴趣，培养实践能力。3、4年级通过完成科研实践、创新实践、学术实践和社会实践等，激发创新志趣，引导学生洞察现实，参加导师（组）讨论班，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tc>
      </w:tr>
    </w:tbl>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p>
      <w:pPr>
        <w:spacing w:after="0"/>
        <w:ind w:left="0"/>
        <w:jc w:val="left"/>
      </w:pPr>
    </w:p>
    <w:p>
      <w:pPr>
        <w:spacing w:after="0"/>
        <w:ind w:left="0"/>
        <w:jc w:val="left"/>
      </w:pP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七大模块课程6学分（七大模块6学分中每模块最多修读1门课，回避第四模块“社会研究与当代中国”，第五模块“科学探索与技术创新模块课程”，即修读第四模块课程和第五模块课程将不计入七大模块学分中），课程设置详见核心课程七大模块。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（110学分）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（29学分,本科要求29学分）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要求修读经济学类基础课程28学分。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数学类基础课程</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数学分析B</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高等数学A</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学科基础课程</w:t>
      </w:r>
      <w:r>
        <w:rPr>
          <w:rFonts w:ascii="SimSun" w:hAnsi="SimSun"/>
          <w:b/>
          <w:i w:val="false"/>
          <w:color w:val="000000"/>
          <w:sz w:val="21"/>
        </w:rPr>
        <w:t>（19学分,本科要求19学分）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政治经济学</w:t>
            </w:r>
            <w:r>
              <w:br/>
            </w:r>
            <w:r>
              <w:br/>
            </w:r>
            <w:r>
              <w:rPr>
                <w:rFonts w:ascii="SimSun" w:hAnsi="SimSun"/>
                <w:b w:val="false"/>
                <w:i w:val="false"/>
                <w:color w:val="000000"/>
                <w:sz w:val="21"/>
              </w:rPr>
              <w:t>Political 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（81学分）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专业核心教育课程</w:t>
      </w:r>
      <w:r>
        <w:rPr>
          <w:rFonts w:ascii="SimSun" w:hAnsi="SimSun"/>
          <w:b/>
          <w:i w:val="false"/>
          <w:color w:val="000000"/>
          <w:sz w:val="21"/>
        </w:rPr>
        <w:t>（26学分,本科要求26学分）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ECON30016</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公司金融(H)</w:t>
            </w:r>
            <w:r>
              <w:br/>
            </w:r>
            <w:r>
              <w:br/>
            </w:r>
            <w:r>
              <w:rPr>
                <w:rFonts w:ascii="SimSun" w:hAnsi="SimSun"/>
                <w:b w:val="false"/>
                <w:i w:val="false"/>
                <w:color w:val="000000"/>
                <w:sz w:val="21"/>
              </w:rPr>
              <w:t>Corporate Finance(H)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ECON30122h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经济史</w:t>
            </w:r>
            <w:r>
              <w:br/>
            </w:r>
            <w:r>
              <w:br/>
            </w:r>
            <w:r>
              <w:rPr>
                <w:rFonts w:ascii="SimSun" w:hAnsi="SimSun"/>
                <w:b w:val="false"/>
                <w:i w:val="false"/>
                <w:color w:val="000000"/>
                <w:sz w:val="21"/>
              </w:rPr>
              <w:t>Economic History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计量经济学（H）</w:t>
            </w:r>
            <w:r>
              <w:br/>
            </w:r>
            <w:r>
              <w:br/>
            </w:r>
            <w:r>
              <w:rPr>
                <w:rFonts w:ascii="SimSun" w:hAnsi="SimSun"/>
                <w:b w:val="false"/>
                <w:i w:val="false"/>
                <w:color w:val="000000"/>
                <w:sz w:val="21"/>
              </w:rPr>
              <w:t>Econometrics (H)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ECON30121h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财政学</w:t>
            </w:r>
            <w:r>
              <w:br/>
            </w:r>
            <w:r>
              <w:br/>
            </w:r>
            <w:r>
              <w:rPr>
                <w:rFonts w:ascii="SimSun" w:hAnsi="SimSun"/>
                <w:b w:val="false"/>
                <w:i w:val="false"/>
                <w:color w:val="000000"/>
                <w:sz w:val="21"/>
              </w:rPr>
              <w:t>Public Finance</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国际经济学</w:t>
            </w:r>
            <w:r>
              <w:br/>
            </w:r>
            <w:r>
              <w:br/>
            </w:r>
            <w:r>
              <w:rPr>
                <w:rFonts w:ascii="SimSun" w:hAnsi="SimSun"/>
                <w:b w:val="false"/>
                <w:i w:val="false"/>
                <w:color w:val="000000"/>
                <w:sz w:val="21"/>
              </w:rPr>
              <w:t>International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ECON30029</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当代中国经济</w:t>
            </w:r>
            <w:r>
              <w:br/>
            </w:r>
            <w:r>
              <w:br/>
            </w:r>
            <w:r>
              <w:rPr>
                <w:rFonts w:ascii="SimSun" w:hAnsi="SimSun"/>
                <w:b w:val="false"/>
                <w:i w:val="false"/>
                <w:color w:val="000000"/>
                <w:sz w:val="21"/>
              </w:rPr>
              <w:t>Contemporary Chinese Economy</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w:t>
            </w:r>
            <w:r>
              <w:br/>
            </w:r>
            <w:r>
              <w:br/>
            </w:r>
            <w:r>
              <w:rPr>
                <w:rFonts w:ascii="SimSun" w:hAnsi="SimSun"/>
                <w:b w:val="false"/>
                <w:i w:val="false"/>
                <w:color w:val="000000"/>
                <w:sz w:val="21"/>
              </w:rPr>
              <w:t>Industrial Economics</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ECON30025</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博弈论(H)</w:t>
            </w:r>
            <w:r>
              <w:br/>
            </w:r>
            <w:r>
              <w:br/>
            </w:r>
            <w:r>
              <w:rPr>
                <w:rFonts w:ascii="SimSun" w:hAnsi="SimSun"/>
                <w:b w:val="false"/>
                <w:i w:val="false"/>
                <w:color w:val="000000"/>
                <w:sz w:val="21"/>
              </w:rPr>
              <w:t>Game Theory(H)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ECON30054h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截面与面板数据分析(H)</w:t>
            </w:r>
            <w:r>
              <w:br/>
            </w:r>
            <w:r>
              <w:br/>
            </w:r>
            <w:r>
              <w:rPr>
                <w:rFonts w:ascii="SimSun" w:hAnsi="SimSun"/>
                <w:b w:val="false"/>
                <w:i w:val="false"/>
                <w:color w:val="000000"/>
                <w:sz w:val="21"/>
              </w:rPr>
              <w:t>Econometric Analysis of Cross Section and Panel Data(H)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ECON40012h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微分方程</w:t>
            </w:r>
            <w:r>
              <w:br/>
            </w:r>
            <w:r>
              <w:br/>
            </w:r>
            <w:r>
              <w:rPr>
                <w:rFonts w:ascii="SimSun" w:hAnsi="SimSun"/>
                <w:b w:val="false"/>
                <w:i w:val="false"/>
                <w:color w:val="000000"/>
                <w:sz w:val="21"/>
              </w:rPr>
              <w:t>Differential Equations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ECON30067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经济学中的动态和优化方法</w:t>
            </w:r>
            <w:r>
              <w:br/>
            </w:r>
            <w:r>
              <w:br/>
            </w:r>
            <w:r>
              <w:rPr>
                <w:rFonts w:ascii="SimSun" w:hAnsi="SimSun"/>
                <w:b w:val="false"/>
                <w:i w:val="false"/>
                <w:color w:val="000000"/>
                <w:sz w:val="21"/>
              </w:rPr>
              <w:t>Dynamic Optimization and Dynamic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ECON60002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统计（机器）学习概论</w:t>
            </w:r>
            <w:r>
              <w:br/>
            </w:r>
            <w:r>
              <w:br/>
            </w:r>
            <w:r>
              <w:rPr>
                <w:rFonts w:ascii="SimSun" w:hAnsi="SimSun"/>
                <w:b w:val="false"/>
                <w:i w:val="false"/>
                <w:color w:val="000000"/>
                <w:sz w:val="21"/>
              </w:rPr>
              <w:t>Introduction to Statistical Learning and Machine Learning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STAT30015</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人工智能与应用经济学</w:t>
            </w:r>
            <w:r>
              <w:br/>
            </w:r>
            <w:r>
              <w:br/>
            </w:r>
            <w:r>
              <w:rPr>
                <w:rFonts w:ascii="SimSun" w:hAnsi="SimSun"/>
                <w:b w:val="false"/>
                <w:i w:val="false"/>
                <w:color w:val="000000"/>
                <w:sz w:val="21"/>
              </w:rPr>
              <w:t>AI in Economics</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AIS410005</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专业核心教育课程</w:t>
      </w:r>
      <w:r>
        <w:rPr>
          <w:rFonts w:ascii="SimSun" w:hAnsi="SimSun"/>
          <w:b/>
          <w:i w:val="false"/>
          <w:color w:val="000000"/>
          <w:sz w:val="21"/>
        </w:rPr>
        <w:t>（35学分）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多元发展包括专业进阶（含荣誉项目），要求在院系专业导师指导下选择其中一条发展路径，按路径要求修读课程。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路径学生需要完成172学分（含实践学分不低于32学分；含美育学分不少于2学分，其中至少在“美学和艺术史论类”或“艺术鉴赏和评论类”课程中修读1学分，并至少参与一项艺术实践活动；劳动教育不少于32学时，并满足劳动周教育要求），包括通识教育课程37学分、专业培养课程106学分、专业进阶模块修读22学分、融合创新能力模块7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专业进阶I组</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方法模块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时间序列分析的方法</w:t>
            </w:r>
            <w:r>
              <w:br/>
            </w:r>
            <w:r>
              <w:br/>
            </w:r>
            <w:r>
              <w:rPr>
                <w:rFonts w:ascii="SimSun" w:hAnsi="SimSun"/>
                <w:b w:val="false"/>
                <w:i w:val="false"/>
                <w:color w:val="000000"/>
                <w:sz w:val="21"/>
              </w:rPr>
              <w:t>Approach to Time Series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随机过程</w:t>
            </w:r>
            <w:r>
              <w:br/>
            </w:r>
            <w:r>
              <w:br/>
            </w:r>
            <w:r>
              <w:rPr>
                <w:rFonts w:ascii="SimSun" w:hAnsi="SimSun"/>
                <w:b w:val="false"/>
                <w:i w:val="false"/>
                <w:color w:val="000000"/>
                <w:sz w:val="21"/>
              </w:rPr>
              <w:t>Stochastic Processes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数量分析软件应用</w:t>
            </w:r>
            <w:r>
              <w:br/>
            </w:r>
            <w:r>
              <w:br/>
            </w:r>
            <w:r>
              <w:rPr>
                <w:rFonts w:ascii="SimSun" w:hAnsi="SimSun"/>
                <w:b w:val="false"/>
                <w:i w:val="false"/>
                <w:color w:val="000000"/>
                <w:sz w:val="21"/>
              </w:rPr>
              <w:t>Application of Statistical and Econometric Software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海外学者专题</w:t>
            </w:r>
            <w:r>
              <w:br/>
            </w:r>
            <w:r>
              <w:br/>
            </w:r>
            <w:r>
              <w:rPr>
                <w:rFonts w:ascii="SimSun" w:hAnsi="SimSun"/>
                <w:b w:val="false"/>
                <w:i w:val="false"/>
                <w:color w:val="000000"/>
                <w:sz w:val="21"/>
              </w:rPr>
              <w:t>Overseas Lecturers' Short Courses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海外学者专题III</w:t>
            </w:r>
            <w:r>
              <w:br/>
            </w:r>
            <w:r>
              <w:br/>
            </w:r>
            <w:r>
              <w:rPr>
                <w:rFonts w:ascii="SimSun" w:hAnsi="SimSun"/>
                <w:b w:val="false"/>
                <w:i w:val="false"/>
                <w:color w:val="000000"/>
                <w:sz w:val="21"/>
              </w:rPr>
              <w:t>Overseas Lecturers’ Short Courses III</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ECON50005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理论模块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发展经济学(H)</w:t>
            </w:r>
            <w:r>
              <w:br/>
            </w:r>
            <w:r>
              <w:br/>
            </w:r>
            <w:r>
              <w:rPr>
                <w:rFonts w:ascii="SimSun" w:hAnsi="SimSun"/>
                <w:b w:val="false"/>
                <w:i w:val="false"/>
                <w:color w:val="000000"/>
                <w:sz w:val="21"/>
              </w:rPr>
              <w:t>Development Economics(H)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ECON30026h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信息经济学</w:t>
            </w:r>
            <w:r>
              <w:br/>
            </w:r>
            <w:r>
              <w:br/>
            </w:r>
            <w:r>
              <w:rPr>
                <w:rFonts w:ascii="SimSun" w:hAnsi="SimSun"/>
                <w:b w:val="false"/>
                <w:i w:val="false"/>
                <w:color w:val="000000"/>
                <w:sz w:val="21"/>
              </w:rPr>
              <w:t>Information Economics</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经济学前沿专题(H)</w:t>
            </w:r>
            <w:r>
              <w:br/>
            </w:r>
            <w:r>
              <w:br/>
            </w:r>
            <w:r>
              <w:rPr>
                <w:rFonts w:ascii="SimSun" w:hAnsi="SimSun"/>
                <w:b w:val="false"/>
                <w:i w:val="false"/>
                <w:color w:val="000000"/>
                <w:sz w:val="21"/>
              </w:rPr>
              <w:t>Advanced Topics in Economics(H)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ECON40032h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数字经济概论</w:t>
            </w:r>
            <w:r>
              <w:br/>
            </w:r>
            <w:r>
              <w:br/>
            </w:r>
            <w:r>
              <w:rPr>
                <w:rFonts w:ascii="SimSun" w:hAnsi="SimSun"/>
                <w:b w:val="false"/>
                <w:i w:val="false"/>
                <w:color w:val="000000"/>
                <w:sz w:val="21"/>
              </w:rPr>
              <w:t>Introduction to Digital Economics</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MDE60003</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应用模块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75"/>
        <w:gridCol w:w="793"/>
        <w:gridCol w:w="793"/>
        <w:gridCol w:w="1111"/>
        <w:gridCol w:w="1888"/>
        <w:gridCol w:w="793"/>
        <w:gridCol w:w="793"/>
        <w:gridCol w:w="793"/>
        <w:gridCol w:w="793"/>
        <w:gridCol w:w="1112"/>
        <w:gridCol w:w="1590"/>
      </w:tblGrid>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国际贸易(H)</w:t>
            </w:r>
            <w:r>
              <w:br/>
            </w:r>
            <w:r>
              <w:br/>
            </w:r>
            <w:r>
              <w:rPr>
                <w:rFonts w:ascii="SimSun" w:hAnsi="SimSun"/>
                <w:b w:val="false"/>
                <w:i w:val="false"/>
                <w:color w:val="000000"/>
                <w:sz w:val="21"/>
              </w:rPr>
              <w:t>International Trade(H)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ECON30018h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货币银行学</w:t>
            </w:r>
            <w:r>
              <w:br/>
            </w:r>
            <w:r>
              <w:br/>
            </w:r>
            <w:r>
              <w:rPr>
                <w:rFonts w:ascii="SimSun" w:hAnsi="SimSun"/>
                <w:b w:val="false"/>
                <w:i w:val="false"/>
                <w:color w:val="000000"/>
                <w:sz w:val="21"/>
              </w:rPr>
              <w:t>Monetary Banking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ECON30021</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劳动经济学(H)</w:t>
            </w:r>
            <w:r>
              <w:br/>
            </w:r>
            <w:r>
              <w:br/>
            </w:r>
            <w:r>
              <w:rPr>
                <w:rFonts w:ascii="SimSun" w:hAnsi="SimSun"/>
                <w:b w:val="false"/>
                <w:i w:val="false"/>
                <w:color w:val="000000"/>
                <w:sz w:val="21"/>
              </w:rPr>
              <w:t>Labor Economics(H)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ECON30113h</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资产定价</w:t>
            </w:r>
            <w:r>
              <w:br/>
            </w:r>
            <w:r>
              <w:br/>
            </w:r>
            <w:r>
              <w:rPr>
                <w:rFonts w:ascii="SimSun" w:hAnsi="SimSun"/>
                <w:b w:val="false"/>
                <w:i w:val="false"/>
                <w:color w:val="000000"/>
                <w:sz w:val="21"/>
              </w:rPr>
              <w:t>Asset Pricing</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ECON40017</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创新经济学</w:t>
            </w:r>
            <w:r>
              <w:br/>
            </w:r>
            <w:r>
              <w:br/>
            </w:r>
            <w:r>
              <w:rPr>
                <w:rFonts w:ascii="SimSun" w:hAnsi="SimSun"/>
                <w:b w:val="false"/>
                <w:i w:val="false"/>
                <w:color w:val="000000"/>
                <w:sz w:val="21"/>
              </w:rPr>
              <w:t>Economics of Innovation</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8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ECON30013</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专业进阶II组</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7"/>
        <w:gridCol w:w="811"/>
        <w:gridCol w:w="811"/>
        <w:gridCol w:w="811"/>
        <w:gridCol w:w="811"/>
        <w:gridCol w:w="1136"/>
        <w:gridCol w:w="1623"/>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金融科技</w:t>
            </w:r>
            <w:r>
              <w:br/>
            </w:r>
            <w:r>
              <w:br/>
            </w:r>
            <w:r>
              <w:rPr>
                <w:rFonts w:ascii="SimSun" w:hAnsi="SimSun"/>
                <w:b w:val="false"/>
                <w:i w:val="false"/>
                <w:color w:val="000000"/>
                <w:sz w:val="21"/>
              </w:rPr>
              <w:t>Financial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保险科技</w:t>
            </w:r>
            <w:r>
              <w:br/>
            </w:r>
            <w:r>
              <w:br/>
            </w:r>
            <w:r>
              <w:rPr>
                <w:rFonts w:ascii="SimSun" w:hAnsi="SimSun"/>
                <w:b w:val="false"/>
                <w:i w:val="false"/>
                <w:color w:val="000000"/>
                <w:sz w:val="21"/>
              </w:rPr>
              <w:t>InsurTech</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AIT531021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在专业进阶路径基础上，修读荣誉课程不少于5门课。荣誉项目课程设置和修读要求请见经济学院“本科荣誉项目”实施方案。下载地址：https://jwc.fudan.edu.cn/（复旦大学教务处）专业培养-常用文档。鼓励学生选择荣誉项目。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走进经济学系列讲座</w:t>
            </w:r>
            <w:r>
              <w:br/>
            </w:r>
            <w:r>
              <w:br/>
            </w:r>
            <w:r>
              <w:rPr>
                <w:rFonts w:ascii="SimSun" w:hAnsi="SimSun"/>
                <w:b w:val="false"/>
                <w:i w:val="false"/>
                <w:color w:val="000000"/>
                <w:sz w:val="21"/>
              </w:rPr>
              <w:t>Discovering Economics Lecture Series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ECON10001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中国经济学系列讲座</w:t>
            </w:r>
            <w:r>
              <w:br/>
            </w:r>
            <w:r>
              <w:br/>
            </w:r>
            <w:r>
              <w:rPr>
                <w:rFonts w:ascii="SimSun" w:hAnsi="SimSun"/>
                <w:b w:val="false"/>
                <w:i w:val="false"/>
                <w:color w:val="000000"/>
                <w:sz w:val="21"/>
              </w:rPr>
              <w:t>Chinese Economics Lecture Series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科研实践（复芏计划）</w:t>
            </w:r>
            <w:r>
              <w:br/>
            </w:r>
            <w:r>
              <w:br/>
            </w:r>
            <w:r>
              <w:rPr>
                <w:rFonts w:ascii="SimSun" w:hAnsi="SimSun"/>
                <w:b w:val="false"/>
                <w:i w:val="false"/>
                <w:color w:val="000000"/>
                <w:sz w:val="21"/>
              </w:rPr>
              <w:t>Research Practice (FDUROP Program)</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ECON30006</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 Target="media/document_image_rId7.jpe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