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2025政治学与行政学专业-政治学-本硕融通培养方案（普通学生适用）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政治学系拥有一支高水平的教学研究队伍，现有专职教师27名，其中教授15名，副教授6名，讲师和青年副研究员6名。教学研究方向涵盖政治学理论、中国政治、比较政治、政治哲学等多个领域，具体包括国家治理、政党政治、人大政治、协商政治、选举政治、社区政治、城市政治、族群政治、社会治理、环境治理、网络政治等重大主题。</w:t>
      </w:r>
      <w:r>
        <w:br/>
      </w:r>
      <w:r>
        <w:br/>
      </w:r>
      <w:r>
        <w:rPr>
          <w:rFonts w:ascii="SimSun" w:hAnsi="SimSun"/>
          <w:b w:val="false"/>
          <w:i w:val="false"/>
          <w:color w:val="000000"/>
          <w:sz w:val="21"/>
        </w:rPr>
        <w:t>政治学系设有政治学理论等二级学科博士点和硕士点以及政治学与行政学本科专业（国家级一流本科建设专业点），教师承担本科、硕士研究生、博士研究生课程70余门，教学研究队伍承担大量国家和上海市的社会科学研究课题、政策咨询课题，荣获众多国家和上海市教学成果奖、优秀学术成果奖，出版的各类著作和论文在国内外具有重大影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专业以马克思主义政治学基本原理和基本方法为指导，通过对马克思主义政治学理论、现代政治学理论、社会科学研究方法、学术伦理规范以及相关专业理论的系统研究和学习，培养政治立场坚定、对政治发展规律有着科学了解、学术研究能力强、学术视野宽广、能够承担政治学教学科研以及高层次管理工作的社会主义国家的高层次专业骨干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培养要求：要求学生掌握马克思主义基本原理和政治学、国际政治的基本知识；了解国际政治基本理论和国际关系、世界经济的发展动态、熟悉我国对外方针政策法规体系；掌握文献检索、资料查询、调查研究、分析判断的基本方法和手段；具备较强的外语应用能力、科学研究能力和实务操作能力。</w:t>
      </w:r>
      <w:r>
        <w:br/>
      </w:r>
      <w:r>
        <w:br/>
      </w:r>
      <w:r>
        <w:rPr>
          <w:rFonts w:ascii="SimSun" w:hAnsi="SimSun"/>
          <w:b w:val="false"/>
          <w:i w:val="false"/>
          <w:color w:val="000000"/>
          <w:sz w:val="21"/>
        </w:rPr>
        <w:t>培养要求：</w:t>
      </w:r>
      <w:r>
        <w:br/>
      </w:r>
      <w:r>
        <w:br/>
      </w:r>
      <w:r>
        <w:rPr>
          <w:rFonts w:ascii="SimSun" w:hAnsi="SimSun"/>
          <w:b w:val="false"/>
          <w:i w:val="false"/>
          <w:color w:val="000000"/>
          <w:sz w:val="21"/>
        </w:rPr>
        <w:t>（1）具有本学科扎实的理论基础；</w:t>
      </w:r>
      <w:r>
        <w:br/>
      </w:r>
      <w:r>
        <w:br/>
      </w:r>
      <w:r>
        <w:rPr>
          <w:rFonts w:ascii="SimSun" w:hAnsi="SimSun"/>
          <w:b w:val="false"/>
          <w:i w:val="false"/>
          <w:color w:val="000000"/>
          <w:sz w:val="21"/>
        </w:rPr>
        <w:t>（2）能独立设计并完成具有理论价值和现实意义的专题研究；</w:t>
      </w:r>
      <w:r>
        <w:br/>
      </w:r>
      <w:r>
        <w:br/>
      </w:r>
      <w:r>
        <w:rPr>
          <w:rFonts w:ascii="SimSun" w:hAnsi="SimSun"/>
          <w:b w:val="false"/>
          <w:i w:val="false"/>
          <w:color w:val="000000"/>
          <w:sz w:val="21"/>
        </w:rPr>
        <w:t>（3）具备较强的实证调研能力和学术写作能力；</w:t>
      </w:r>
      <w:r>
        <w:br/>
      </w:r>
      <w:r>
        <w:br/>
      </w:r>
      <w:r>
        <w:rPr>
          <w:rFonts w:ascii="SimSun" w:hAnsi="SimSun"/>
          <w:b w:val="false"/>
          <w:i w:val="false"/>
          <w:color w:val="000000"/>
          <w:sz w:val="21"/>
        </w:rPr>
        <w:t>（4）熟练运用一门外语进行专业文献研读；</w:t>
      </w:r>
      <w:r>
        <w:br/>
      </w:r>
      <w:r>
        <w:br/>
      </w:r>
      <w:r>
        <w:rPr>
          <w:rFonts w:ascii="SimSun" w:hAnsi="SimSun"/>
          <w:b w:val="false"/>
          <w:i w:val="false"/>
          <w:color w:val="000000"/>
          <w:sz w:val="21"/>
        </w:rPr>
        <w:t>（5）硕士学位论文应达到在国内核心期刊发表的水准。</w:t>
      </w:r>
    </w:p>
    <w:p>
      <w:pPr>
        <w:spacing w:after="0"/>
        <w:ind w:left="0"/>
        <w:jc w:val="left"/>
      </w:pPr>
      <w:r>
        <w:drawing>
          <wp:inline distT="0" distB="0" distL="0" distR="0">
            <wp:extent cx="5063067"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政治学与行政学专业本科“2+X+Y”培养方案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政治学学术学位硕士培养方案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政治学与行政学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133</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硕期间必须修满教学计划规定的150学分（含实践学分不低于22.5学分；含美育学分不少于2学分，其中至少在“美学和艺术史论类”或“艺术鉴赏和评论类”课程中修读1学分，并至少参与一项艺术实践活动；劳动教育不少于32学时，并满足劳动周教育要求），包括通识教育课程44学分（其中研究生学位课3学分）、全球领导力课程模块57学分、本硕融通衔接模块25学分、硕士实务实践高阶模块10学分、满足融合创新能力模块的修读。</w:t>
      </w:r>
      <w:r>
        <w:br/>
      </w:r>
      <w:r>
        <w:br/>
      </w:r>
      <w:r>
        <w:rPr>
          <w:rFonts w:ascii="SimSun" w:hAnsi="SimSun"/>
          <w:b w:val="false"/>
          <w:i w:val="false"/>
          <w:color w:val="000000"/>
          <w:sz w:val="21"/>
        </w:rPr>
        <w:t>其中，本科学段需要完成133学分，包括通识教育课程41学分、全球领导力课程57学分，同时满足融合创新能力模块要求的修读。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r>
        <w:br/>
      </w:r>
      <w:r>
        <w:br/>
      </w:r>
      <w:r>
        <w:rPr>
          <w:rFonts w:ascii="SimSun" w:hAnsi="SimSun"/>
          <w:b w:val="false"/>
          <w:i w:val="false"/>
          <w:color w:val="000000"/>
          <w:sz w:val="21"/>
        </w:rPr>
        <w:t>四年级结束时，如达到学士学位要求者授予发学学士学位。</w:t>
      </w:r>
      <w:r>
        <w:br/>
      </w:r>
      <w:r>
        <w:br/>
      </w:r>
      <w:r>
        <w:rPr>
          <w:rFonts w:ascii="SimSun" w:hAnsi="SimSun"/>
          <w:b w:val="false"/>
          <w:i w:val="false"/>
          <w:color w:val="000000"/>
          <w:sz w:val="21"/>
        </w:rPr>
        <w:t>（二）研究生学位</w:t>
      </w:r>
      <w:r>
        <w:br/>
      </w:r>
      <w:r>
        <w:br/>
      </w:r>
      <w:r>
        <w:rPr>
          <w:rFonts w:ascii="SimSun" w:hAnsi="SimSun"/>
          <w:b w:val="false"/>
          <w:i w:val="false"/>
          <w:color w:val="000000"/>
          <w:sz w:val="21"/>
        </w:rPr>
        <w:t>1、如达到硕士学位要求者授予管理学硕士学位。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 本硕双导师制实务实践训练体系注重培养学生在国家治理与全球治理领域的实务工作能力，增强应对复杂治理问题的实践经验和专业素养，提升就业竞争力与胜任力。双导师拟由学术导师（专任教师）与行业导师（政府、企事业单位等业内人士）组成。</w:t>
      </w:r>
      <w:r>
        <w:br/>
      </w:r>
      <w:r>
        <w:br/>
      </w:r>
      <w:r>
        <w:rPr>
          <w:rFonts w:ascii="SimSun" w:hAnsi="SimSun"/>
          <w:b w:val="false"/>
          <w:i w:val="false"/>
          <w:color w:val="000000"/>
          <w:sz w:val="21"/>
        </w:rPr>
        <w:t>1.本科阶段培养设计</w:t>
      </w:r>
      <w:r>
        <w:br/>
      </w:r>
      <w:r>
        <w:br/>
      </w:r>
      <w:r>
        <w:rPr>
          <w:rFonts w:ascii="SimSun" w:hAnsi="SimSun"/>
          <w:b w:val="false"/>
          <w:i w:val="false"/>
          <w:color w:val="000000"/>
          <w:sz w:val="21"/>
        </w:rPr>
        <w:t>本科阶段将国务学院“中国之治”国情育人项目、“全球之治”世情育人项目以及相关学科竞赛列入本硕融通轨道学生必修项目清单。“中国之治”国情育人项目包括：中国之治社会实践项目（重点项目+日常化项目）；“全球之治”世情育人项目包括：青年全球治理创新设计大赛（YICGG）、澜沧江-湄公河”流域治理与发展青年创新设计大赛（YICMG）、“荣昶学者”全球治理人才培养专项计划等；学科竞赛包括“中国之治”治理案例分析大赛以及复旦大学本科生学科竞赛工作管理办法适用竞赛表所列本学科相关赛事及其他本学院认定的高水平、有影响力的赛事。</w:t>
      </w:r>
      <w:r>
        <w:br/>
      </w:r>
      <w:r>
        <w:br/>
      </w:r>
      <w:r>
        <w:rPr>
          <w:rFonts w:ascii="SimSun" w:hAnsi="SimSun"/>
          <w:b w:val="false"/>
          <w:i w:val="false"/>
          <w:color w:val="000000"/>
          <w:sz w:val="21"/>
        </w:rPr>
        <w:t>在该阶段，学生可选择以下两种方式之一完成培养：</w:t>
      </w:r>
      <w:r>
        <w:br/>
      </w:r>
      <w:r>
        <w:br/>
      </w:r>
      <w:r>
        <w:rPr>
          <w:rFonts w:ascii="SimSun" w:hAnsi="SimSun"/>
          <w:b w:val="false"/>
          <w:i w:val="false"/>
          <w:color w:val="000000"/>
          <w:sz w:val="21"/>
        </w:rPr>
        <w:t>方式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w:t>
      </w:r>
      <w:r>
        <w:br/>
      </w:r>
      <w:r>
        <w:br/>
      </w:r>
      <w:r>
        <w:rPr>
          <w:rFonts w:ascii="SimSun" w:hAnsi="SimSun"/>
          <w:b w:val="false"/>
          <w:i w:val="false"/>
          <w:color w:val="000000"/>
          <w:sz w:val="21"/>
        </w:rPr>
        <w:t>方式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w:t>
      </w:r>
      <w:r>
        <w:br/>
      </w:r>
      <w:r>
        <w:br/>
      </w:r>
      <w:r>
        <w:rPr>
          <w:rFonts w:ascii="SimSun" w:hAnsi="SimSun"/>
          <w:b w:val="false"/>
          <w:i w:val="false"/>
          <w:color w:val="000000"/>
          <w:sz w:val="21"/>
        </w:rPr>
        <w:t>本科毕业时，学生如作为“队长/项目负责人”身份完成上述竞赛参赛要求，则可选择将参与竞赛所撰写研究论文或比赛报告作为本科毕业论文送审，学院出台相应配套政策，进行审核与学分认定。若结项报告、研究论文为团队成果，学生在申请认定其为本科毕业论文时，应取得指导老师以及课题团队成员书面一致同意，且每份报告或论文只适用一次本科毕业论文答辩申请。学生如作为“项目团队成员排位前两名（除负责人外）”时，则须独立撰写一篇毕业论文送审。</w:t>
      </w:r>
      <w:r>
        <w:br/>
      </w:r>
      <w:r>
        <w:br/>
      </w:r>
      <w:r>
        <w:rPr>
          <w:rFonts w:ascii="SimSun" w:hAnsi="SimSun"/>
          <w:b w:val="false"/>
          <w:i w:val="false"/>
          <w:color w:val="000000"/>
          <w:sz w:val="21"/>
        </w:rPr>
        <w:t>2.硕士研究生阶段要求</w:t>
      </w:r>
      <w:r>
        <w:br/>
      </w:r>
      <w:r>
        <w:br/>
      </w:r>
      <w:r>
        <w:rPr>
          <w:rFonts w:ascii="SimSun" w:hAnsi="SimSun"/>
          <w:b w:val="false"/>
          <w:i w:val="false"/>
          <w:color w:val="000000"/>
          <w:sz w:val="21"/>
        </w:rPr>
        <w:t>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（57学分,本科要求57学分）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（28学分,本科要求28学分）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计算社会科学</w:t>
            </w:r>
            <w:r>
              <w:br/>
            </w:r>
            <w:r>
              <w:br/>
            </w:r>
            <w:r>
              <w:rPr>
                <w:rFonts w:ascii="SimSun" w:hAnsi="SimSun"/>
                <w:b w:val="false"/>
                <w:i w:val="false"/>
                <w:color w:val="000000"/>
                <w:sz w:val="21"/>
              </w:rPr>
              <w:t>Computational Social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（29学分,本科要求29学分）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中国政治思想史</w:t>
            </w:r>
            <w:r>
              <w:br/>
            </w:r>
            <w:r>
              <w:br/>
            </w:r>
            <w:r>
              <w:rPr>
                <w:rFonts w:ascii="SimSun" w:hAnsi="SimSun"/>
                <w:b w:val="false"/>
                <w:i w:val="false"/>
                <w:color w:val="000000"/>
                <w:sz w:val="21"/>
              </w:rPr>
              <w:t>History of Chinese Political Thought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中国政治制度史</w:t>
            </w:r>
            <w:r>
              <w:br/>
            </w:r>
            <w:r>
              <w:br/>
            </w:r>
            <w:r>
              <w:rPr>
                <w:rFonts w:ascii="SimSun" w:hAnsi="SimSun"/>
                <w:b w:val="false"/>
                <w:i w:val="false"/>
                <w:color w:val="000000"/>
                <w:sz w:val="21"/>
              </w:rPr>
              <w:t>History of the Chinese Political System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中国社会政治分析</w:t>
            </w:r>
            <w:r>
              <w:br/>
            </w:r>
            <w:r>
              <w:br/>
            </w:r>
            <w:r>
              <w:rPr>
                <w:rFonts w:ascii="SimSun" w:hAnsi="SimSun"/>
                <w:b w:val="false"/>
                <w:i w:val="false"/>
                <w:color w:val="000000"/>
                <w:sz w:val="21"/>
              </w:rPr>
              <w:t>Political Analysis of Chinese Society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西方政治思想史（上）</w:t>
            </w:r>
            <w:r>
              <w:br/>
            </w:r>
            <w:r>
              <w:br/>
            </w:r>
            <w:r>
              <w:rPr>
                <w:rFonts w:ascii="SimSun" w:hAnsi="SimSun"/>
                <w:b w:val="false"/>
                <w:i w:val="false"/>
                <w:color w:val="000000"/>
                <w:sz w:val="21"/>
              </w:rPr>
              <w:t>History of Western Political Thought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西方政治思想史（下）</w:t>
            </w:r>
            <w:r>
              <w:br/>
            </w:r>
            <w:r>
              <w:br/>
            </w:r>
            <w:r>
              <w:rPr>
                <w:rFonts w:ascii="SimSun" w:hAnsi="SimSun"/>
                <w:b w:val="false"/>
                <w:i w:val="false"/>
                <w:color w:val="000000"/>
                <w:sz w:val="21"/>
              </w:rPr>
              <w:t>History of Western Political Thought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当代西方政治学</w:t>
            </w:r>
            <w:r>
              <w:br/>
            </w:r>
            <w:r>
              <w:br/>
            </w:r>
            <w:r>
              <w:rPr>
                <w:rFonts w:ascii="SimSun" w:hAnsi="SimSun"/>
                <w:b w:val="false"/>
                <w:i w:val="false"/>
                <w:color w:val="000000"/>
                <w:sz w:val="21"/>
              </w:rPr>
              <w:t>Western Political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国家理论研究</w:t>
            </w:r>
            <w:r>
              <w:br/>
            </w:r>
            <w:r>
              <w:br/>
            </w:r>
            <w:r>
              <w:rPr>
                <w:rFonts w:ascii="SimSun" w:hAnsi="SimSun"/>
                <w:b w:val="false"/>
                <w:i w:val="false"/>
                <w:color w:val="000000"/>
                <w:sz w:val="21"/>
              </w:rPr>
              <w:t>Study of State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比较政治学导论</w:t>
            </w:r>
            <w:r>
              <w:br/>
            </w:r>
            <w:r>
              <w:br/>
            </w:r>
            <w:r>
              <w:rPr>
                <w:rFonts w:ascii="SimSun" w:hAnsi="SimSun"/>
                <w:b w:val="false"/>
                <w:i w:val="false"/>
                <w:color w:val="000000"/>
                <w:sz w:val="21"/>
              </w:rPr>
              <w:t>Introduction to Comparative Politics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当代世界政治思潮</w:t>
            </w:r>
            <w:r>
              <w:br/>
            </w:r>
            <w:r>
              <w:br/>
            </w:r>
            <w:r>
              <w:rPr>
                <w:rFonts w:ascii="SimSun" w:hAnsi="SimSun"/>
                <w:b w:val="false"/>
                <w:i w:val="false"/>
                <w:color w:val="000000"/>
                <w:sz w:val="21"/>
              </w:rPr>
              <w:t>Contemporary Global Political Thoughts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包括本硕实务实践衔接课程包、硕士实务实践高阶课程模块，按路径要求修读课程。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（25学分,本科要求11学分）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I.本硕实务实践衔接课程包（25学分）。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国家治理</w:t>
            </w:r>
            <w:r>
              <w:br/>
            </w:r>
            <w:r>
              <w:br/>
            </w:r>
            <w:r>
              <w:rPr>
                <w:rFonts w:ascii="SimSun" w:hAnsi="SimSun"/>
                <w:b w:val="false"/>
                <w:i w:val="false"/>
                <w:color w:val="000000"/>
                <w:sz w:val="21"/>
              </w:rPr>
              <w:t>State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中国共产党研究</w:t>
            </w:r>
            <w:r>
              <w:br/>
            </w:r>
            <w:r>
              <w:br/>
            </w:r>
            <w:r>
              <w:rPr>
                <w:rFonts w:ascii="SimSun" w:hAnsi="SimSun"/>
                <w:b w:val="false"/>
                <w:i w:val="false"/>
                <w:color w:val="000000"/>
                <w:sz w:val="21"/>
              </w:rPr>
              <w:t>Study of Chinese Communist Party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地方政府与治理</w:t>
            </w:r>
            <w:r>
              <w:br/>
            </w:r>
            <w:r>
              <w:br/>
            </w:r>
            <w:r>
              <w:rPr>
                <w:rFonts w:ascii="SimSun" w:hAnsi="SimSun"/>
                <w:b w:val="false"/>
                <w:i w:val="false"/>
                <w:color w:val="000000"/>
                <w:sz w:val="21"/>
              </w:rPr>
              <w:t>Local Government and Local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纪检监察学原理</w:t>
            </w:r>
            <w:r>
              <w:br/>
            </w:r>
            <w:r>
              <w:br/>
            </w:r>
            <w:r>
              <w:rPr>
                <w:rFonts w:ascii="SimSun" w:hAnsi="SimSun"/>
                <w:b w:val="false"/>
                <w:i w:val="false"/>
                <w:color w:val="000000"/>
                <w:sz w:val="21"/>
              </w:rPr>
              <w:t>Theory of Discipline Inspection and Supervision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LAW60020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发展中国家政治与对外关系</w:t>
            </w:r>
            <w:r>
              <w:br/>
            </w:r>
            <w:r>
              <w:br/>
            </w:r>
            <w:r>
              <w:rPr>
                <w:rFonts w:ascii="SimSun" w:hAnsi="SimSun"/>
                <w:b w:val="false"/>
                <w:i w:val="false"/>
                <w:color w:val="000000"/>
                <w:sz w:val="21"/>
              </w:rPr>
              <w:t>Politics and External Relations of the developing countries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 Method</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II.硕士实务实践高阶课程模块（10学分）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国际制度专题研究</w:t>
            </w:r>
            <w:r>
              <w:br/>
            </w:r>
            <w:r>
              <w:br/>
            </w:r>
            <w:r>
              <w:rPr>
                <w:rFonts w:ascii="SimSun" w:hAnsi="SimSun"/>
                <w:b w:val="false"/>
                <w:i w:val="false"/>
                <w:color w:val="000000"/>
                <w:sz w:val="21"/>
              </w:rPr>
              <w:t>International Institutions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POLI60053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区域发展与地方治理专题研究</w:t>
            </w:r>
            <w:r>
              <w:br/>
            </w:r>
            <w:r>
              <w:br/>
            </w:r>
            <w:r>
              <w:rPr>
                <w:rFonts w:ascii="SimSun" w:hAnsi="SimSun"/>
                <w:b w:val="false"/>
                <w:i w:val="false"/>
                <w:color w:val="000000"/>
                <w:sz w:val="21"/>
              </w:rPr>
              <w:t>Advanced Studies on Regional Development and Local Governance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AI赋能的政务服务再造</w:t>
            </w:r>
            <w:r>
              <w:br/>
            </w:r>
            <w:r>
              <w:br/>
            </w:r>
            <w:r>
              <w:rPr>
                <w:rFonts w:ascii="SimSun" w:hAnsi="SimSun"/>
                <w:b w:val="false"/>
                <w:i w:val="false"/>
                <w:color w:val="000000"/>
                <w:sz w:val="21"/>
              </w:rPr>
              <w:t>AI-empowered Reengineering of Government Services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中国式现代化研究</w:t>
            </w:r>
            <w:r>
              <w:br/>
            </w:r>
            <w:r>
              <w:br/>
            </w:r>
            <w:r>
              <w:rPr>
                <w:rFonts w:ascii="SimSun" w:hAnsi="SimSun"/>
                <w:b w:val="false"/>
                <w:i w:val="false"/>
                <w:color w:val="000000"/>
                <w:sz w:val="21"/>
              </w:rPr>
              <w:t>Research on the Chinese Path to Modernization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社会科学数据分析</w:t>
            </w:r>
            <w:r>
              <w:br/>
            </w:r>
            <w:r>
              <w:br/>
            </w:r>
            <w:r>
              <w:rPr>
                <w:rFonts w:ascii="SimSun" w:hAnsi="SimSun"/>
                <w:b w:val="false"/>
                <w:i w:val="false"/>
                <w:color w:val="000000"/>
                <w:sz w:val="21"/>
              </w:rPr>
              <w:t>Statistical Analysis in Social Science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美国专题研究</w:t>
            </w:r>
            <w:r>
              <w:br/>
            </w:r>
            <w:r>
              <w:br/>
            </w:r>
            <w:r>
              <w:rPr>
                <w:rFonts w:ascii="SimSun" w:hAnsi="SimSun"/>
                <w:b w:val="false"/>
                <w:i w:val="false"/>
                <w:color w:val="000000"/>
                <w:sz w:val="21"/>
              </w:rPr>
              <w:t>Advanced Studies on America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欧洲专题研究</w:t>
            </w:r>
            <w:r>
              <w:br/>
            </w:r>
            <w:r>
              <w:br/>
            </w:r>
            <w:r>
              <w:rPr>
                <w:rFonts w:ascii="SimSun" w:hAnsi="SimSun"/>
                <w:b w:val="false"/>
                <w:i w:val="false"/>
                <w:color w:val="000000"/>
                <w:sz w:val="21"/>
              </w:rPr>
              <w:t>Advanced Studies on European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全球南方专题研究</w:t>
            </w:r>
            <w:r>
              <w:br/>
            </w:r>
            <w:r>
              <w:br/>
            </w:r>
            <w:r>
              <w:rPr>
                <w:rFonts w:ascii="SimSun" w:hAnsi="SimSun"/>
                <w:b w:val="false"/>
                <w:i w:val="false"/>
                <w:color w:val="000000"/>
                <w:sz w:val="21"/>
              </w:rPr>
              <w:t>Advanced Studies on the Global South Issues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按照“基础型—综合型—创新型”渐次推进、相互衔接的教学体系，在解决复杂问题的过程中培养实践能力，激发批判性思维和科研潜力。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全周期的科研训练体系，在1、2年级设立前沿导论课和无学分讨论班，引导学生培育学术科研兴趣。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其他本科生学术研究计划</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实务实践训练方式之一和实务实践训练方式之二必修2选1
实务实践训练方式之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修读认定以项目立项证明材料为准，项目能否设置负责人外成员参照学校政策安排。
实务实践训练方式之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
本科毕业论文，可用复芏计划成果为论文主要内容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本硕双导师制实务实践训练体系-硕士研究生阶段要求
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参照学校要求，硕士生在校期间至少听取5次学术报告，并在院系或校级甚至全国性的学术研讨会、学术沙龙或其他公开学术讨论场合作2次学术报告。并作好记录和小结，送交指导老师考核和评分。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参照学校要求，硕士生在校期间应参加两个星期以上的教学实践或者公共管理实践。并作好记录和小结，送交指导老师考核和评分。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在第8学期完成，详见国务学院论文开题实施细则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