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2025广告学--新闻传播学本硕融通培养方案（战略传播菁英班）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战略传播（Strategic Communication）本硕融通项目，以“2+X+Y”（2是通识和专业教育，X是多元发展路径，Y为融合创新能力）为路径，以“二对一”导师制（学界、业界2位导师对1位学生）为特色，在基于网络化社会大背景和数字市场营销格局的前提之下，以融合“商业、科技、人文与艺术”四位一体的专业素养为教学理念，立足商业(企业)组织、面向政府及社会组织等多元需求，兼顾经济市场和社会公共利益，融合创意内容生产、数字营销传播管理、战略资源整合的理论与实践，培养在数智时代拥有市场洞察与分析能力、高度商业沟通技巧、批判性创新思维、人文艺术审美修养、全球战略视角和传播领导力的复合型专业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961467"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61467"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广告学专业本科“2+X+Y”培养方案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123</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新闻与传播</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17102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1.专业进阶路径：154学分                                                                </w:t>
      </w:r>
    </w:p>
    <w:p>
      <w:pPr>
        <w:spacing w:after="0"/>
        <w:ind w:left="0"/>
        <w:jc w:val="left"/>
      </w:pPr>
      <w:r>
        <w:rPr>
          <w:rFonts w:ascii="SimSun" w:hAnsi="SimSun"/>
          <w:b w:val="false"/>
          <w:i w:val="false"/>
          <w:color w:val="000000"/>
          <w:sz w:val="21"/>
        </w:rPr>
        <w:t>本路径学生本硕期间必须修满教学计划规定的154学分，包括通识教育课程44学分、专业培养课程61学分、专业进阶模块34学分（研究生课程不少于14学分）、融合创新能力培养模块15学分。</w:t>
      </w:r>
    </w:p>
    <w:p>
      <w:pPr>
        <w:spacing w:after="0"/>
        <w:ind w:left="0"/>
        <w:jc w:val="left"/>
      </w:pPr>
      <w:r>
        <w:rPr>
          <w:rFonts w:ascii="SimSun" w:hAnsi="SimSun"/>
          <w:b w:val="false"/>
          <w:i w:val="false"/>
          <w:color w:val="000000"/>
          <w:sz w:val="21"/>
        </w:rPr>
        <w:t xml:space="preserve">其中，本科学段需要完成123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41学分、专业培养课程52学分、专业进阶模块修读20学分、融合创新能力培养10学分。 </w:t>
      </w:r>
    </w:p>
    <w:p>
      <w:pPr>
        <w:spacing w:after="0"/>
        <w:ind w:left="0"/>
        <w:jc w:val="left"/>
      </w:pPr>
      <w:r>
        <w:rPr>
          <w:rFonts w:ascii="SimSun" w:hAnsi="SimSun"/>
          <w:b w:val="false"/>
          <w:i w:val="false"/>
          <w:color w:val="000000"/>
          <w:sz w:val="21"/>
        </w:rPr>
        <w:t xml:space="preserve">2.荣誉项目：154学分 </w:t>
      </w:r>
    </w:p>
    <w:p>
      <w:pPr>
        <w:spacing w:after="0"/>
        <w:ind w:left="0"/>
        <w:jc w:val="left"/>
      </w:pPr>
      <w:r>
        <w:rPr>
          <w:rFonts w:ascii="SimSun" w:hAnsi="SimSun"/>
          <w:b w:val="false"/>
          <w:i w:val="false"/>
          <w:color w:val="000000"/>
          <w:sz w:val="21"/>
        </w:rPr>
        <w:t xml:space="preserve">荣誉项目课程设置和修读要求请见新闻学院“本科荣誉项目”实施方案。下载地址：https://jwc.fudan.edu.cn/（复旦大学教务处）专业培养-常用文档。                                                                 </w:t>
      </w:r>
    </w:p>
    <w:p>
      <w:pPr>
        <w:spacing w:after="0"/>
        <w:ind w:left="0"/>
        <w:jc w:val="left"/>
      </w:pPr>
      <w:r>
        <w:rPr>
          <w:rFonts w:ascii="SimSun" w:hAnsi="SimSun"/>
          <w:b w:val="false"/>
          <w:i w:val="false"/>
          <w:color w:val="000000"/>
          <w:sz w:val="21"/>
        </w:rPr>
        <w:t xml:space="preserve">3.跨学科发展路径：169学分                                                               </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 xml:space="preserve">  （1）修满规定的学分，达到本科教学培养方案规定的各项要求。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  （3）在此基础上，达到新闻学院“本科荣誉证书”获得条件的授予“本科荣誉证书”，具体要求请见新闻学院“本科荣誉项目”实施方案。</w:t>
      </w:r>
    </w:p>
    <w:p>
      <w:pPr>
        <w:numPr>
          <w:ilvl w:val="0"/>
          <w:numId w:val="2"/>
        </w:numPr>
        <w:spacing w:after="0"/>
        <w:jc w:val="left"/>
      </w:pPr>
      <w:r>
        <w:rPr>
          <w:rFonts w:ascii="SimSun" w:hAnsi="SimSun"/>
          <w:b w:val="false"/>
          <w:i w:val="false"/>
          <w:color w:val="000000"/>
          <w:sz w:val="21"/>
        </w:rPr>
        <w:t>本科学段主动退出和转段考核不合格退出本硕融通计划的学生，需按照广告学专业本科“2+X+Y”培养方案修读课程，如达到学士学位要求者授予文学学士学位。</w:t>
      </w:r>
    </w:p>
    <w:p>
      <w:pPr>
        <w:spacing w:after="0"/>
        <w:ind w:left="0"/>
        <w:jc w:val="left"/>
      </w:pPr>
      <w:r>
        <w:rPr>
          <w:rFonts w:ascii="SimSun" w:hAnsi="SimSun"/>
          <w:b w:val="false"/>
          <w:i w:val="false"/>
          <w:color w:val="000000"/>
          <w:sz w:val="21"/>
        </w:rPr>
        <w:t>（二）研究生学位</w:t>
      </w:r>
    </w:p>
    <w:p>
      <w:pPr>
        <w:numPr>
          <w:ilvl w:val="0"/>
          <w:numId w:val="3"/>
        </w:numPr>
        <w:spacing w:after="0"/>
        <w:jc w:val="left"/>
      </w:pPr>
      <w:r>
        <w:rPr>
          <w:rFonts w:ascii="SimSun" w:hAnsi="SimSun"/>
          <w:b w:val="false"/>
          <w:i w:val="false"/>
          <w:color w:val="000000"/>
          <w:sz w:val="21"/>
        </w:rPr>
        <w:t>达到硕士学位要求者授予文学硕士学位。</w:t>
      </w:r>
    </w:p>
    <w:p>
      <w:pPr>
        <w:spacing w:after="0"/>
        <w:ind w:left="0"/>
        <w:jc w:val="left"/>
      </w:pPr>
      <w:r>
        <w:rPr>
          <w:rFonts w:ascii="SimSun" w:hAnsi="SimSun"/>
          <w:b w:val="false"/>
          <w:i w:val="false"/>
          <w:color w:val="000000"/>
          <w:sz w:val="21"/>
        </w:rPr>
        <w:t xml:space="preserve">  （1）必须已修满学校规定的学分；所有修读课程成绩合格，其中学位课程平均绩点原则上不低于2.5。 </w:t>
      </w:r>
    </w:p>
    <w:p>
      <w:pPr>
        <w:spacing w:after="0"/>
        <w:ind w:left="0"/>
        <w:jc w:val="left"/>
      </w:pPr>
      <w:r>
        <w:rPr>
          <w:rFonts w:ascii="SimSun" w:hAnsi="SimSun"/>
          <w:b w:val="false"/>
          <w:i w:val="false"/>
          <w:color w:val="000000"/>
          <w:sz w:val="21"/>
        </w:rPr>
        <w:t xml:space="preserve">  （2）学位论文通过预审、相似性检测、评阅及答辩。详见《复旦大学博士、硕士学位论文预审办法》《复旦大学博士、硕士学位论文相似度检测工作的实施办法》《复旦大学博士、硕士学位论文双盲评审办法》《复旦大学博士、硕士学位论文答辩组织办法》《复旦大学新闻传播学硕士学位授予标准》等相关文件。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以16门课程为基础建立了本硕融通的专业核心课程体系，以学科领域为横、课程内容梯度为纵建立了难度逐级提升的本硕融通的专业进阶课程体系。为鼓励学生挑战自我，鼓励学生选择一项跨学科学程进行修读。</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80"/>
        <w:gridCol w:w="1095"/>
        <w:gridCol w:w="1095"/>
        <w:gridCol w:w="1095"/>
        <w:gridCol w:w="1095"/>
        <w:gridCol w:w="1095"/>
        <w:gridCol w:w="1095"/>
        <w:gridCol w:w="1096"/>
        <w:gridCol w:w="1096"/>
        <w:gridCol w:w="1096"/>
        <w:gridCol w:w="1096"/>
      </w:tblGrid>
      <w:tr>
        <w:trPr>
          <w:trHeight w:val="45" w:hRule="atLeast"/>
        </w:trPr>
        <w:tc>
          <w:tcPr>
            <w:tcW w:w="2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本科阶段设立概论课程和研究方法课程，引导学生进入研究状态，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724400" cy="2269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22690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（15学分,本科要求15学分）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（61学分,本科要求52学分）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（18学分,本科要求18学分）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（12学分,本科要求12学分）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（6学分,本科要求6学分）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（6学分,本科要求6学分）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（6学分,本科要求6学分）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法学大类（法学学士，含国务学院行政管理专业）必修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法学大类（法学学士，含国务学院行政管理专业）必修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各学院按修读计划的要求选修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各学院按修读计划的要求选修</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（43学分,本科要求34学分）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商业传播导论</w:t>
            </w:r>
            <w:r>
              <w:br/>
            </w:r>
            <w:r>
              <w:br/>
            </w:r>
            <w:r>
              <w:rPr>
                <w:rFonts w:ascii="SimSun" w:hAnsi="SimSun"/>
                <w:b w:val="false"/>
                <w:i w:val="false"/>
                <w:color w:val="000000"/>
                <w:sz w:val="21"/>
              </w:rPr>
              <w:t>Introduction to Business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智能市场研究</w:t>
            </w:r>
            <w:r>
              <w:br/>
            </w:r>
            <w:r>
              <w:br/>
            </w:r>
            <w:r>
              <w:rPr>
                <w:rFonts w:ascii="SimSun" w:hAnsi="SimSun"/>
                <w:b w:val="false"/>
                <w:i w:val="false"/>
                <w:color w:val="000000"/>
                <w:sz w:val="21"/>
              </w:rPr>
              <w:t>AI Market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消费心理与消费行为</w:t>
            </w:r>
            <w:r>
              <w:br/>
            </w:r>
            <w:r>
              <w:br/>
            </w:r>
            <w:r>
              <w:rPr>
                <w:rFonts w:ascii="SimSun" w:hAnsi="SimSun"/>
                <w:b w:val="false"/>
                <w:i w:val="false"/>
                <w:color w:val="000000"/>
                <w:sz w:val="21"/>
              </w:rPr>
              <w:t>Consumer Behavior and Psychology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智能创意与表现</w:t>
            </w:r>
            <w:r>
              <w:br/>
            </w:r>
            <w:r>
              <w:br/>
            </w:r>
            <w:r>
              <w:rPr>
                <w:rFonts w:ascii="SimSun" w:hAnsi="SimSun"/>
                <w:b w:val="false"/>
                <w:i w:val="false"/>
                <w:color w:val="000000"/>
                <w:sz w:val="21"/>
              </w:rPr>
              <w:t>AI Creativity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商业修辞与写作</w:t>
            </w:r>
            <w:r>
              <w:br/>
            </w:r>
            <w:r>
              <w:br/>
            </w:r>
            <w:r>
              <w:rPr>
                <w:rFonts w:ascii="SimSun" w:hAnsi="SimSun"/>
                <w:b w:val="false"/>
                <w:i w:val="false"/>
                <w:color w:val="000000"/>
                <w:sz w:val="21"/>
              </w:rPr>
              <w:t>Business Rhetoric and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公共关系学</w:t>
            </w:r>
            <w:r>
              <w:br/>
            </w:r>
            <w:r>
              <w:br/>
            </w:r>
            <w:r>
              <w:rPr>
                <w:rFonts w:ascii="SimSun" w:hAnsi="SimSun"/>
                <w:b w:val="false"/>
                <w:i w:val="false"/>
                <w:color w:val="000000"/>
                <w:sz w:val="21"/>
              </w:rPr>
              <w:t>Public Relations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营销传播策划</w:t>
            </w:r>
            <w:r>
              <w:br/>
            </w:r>
            <w:r>
              <w:br/>
            </w:r>
            <w:r>
              <w:rPr>
                <w:rFonts w:ascii="SimSun" w:hAnsi="SimSun"/>
                <w:b w:val="false"/>
                <w:i w:val="false"/>
                <w:color w:val="000000"/>
                <w:sz w:val="21"/>
              </w:rPr>
              <w:t>Marketing Communications Strategy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企业传播</w:t>
            </w:r>
            <w:r>
              <w:br/>
            </w:r>
            <w:r>
              <w:br/>
            </w:r>
            <w:r>
              <w:rPr>
                <w:rFonts w:ascii="SimSun" w:hAnsi="SimSun"/>
                <w:b w:val="false"/>
                <w:i w:val="false"/>
                <w:color w:val="000000"/>
                <w:sz w:val="21"/>
              </w:rPr>
              <w:t>Corporate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论文写作与学术规范</w:t>
            </w:r>
            <w:r>
              <w:br/>
            </w:r>
            <w:r>
              <w:br/>
            </w:r>
            <w:r>
              <w:rPr>
                <w:rFonts w:ascii="SimSun" w:hAnsi="SimSun"/>
                <w:b w:val="false"/>
                <w:i w:val="false"/>
                <w:color w:val="000000"/>
                <w:sz w:val="21"/>
              </w:rPr>
              <w:t>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公共外交与策略传播</w:t>
            </w:r>
            <w:r>
              <w:br/>
            </w:r>
            <w:r>
              <w:br/>
            </w:r>
            <w:r>
              <w:rPr>
                <w:rFonts w:ascii="SimSun" w:hAnsi="SimSun"/>
                <w:b w:val="false"/>
                <w:i w:val="false"/>
                <w:color w:val="000000"/>
                <w:sz w:val="21"/>
              </w:rPr>
              <w:t>Public Diplomacy and Tactical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战略传播</w:t>
            </w:r>
            <w:r>
              <w:br/>
            </w:r>
            <w:r>
              <w:br/>
            </w:r>
            <w:r>
              <w:rPr>
                <w:rFonts w:ascii="SimSun" w:hAnsi="SimSun"/>
                <w:b w:val="false"/>
                <w:i w:val="false"/>
                <w:color w:val="000000"/>
                <w:sz w:val="21"/>
              </w:rPr>
              <w:t>Strategic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MJC60018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包括本研融通专业进阶路径、跨学科发展路径、本研荣誉课程体系，要求在院系专业导师指导下选择1条发展路径，按路径要求修读课程。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修满34学分。要求在本专业进阶模块I修读17学分（研究生课程不少于6学分）、专业进阶模块II修读17学分（研究生课程不少于8学分）。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（17学分,本科要求11学分）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66"/>
        <w:gridCol w:w="2755"/>
        <w:gridCol w:w="688"/>
        <w:gridCol w:w="688"/>
        <w:gridCol w:w="964"/>
        <w:gridCol w:w="1377"/>
        <w:gridCol w:w="688"/>
        <w:gridCol w:w="688"/>
        <w:gridCol w:w="688"/>
        <w:gridCol w:w="688"/>
        <w:gridCol w:w="965"/>
        <w:gridCol w:w="1379"/>
      </w:tblGrid>
      <w:tr>
        <w:trPr>
          <w:trHeight w:val="45" w:hRule="atLeast"/>
        </w:trPr>
        <w:tc>
          <w:tcPr>
            <w:tcW w:w="2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6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专业进阶模块I</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视听广告创作</w:t>
            </w:r>
            <w:r>
              <w:br/>
            </w:r>
            <w:r>
              <w:br/>
            </w:r>
            <w:r>
              <w:rPr>
                <w:rFonts w:ascii="SimSun" w:hAnsi="SimSun"/>
                <w:b w:val="false"/>
                <w:i w:val="false"/>
                <w:color w:val="000000"/>
                <w:sz w:val="21"/>
              </w:rPr>
              <w:t>Audiovisual Advertising Producing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美术与插画工作室</w:t>
            </w:r>
            <w:r>
              <w:br/>
            </w:r>
            <w:r>
              <w:br/>
            </w:r>
            <w:r>
              <w:rPr>
                <w:rFonts w:ascii="SimSun" w:hAnsi="SimSun"/>
                <w:b w:val="false"/>
                <w:i w:val="false"/>
                <w:color w:val="000000"/>
                <w:sz w:val="21"/>
              </w:rPr>
              <w:t>Sketch and Illustration Studio</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商业摄影</w:t>
            </w:r>
            <w:r>
              <w:br/>
            </w:r>
            <w:r>
              <w:br/>
            </w:r>
            <w:r>
              <w:rPr>
                <w:rFonts w:ascii="SimSun" w:hAnsi="SimSun"/>
                <w:b w:val="false"/>
                <w:i w:val="false"/>
                <w:color w:val="000000"/>
                <w:sz w:val="21"/>
              </w:rPr>
              <w:t>Commercial Photography</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促销、宣传与表现</w:t>
            </w:r>
            <w:r>
              <w:br/>
            </w:r>
            <w:r>
              <w:br/>
            </w:r>
            <w:r>
              <w:rPr>
                <w:rFonts w:ascii="SimSun" w:hAnsi="SimSun"/>
                <w:b w:val="false"/>
                <w:i w:val="false"/>
                <w:color w:val="000000"/>
                <w:sz w:val="21"/>
              </w:rPr>
              <w:t>Promotion、Propaganda and Expression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智慧传播与人机交互智能</w:t>
            </w:r>
            <w:r>
              <w:br/>
            </w:r>
            <w:r>
              <w:br/>
            </w:r>
            <w:r>
              <w:rPr>
                <w:rFonts w:ascii="SimSun" w:hAnsi="SimSun"/>
                <w:b w:val="false"/>
                <w:i w:val="false"/>
                <w:color w:val="000000"/>
                <w:sz w:val="21"/>
              </w:rPr>
              <w:t>Smart Communication and Human-Computer Interactive Intelligence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MJC70008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限定选修 </w:t>
            </w: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品牌创新策略</w:t>
            </w:r>
            <w:r>
              <w:br/>
            </w:r>
            <w:r>
              <w:br/>
            </w:r>
            <w:r>
              <w:rPr>
                <w:rFonts w:ascii="SimSun" w:hAnsi="SimSun"/>
                <w:b w:val="false"/>
                <w:i w:val="false"/>
                <w:color w:val="000000"/>
                <w:sz w:val="21"/>
              </w:rPr>
              <w:t>Brand Innovation Strategy</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MJC70004</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限定选修 </w:t>
            </w: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社会责任与公共事务沟通</w:t>
            </w:r>
            <w:r>
              <w:br/>
            </w:r>
            <w:r>
              <w:br/>
            </w:r>
            <w:r>
              <w:rPr>
                <w:rFonts w:ascii="SimSun" w:hAnsi="SimSun"/>
                <w:b w:val="false"/>
                <w:i w:val="false"/>
                <w:color w:val="000000"/>
                <w:sz w:val="21"/>
              </w:rPr>
              <w:t>Strategic Communication for Social Responsibility and Public Affairs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MJC70009</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限定选修 </w:t>
            </w: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洞察与创新</w:t>
            </w:r>
            <w:r>
              <w:br/>
            </w:r>
            <w:r>
              <w:br/>
            </w:r>
            <w:r>
              <w:rPr>
                <w:rFonts w:ascii="SimSun" w:hAnsi="SimSun"/>
                <w:b w:val="false"/>
                <w:i w:val="false"/>
                <w:color w:val="000000"/>
                <w:sz w:val="21"/>
              </w:rPr>
              <w:t>Insight and Innovation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MJC70007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国际广告前沿</w:t>
            </w:r>
            <w:r>
              <w:br/>
            </w:r>
            <w:r>
              <w:br/>
            </w:r>
            <w:r>
              <w:rPr>
                <w:rFonts w:ascii="SimSun" w:hAnsi="SimSun"/>
                <w:b w:val="false"/>
                <w:i w:val="false"/>
                <w:color w:val="000000"/>
                <w:sz w:val="21"/>
              </w:rPr>
              <w:t>International Advertising Frontiers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数字营销</w:t>
            </w:r>
            <w:r>
              <w:br/>
            </w:r>
            <w:r>
              <w:br/>
            </w:r>
            <w:r>
              <w:rPr>
                <w:rFonts w:ascii="SimSun" w:hAnsi="SimSun"/>
                <w:b w:val="false"/>
                <w:i w:val="false"/>
                <w:color w:val="000000"/>
                <w:sz w:val="21"/>
              </w:rPr>
              <w:t>Digital Marketing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MJC70025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全球媒介数据观察</w:t>
            </w:r>
            <w:r>
              <w:br/>
            </w:r>
            <w:r>
              <w:br/>
            </w:r>
            <w:r>
              <w:rPr>
                <w:rFonts w:ascii="SimSun" w:hAnsi="SimSun"/>
                <w:b w:val="false"/>
                <w:i w:val="false"/>
                <w:color w:val="000000"/>
                <w:sz w:val="21"/>
              </w:rPr>
              <w:t>Global Media Data Observation</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MJC60001</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（17学分,本科要求9学分）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整合营销传播</w:t>
            </w:r>
            <w:r>
              <w:br/>
            </w:r>
            <w:r>
              <w:br/>
            </w:r>
            <w:r>
              <w:rPr>
                <w:rFonts w:ascii="SimSun" w:hAnsi="SimSun"/>
                <w:b w:val="false"/>
                <w:i w:val="false"/>
                <w:color w:val="000000"/>
                <w:sz w:val="21"/>
              </w:rPr>
              <w:t>Integrated Marketing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商业文明史</w:t>
            </w:r>
            <w:r>
              <w:br/>
            </w:r>
            <w:r>
              <w:br/>
            </w:r>
            <w:r>
              <w:rPr>
                <w:rFonts w:ascii="SimSun" w:hAnsi="SimSun"/>
                <w:b w:val="false"/>
                <w:i w:val="false"/>
                <w:color w:val="000000"/>
                <w:sz w:val="21"/>
              </w:rPr>
              <w:t>History of Business Civilization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商业、传播与社会</w:t>
            </w:r>
            <w:r>
              <w:br/>
            </w:r>
            <w:r>
              <w:br/>
            </w:r>
            <w:r>
              <w:rPr>
                <w:rFonts w:ascii="SimSun" w:hAnsi="SimSun"/>
                <w:b w:val="false"/>
                <w:i w:val="false"/>
                <w:color w:val="000000"/>
                <w:sz w:val="21"/>
              </w:rPr>
              <w:t>Business, Communication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广告文化研究</w:t>
            </w:r>
            <w:r>
              <w:br/>
            </w:r>
            <w:r>
              <w:br/>
            </w:r>
            <w:r>
              <w:rPr>
                <w:rFonts w:ascii="SimSun" w:hAnsi="SimSun"/>
                <w:b w:val="false"/>
                <w:i w:val="false"/>
                <w:color w:val="000000"/>
                <w:sz w:val="21"/>
              </w:rPr>
              <w:t>Research on Advertising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青年文化与品牌传播</w:t>
            </w:r>
            <w:r>
              <w:br/>
            </w:r>
            <w:r>
              <w:br/>
            </w:r>
            <w:r>
              <w:rPr>
                <w:rFonts w:ascii="SimSun" w:hAnsi="SimSun"/>
                <w:b w:val="false"/>
                <w:i w:val="false"/>
                <w:color w:val="000000"/>
                <w:sz w:val="21"/>
              </w:rPr>
              <w:t>Youth Culture and Brand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商业法律</w:t>
            </w:r>
            <w:r>
              <w:br/>
            </w:r>
            <w:r>
              <w:br/>
            </w:r>
            <w:r>
              <w:rPr>
                <w:rFonts w:ascii="SimSun" w:hAnsi="SimSun"/>
                <w:b w:val="false"/>
                <w:i w:val="false"/>
                <w:color w:val="000000"/>
                <w:sz w:val="21"/>
              </w:rPr>
              <w:t>Business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企业责任与全球可持续发展</w:t>
            </w:r>
            <w:r>
              <w:br/>
            </w:r>
            <w:r>
              <w:br/>
            </w:r>
            <w:r>
              <w:rPr>
                <w:rFonts w:ascii="SimSun" w:hAnsi="SimSun"/>
                <w:b w:val="false"/>
                <w:i w:val="false"/>
                <w:color w:val="000000"/>
                <w:sz w:val="21"/>
              </w:rPr>
              <w:t>Corporate Social Responsibility Communication and Global Sustainable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海派商业文化专题研究</w:t>
            </w:r>
            <w:r>
              <w:br/>
            </w:r>
            <w:r>
              <w:br/>
            </w:r>
            <w:r>
              <w:rPr>
                <w:rFonts w:ascii="SimSun" w:hAnsi="SimSun"/>
                <w:b w:val="false"/>
                <w:i w:val="false"/>
                <w:color w:val="000000"/>
                <w:sz w:val="21"/>
              </w:rPr>
              <w:t>Shanghai Business Culture Research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战略传播专题研究</w:t>
            </w:r>
            <w:r>
              <w:br/>
            </w:r>
            <w:r>
              <w:br/>
            </w:r>
            <w:r>
              <w:rPr>
                <w:rFonts w:ascii="SimSun" w:hAnsi="SimSun"/>
                <w:b w:val="false"/>
                <w:i w:val="false"/>
                <w:color w:val="000000"/>
                <w:sz w:val="21"/>
              </w:rPr>
              <w:t>Special Topics on Strategic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限定选修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战略传播前沿讲座</w:t>
            </w:r>
            <w:r>
              <w:br/>
            </w:r>
            <w:r>
              <w:br/>
            </w:r>
            <w:r>
              <w:rPr>
                <w:rFonts w:ascii="SimSun" w:hAnsi="SimSun"/>
                <w:b w:val="false"/>
                <w:i w:val="false"/>
                <w:color w:val="000000"/>
                <w:sz w:val="21"/>
              </w:rPr>
              <w:t>Lectures on Strategic Communication Frontiers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限定选修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组织传播与组织变革</w:t>
            </w:r>
            <w:r>
              <w:br/>
            </w:r>
            <w:r>
              <w:br/>
            </w:r>
            <w:r>
              <w:rPr>
                <w:rFonts w:ascii="SimSun" w:hAnsi="SimSun"/>
                <w:b w:val="false"/>
                <w:i w:val="false"/>
                <w:color w:val="000000"/>
                <w:sz w:val="21"/>
              </w:rPr>
              <w:t>Organizational Communication and Organization Change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限定选修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公共关系专题</w:t>
            </w:r>
            <w:r>
              <w:br/>
            </w:r>
            <w:r>
              <w:br/>
            </w:r>
            <w:r>
              <w:rPr>
                <w:rFonts w:ascii="SimSun" w:hAnsi="SimSun"/>
                <w:b w:val="false"/>
                <w:i w:val="false"/>
                <w:color w:val="000000"/>
                <w:sz w:val="21"/>
              </w:rPr>
              <w:t>Monographic Study on Public Relations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限定选修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专业英语（商务英语）</w:t>
            </w:r>
            <w:r>
              <w:br/>
            </w:r>
            <w:r>
              <w:br/>
            </w:r>
            <w:r>
              <w:rPr>
                <w:rFonts w:ascii="SimSun" w:hAnsi="SimSun"/>
                <w:b w:val="false"/>
                <w:i w:val="false"/>
                <w:color w:val="000000"/>
                <w:sz w:val="21"/>
              </w:rPr>
              <w:t>Academic English for Business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MJC50002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公司财务概论</w:t>
            </w:r>
            <w:r>
              <w:br/>
            </w:r>
            <w:r>
              <w:br/>
            </w:r>
            <w:r>
              <w:rPr>
                <w:rFonts w:ascii="SimSun" w:hAnsi="SimSun"/>
                <w:b w:val="false"/>
                <w:i w:val="false"/>
                <w:color w:val="000000"/>
                <w:sz w:val="21"/>
              </w:rPr>
              <w:t>Fundamentals of Corporate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MJC70012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要求修读荣誉课程不低于24学分，且满足专业进阶模块I修读17学分（研究生课程不少于6学分）、专业进阶模块II修读17学分（研究生课程不少于8学分）。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49学分。要求在本专业专业进阶模块I修读17学分（研究生课程不少于6学分）、专业进阶模块II修读17学分（研究生课程不少于8学分）、1个非本专业独立开设的学程(微专业)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公益传播工作坊</w:t>
            </w:r>
            <w:r>
              <w:br/>
            </w:r>
            <w:r>
              <w:br/>
            </w:r>
            <w:r>
              <w:rPr>
                <w:rFonts w:ascii="SimSun" w:hAnsi="SimSun"/>
                <w:b w:val="false"/>
                <w:i w:val="false"/>
                <w:color w:val="000000"/>
                <w:sz w:val="21"/>
              </w:rPr>
              <w:t>Public Welfare Communication Worksho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商业传播工作坊</w:t>
            </w:r>
            <w:r>
              <w:br/>
            </w:r>
            <w:r>
              <w:br/>
            </w:r>
            <w:r>
              <w:rPr>
                <w:rFonts w:ascii="SimSun" w:hAnsi="SimSun"/>
                <w:b w:val="false"/>
                <w:i w:val="false"/>
                <w:color w:val="000000"/>
                <w:sz w:val="21"/>
              </w:rPr>
              <w:t>Business Communication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研究生学段必须完成必要的专业实习、社会实践、社会调查、创新创业比赛等。</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按照《复旦大学新闻学院关于专业学位研究生学位论文开题环节的实施细则》执行。</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abstractNum w:abstractNumId="3">
    <w:multiLevelType w:val="multilevel"/>
    <w:lvl w:ilvl="0">
      <w:start w:val="1"/>
      <w:numFmt w:val="decimal"/>
      <w:lvlText w:val="%1"/>
      <w:lvlJc w:val="left"/>
      <w:pPr>
        <w:ind w:left="960" w:hanging="360"/>
      </w:pPr>
    </w:lvl>
  </w:abstractNum>
  <w:num w:numId="1">
    <w:abstractNumId w:val="1"/>
  </w:num>
  <w:num w:numId="2">
    <w:abstractNumId w:val="2"/>
  </w:num>
  <w:num w:numId="3">
    <w:abstractNumId w:val="3"/>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