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2025英语-计算机科学与技术双学士学位项目培养方案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本双学士学位项目所依托的两个专业（即“英语”以及“计算机科学与技术”专业），均为国家级一流本科专业。近年来，复旦大学英文系和计算机科学技术学院一直保持跨学科学术合作，并在大语言模型与二语习得、深度学习与机器翻译等领域取得了系列研究成果。英文系已有多位本科毕业生进入计算机领域继续学习深造，并在自然语言处理竞赛中获得优异成绩。同时，计算机科学技术学院也不断吸纳文科优秀学生至计算机领域攻读研究生。在此基础上，本双学士学位项目旨在深化文理交叉，探索更系统、更持久的跨学科培养路径。</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对接国家“新文科”“新工科”建设的需求，旨在培养德智体美劳全面发展，具有扎实语言功底、良好人文素养、宽阔国际视野，培养通晓语言学和文学核心理论、兼具计算机科学跨学科背景、符合国家建设和社会发展所需要的复合型拔尖创新人才。</w:t>
      </w:r>
      <w:r>
        <w:br/>
      </w:r>
      <w:r>
        <w:br/>
      </w:r>
      <w:r>
        <w:rPr>
          <w:rFonts w:ascii="SimSun" w:hAnsi="SimSun"/>
          <w:b w:val="false"/>
          <w:i w:val="false"/>
          <w:color w:val="000000"/>
          <w:sz w:val="21"/>
        </w:rPr>
        <w:t xml:space="preserve">    要求学生掌握语言学和文学基础知识；具有较强的跨文化交际能力；具有扎实的英语语言基础和较熟练的听、说、读、写、译能力；具有第二外国语的一定的实际应用能力；具有良好的汉语表达能力和基本调研能力；具有扎实的计算机软、硬件基本理论、基本知识和基本实践技能；具有能够将数字工具和理论运用到语言信息处理、人工智能开发、数字人文研究等跨学科领域的创新意识和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793067"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93067" cy="1574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2.学位授予说明：</w:t>
      </w:r>
    </w:p>
    <w:p>
      <w:pPr>
        <w:spacing w:after="0"/>
        <w:ind w:left="0"/>
        <w:jc w:val="left"/>
      </w:pPr>
      <w:r>
        <w:drawing>
          <wp:inline distT="0" distB="0" distL="0" distR="0">
            <wp:extent cx="3793067" cy="1168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168400"/>
                    </a:xfrm>
                    <a:prstGeom prst="rect">
                      <a:avLst/>
                    </a:prstGeom>
                  </pic:spPr>
                </pic:pic>
              </a:graphicData>
            </a:graphic>
          </wp:inline>
        </w:drawing>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539067"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39067" cy="1574800"/>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专业进阶路径：166学分</w:t>
      </w:r>
    </w:p>
    <w:p>
      <w:pPr>
        <w:spacing w:after="0"/>
        <w:ind w:left="0"/>
        <w:jc w:val="left"/>
      </w:pPr>
      <w:r>
        <w:rPr>
          <w:rFonts w:ascii="SimSun" w:hAnsi="SimSun"/>
          <w:b w:val="false"/>
          <w:i w:val="false"/>
          <w:color w:val="000000"/>
          <w:sz w:val="21"/>
        </w:rPr>
        <w:t xml:space="preserve">    本路径学生需要完成166学分（含实践学分不低于26学分；含美育学分不少于2学分，其中至少在“美学和艺术史论类”或“艺术鉴赏和评论类”课程中修读1学分，并至少参与一项艺术实践活动；劳动教育不少于32学时，并满足劳动周教育要求），包括通识教育课程37学分、专业培养课程105学分、专业进阶课程18分、融合创新能力模块6学分。</w:t>
      </w:r>
    </w:p>
    <w:p>
      <w:pPr>
        <w:spacing w:after="0"/>
        <w:ind w:left="0"/>
        <w:jc w:val="left"/>
      </w:pPr>
      <w:r>
        <w:rPr>
          <w:rFonts w:ascii="SimSun" w:hAnsi="SimSun"/>
          <w:b w:val="false"/>
          <w:i w:val="false"/>
          <w:color w:val="000000"/>
          <w:sz w:val="21"/>
        </w:rPr>
        <w:t>2、 本科荣誉项目：166学分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在专业进阶路径基础上，修读荣誉课程不少于6门课。荣誉项目课程设置和修读要求请见英语专业“本科荣誉项目”实施方案。下载地址：https://jwc.fudan.edu.cn/（复旦大学教务处）专业培养-常用文档。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4年级结束时，如达到学士学位要求者授予文学、理学学士学位。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（3）在此基础上，达到英语专业“本科荣誉证书”获得条件的授予“本科荣誉证书”，具体要求请见英语专业“本科荣誉项目”实施方案。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p>
    <w:p>
      <w:pPr>
        <w:spacing w:after="0"/>
        <w:ind w:left="0"/>
        <w:jc w:val="left"/>
      </w:pPr>
      <w:r>
        <w:drawing>
          <wp:inline distT="0" distB="0" distL="0" distR="0">
            <wp:extent cx="3793067"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93067" cy="17102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覆盖英语语言综合能力训练、语言学研究、文学文化知识以及计算机科学技术知识及素养培育的课程为基础建立了英语+计算机科学与技术双学位核心课程体系，以研究领域为横、课程内容梯度为纵建立了难度逐级提升的本研融通的专业进阶课程体系，其中包含由两个依托专业的教师联合开设的“面向语言信息处理的语言逻辑理论”“自然语言处理与二语习得”等融合课程，为学生提供丰富的实践机会，全面提升学生的综合素质和竞争力。</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 xml:space="preserve">    鼓励并指导学生参与各类英语语言文化能力竞赛，引导学生进入系内教师课题组轮转，培育科研兴趣。通过复芏计划等项目引导学生在“做中学、学中悟、悟中创”，激发创新志趣。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双学位专业所属两个院系开设的课程），大学生国家安全教育1学 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要求修读9学分（除大学英语类课程、人工智能教学专项课程），具体请参见专项教育课程列表。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23学分。学生应在大类基础课程中的人文类必修课程中修满6学分（课程为“中国文学经典”“中国古代文明”）。在技术科学类基础课程中修满17学分（课程为“高等数学A（上）”“高等数学A（下）”“线性代数”“程序设计”）。大类课程应在一二年级修完。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（82学分）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要求修读82学分（部分课程学分可用荣誉课程学分替换）。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英语精读（上）</w:t>
            </w:r>
            <w:r>
              <w:br/>
            </w:r>
            <w:r>
              <w:br/>
            </w:r>
            <w:r>
              <w:rPr>
                <w:rFonts w:ascii="SimSun" w:hAnsi="SimSun"/>
                <w:b w:val="false"/>
                <w:i w:val="false"/>
                <w:color w:val="000000"/>
                <w:sz w:val="21"/>
              </w:rPr>
              <w:t>Intensive English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英语写作（上）</w:t>
            </w:r>
            <w:r>
              <w:br/>
            </w:r>
            <w:r>
              <w:br/>
            </w:r>
            <w:r>
              <w:rPr>
                <w:rFonts w:ascii="SimSun" w:hAnsi="SimSun"/>
                <w:b w:val="false"/>
                <w:i w:val="false"/>
                <w:color w:val="000000"/>
                <w:sz w:val="21"/>
              </w:rPr>
              <w:t>English Writing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FORE10046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英语演讲</w:t>
            </w:r>
            <w:r>
              <w:br/>
            </w:r>
            <w:r>
              <w:br/>
            </w:r>
            <w:r>
              <w:rPr>
                <w:rFonts w:ascii="SimSun" w:hAnsi="SimSun"/>
                <w:b w:val="false"/>
                <w:i w:val="false"/>
                <w:color w:val="000000"/>
                <w:sz w:val="21"/>
              </w:rPr>
              <w:t>Public Speaking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英语精读（下）</w:t>
            </w:r>
            <w:r>
              <w:br/>
            </w:r>
            <w:r>
              <w:br/>
            </w:r>
            <w:r>
              <w:rPr>
                <w:rFonts w:ascii="SimSun" w:hAnsi="SimSun"/>
                <w:b w:val="false"/>
                <w:i w:val="false"/>
                <w:color w:val="000000"/>
                <w:sz w:val="21"/>
              </w:rPr>
              <w:t>Intensive English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英语写作（下）</w:t>
            </w:r>
            <w:r>
              <w:br/>
            </w:r>
            <w:r>
              <w:br/>
            </w:r>
            <w:r>
              <w:rPr>
                <w:rFonts w:ascii="SimSun" w:hAnsi="SimSun"/>
                <w:b w:val="false"/>
                <w:i w:val="false"/>
                <w:color w:val="000000"/>
                <w:sz w:val="21"/>
              </w:rPr>
              <w:t>English Writing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FORE10047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翻译理论基础</w:t>
            </w:r>
            <w:r>
              <w:br/>
            </w:r>
            <w:r>
              <w:br/>
            </w:r>
            <w:r>
              <w:rPr>
                <w:rFonts w:ascii="SimSun" w:hAnsi="SimSun"/>
                <w:b w:val="false"/>
                <w:i w:val="false"/>
                <w:color w:val="000000"/>
                <w:sz w:val="21"/>
              </w:rPr>
              <w:t>Theoretical Foundations for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跨文化交际</w:t>
            </w:r>
            <w:r>
              <w:br/>
            </w:r>
            <w:r>
              <w:br/>
            </w:r>
            <w:r>
              <w:rPr>
                <w:rFonts w:ascii="SimSun" w:hAnsi="SimSun"/>
                <w:b w:val="false"/>
                <w:i w:val="false"/>
                <w:color w:val="000000"/>
                <w:sz w:val="21"/>
              </w:rPr>
              <w:t>Cross-cultural Communication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口译理论与实践</w:t>
            </w:r>
            <w:r>
              <w:br/>
            </w:r>
            <w:r>
              <w:br/>
            </w:r>
            <w:r>
              <w:rPr>
                <w:rFonts w:ascii="SimSun" w:hAnsi="SimSun"/>
                <w:b w:val="false"/>
                <w:i w:val="false"/>
                <w:color w:val="000000"/>
                <w:sz w:val="21"/>
              </w:rPr>
              <w:t>Interpretation Theory and Practice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（54学分）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w:t>
            </w:r>
            <w:r>
              <w:br/>
            </w:r>
            <w:r>
              <w:br/>
            </w:r>
            <w:r>
              <w:rPr>
                <w:rFonts w:ascii="SimSun" w:hAnsi="SimSun"/>
                <w:b w:val="false"/>
                <w:i w:val="false"/>
                <w:color w:val="000000"/>
                <w:sz w:val="21"/>
              </w:rPr>
              <w:t>Introduction to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FORE10048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w:t>
            </w:r>
            <w:r>
              <w:br/>
            </w:r>
            <w:r>
              <w:br/>
            </w:r>
            <w:r>
              <w:rPr>
                <w:rFonts w:ascii="SimSun" w:hAnsi="SimSun"/>
                <w:b w:val="false"/>
                <w:i w:val="false"/>
                <w:color w:val="000000"/>
                <w:sz w:val="21"/>
              </w:rPr>
              <w:t>History of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英语语言史</w:t>
            </w:r>
            <w:r>
              <w:br/>
            </w:r>
            <w:r>
              <w:br/>
            </w:r>
            <w:r>
              <w:rPr>
                <w:rFonts w:ascii="SimSun" w:hAnsi="SimSun"/>
                <w:b w:val="false"/>
                <w:i w:val="false"/>
                <w:color w:val="000000"/>
                <w:sz w:val="21"/>
              </w:rPr>
              <w:t>History of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美国文学史</w:t>
            </w:r>
            <w:r>
              <w:br/>
            </w:r>
            <w:r>
              <w:br/>
            </w:r>
            <w:r>
              <w:rPr>
                <w:rFonts w:ascii="SimSun" w:hAnsi="SimSun"/>
                <w:b w:val="false"/>
                <w:i w:val="false"/>
                <w:color w:val="000000"/>
                <w:sz w:val="21"/>
              </w:rPr>
              <w:t>History of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数字逻辑与部件设计</w:t>
            </w:r>
            <w:r>
              <w:br/>
            </w:r>
            <w:r>
              <w:br/>
            </w:r>
            <w:r>
              <w:rPr>
                <w:rFonts w:ascii="SimSun" w:hAnsi="SimSun"/>
                <w:b w:val="false"/>
                <w:i w:val="false"/>
                <w:color w:val="000000"/>
                <w:sz w:val="21"/>
              </w:rPr>
              <w:t>Digital Logic and Component Design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自然语言处理与语言习得</w:t>
            </w:r>
            <w:r>
              <w:br/>
            </w:r>
            <w:r>
              <w:br/>
            </w:r>
            <w:r>
              <w:rPr>
                <w:rFonts w:ascii="SimSun" w:hAnsi="SimSun"/>
                <w:b w:val="false"/>
                <w:i w:val="false"/>
                <w:color w:val="000000"/>
                <w:sz w:val="21"/>
              </w:rPr>
              <w:t>Natural Language Processing and Language Acquisition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面向语言信息处理的语言逻辑理论</w:t>
            </w:r>
            <w:r>
              <w:br/>
            </w:r>
            <w:r>
              <w:br/>
            </w:r>
            <w:r>
              <w:rPr>
                <w:rFonts w:ascii="SimSun" w:hAnsi="SimSun"/>
                <w:b w:val="false"/>
                <w:i w:val="false"/>
                <w:color w:val="000000"/>
                <w:sz w:val="21"/>
              </w:rPr>
              <w:t>Natural Language Logic and Natural Language Processing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面向语言信息处理的句法理论</w:t>
            </w:r>
            <w:r>
              <w:br/>
            </w:r>
            <w:r>
              <w:br/>
            </w:r>
            <w:r>
              <w:rPr>
                <w:rFonts w:ascii="SimSun" w:hAnsi="SimSun"/>
                <w:b w:val="false"/>
                <w:i w:val="false"/>
                <w:color w:val="000000"/>
                <w:sz w:val="21"/>
              </w:rPr>
              <w:t>Natural Language Syntax and Natural Language Processing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第二外语课程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日语组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第二外语(日语)(上)</w:t>
            </w:r>
            <w:r>
              <w:br/>
            </w:r>
            <w:r>
              <w:br/>
            </w:r>
            <w:r>
              <w:rPr>
                <w:rFonts w:ascii="SimSun" w:hAnsi="SimSun"/>
                <w:b w:val="false"/>
                <w:i w:val="false"/>
                <w:color w:val="000000"/>
                <w:sz w:val="21"/>
              </w:rPr>
              <w:t>Japanese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第二外语(日语)(下)</w:t>
            </w:r>
            <w:r>
              <w:br/>
            </w:r>
            <w:r>
              <w:br/>
            </w:r>
            <w:r>
              <w:rPr>
                <w:rFonts w:ascii="SimSun" w:hAnsi="SimSun"/>
                <w:b w:val="false"/>
                <w:i w:val="false"/>
                <w:color w:val="000000"/>
                <w:sz w:val="21"/>
              </w:rPr>
              <w:t>Japanese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法语组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第二外语(法语)(上)</w:t>
            </w:r>
            <w:r>
              <w:br/>
            </w:r>
            <w:r>
              <w:br/>
            </w:r>
            <w:r>
              <w:rPr>
                <w:rFonts w:ascii="SimSun" w:hAnsi="SimSun"/>
                <w:b w:val="false"/>
                <w:i w:val="false"/>
                <w:color w:val="000000"/>
                <w:sz w:val="21"/>
              </w:rPr>
              <w:t>French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第二外语(法语)(下)</w:t>
            </w:r>
            <w:r>
              <w:br/>
            </w:r>
            <w:r>
              <w:br/>
            </w:r>
            <w:r>
              <w:rPr>
                <w:rFonts w:ascii="SimSun" w:hAnsi="SimSun"/>
                <w:b w:val="false"/>
                <w:i w:val="false"/>
                <w:color w:val="000000"/>
                <w:sz w:val="21"/>
              </w:rPr>
              <w:t>French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德语组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第二外语(德语)(上)</w:t>
            </w:r>
            <w:r>
              <w:br/>
            </w:r>
            <w:r>
              <w:br/>
            </w:r>
            <w:r>
              <w:rPr>
                <w:rFonts w:ascii="SimSun" w:hAnsi="SimSun"/>
                <w:b w:val="false"/>
                <w:i w:val="false"/>
                <w:color w:val="000000"/>
                <w:sz w:val="21"/>
              </w:rPr>
              <w:t>German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第二外语(德语)(下)</w:t>
            </w:r>
            <w:r>
              <w:br/>
            </w:r>
            <w:r>
              <w:br/>
            </w:r>
            <w:r>
              <w:rPr>
                <w:rFonts w:ascii="SimSun" w:hAnsi="SimSun"/>
                <w:b w:val="false"/>
                <w:i w:val="false"/>
                <w:color w:val="000000"/>
                <w:sz w:val="21"/>
              </w:rPr>
              <w:t>German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FORE20016</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俄语组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第二外语(俄语)(上)</w:t>
            </w:r>
            <w:r>
              <w:br/>
            </w:r>
            <w:r>
              <w:br/>
            </w:r>
            <w:r>
              <w:rPr>
                <w:rFonts w:ascii="SimSun" w:hAnsi="SimSun"/>
                <w:b w:val="false"/>
                <w:i w:val="false"/>
                <w:color w:val="000000"/>
                <w:sz w:val="21"/>
              </w:rPr>
              <w:t>Russian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第二外语(俄语)(下)</w:t>
            </w:r>
            <w:r>
              <w:br/>
            </w:r>
            <w:r>
              <w:br/>
            </w:r>
            <w:r>
              <w:rPr>
                <w:rFonts w:ascii="SimSun" w:hAnsi="SimSun"/>
                <w:b w:val="false"/>
                <w:i w:val="false"/>
                <w:color w:val="000000"/>
                <w:sz w:val="21"/>
              </w:rPr>
              <w:t>Russian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西班牙语组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第二外语(西班牙语)(上)</w:t>
            </w:r>
            <w:r>
              <w:br/>
            </w:r>
            <w:r>
              <w:br/>
            </w:r>
            <w:r>
              <w:rPr>
                <w:rFonts w:ascii="SimSun" w:hAnsi="SimSun"/>
                <w:b w:val="false"/>
                <w:i w:val="false"/>
                <w:color w:val="000000"/>
                <w:sz w:val="21"/>
              </w:rPr>
              <w:t>Second Foreign Language (Spanish)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第二外语(西班牙语)(下)</w:t>
            </w:r>
            <w:r>
              <w:br/>
            </w:r>
            <w:r>
              <w:br/>
            </w:r>
            <w:r>
              <w:rPr>
                <w:rFonts w:ascii="SimSun" w:hAnsi="SimSun"/>
                <w:b w:val="false"/>
                <w:i w:val="false"/>
                <w:color w:val="000000"/>
                <w:sz w:val="21"/>
              </w:rPr>
              <w:t>Second Foreign Language (Spanish) Ⅱ</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修满18学分。其中A组课程为第一学位课程，修读8学分。B组为第二学位课程，修读10学分。专业进阶课程设置如下：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英语语音学</w:t>
            </w:r>
            <w:r>
              <w:br/>
            </w:r>
            <w:r>
              <w:br/>
            </w:r>
            <w:r>
              <w:rPr>
                <w:rFonts w:ascii="SimSun" w:hAnsi="SimSun"/>
                <w:b w:val="false"/>
                <w:i w:val="false"/>
                <w:color w:val="000000"/>
                <w:sz w:val="21"/>
              </w:rPr>
              <w:t>Introduction to English Phonetics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英语词典学导论</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跨语言语法比较</w:t>
            </w:r>
            <w:r>
              <w:br/>
            </w:r>
            <w:r>
              <w:br/>
            </w:r>
            <w:r>
              <w:rPr>
                <w:rFonts w:ascii="SimSun" w:hAnsi="SimSun"/>
                <w:b w:val="false"/>
                <w:i w:val="false"/>
                <w:color w:val="000000"/>
                <w:sz w:val="21"/>
              </w:rPr>
              <w:t>Grammar in a Cross-Linguistic Perspective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语言与社会</w:t>
            </w:r>
            <w:r>
              <w:br/>
            </w:r>
            <w:r>
              <w:br/>
            </w:r>
            <w:r>
              <w:rPr>
                <w:rFonts w:ascii="SimSun" w:hAnsi="SimSun"/>
                <w:b w:val="false"/>
                <w:i w:val="false"/>
                <w:color w:val="000000"/>
                <w:sz w:val="21"/>
              </w:rPr>
              <w:t>Language and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文学研究方法论</w:t>
            </w:r>
            <w:r>
              <w:br/>
            </w:r>
            <w:r>
              <w:br/>
            </w:r>
            <w:r>
              <w:rPr>
                <w:rFonts w:ascii="SimSun" w:hAnsi="SimSun"/>
                <w:b w:val="false"/>
                <w:i w:val="false"/>
                <w:color w:val="000000"/>
                <w:sz w:val="21"/>
              </w:rPr>
              <w:t>Approaches to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数字人文导论</w:t>
            </w:r>
            <w:r>
              <w:br/>
            </w:r>
            <w:r>
              <w:br/>
            </w:r>
            <w:r>
              <w:rPr>
                <w:rFonts w:ascii="SimSun" w:hAnsi="SimSun"/>
                <w:b w:val="false"/>
                <w:i w:val="false"/>
                <w:color w:val="000000"/>
                <w:sz w:val="21"/>
              </w:rPr>
              <w:t>Digital Humanities: An Introduction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话语分析</w:t>
            </w:r>
            <w:r>
              <w:br/>
            </w:r>
            <w:r>
              <w:br/>
            </w:r>
            <w:r>
              <w:rPr>
                <w:rFonts w:ascii="SimSun" w:hAnsi="SimSun"/>
                <w:b w:val="false"/>
                <w:i w:val="false"/>
                <w:color w:val="000000"/>
                <w:sz w:val="21"/>
              </w:rPr>
              <w:t>Doing Discourse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语言心理学</w:t>
            </w:r>
            <w:r>
              <w:br/>
            </w:r>
            <w:r>
              <w:br/>
            </w:r>
            <w:r>
              <w:rPr>
                <w:rFonts w:ascii="SimSun" w:hAnsi="SimSun"/>
                <w:b w:val="false"/>
                <w:i w:val="false"/>
                <w:color w:val="000000"/>
                <w:sz w:val="21"/>
              </w:rPr>
              <w:t>The Psychology of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语言与教育</w:t>
            </w:r>
            <w:r>
              <w:br/>
            </w:r>
            <w:r>
              <w:br/>
            </w:r>
            <w:r>
              <w:rPr>
                <w:rFonts w:ascii="SimSun" w:hAnsi="SimSun"/>
                <w:b w:val="false"/>
                <w:i w:val="false"/>
                <w:color w:val="000000"/>
                <w:sz w:val="21"/>
              </w:rPr>
              <w:t>Language and Education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智能写作评估系统的设计与应用</w:t>
            </w:r>
            <w:r>
              <w:br/>
            </w:r>
            <w:r>
              <w:br/>
            </w:r>
            <w:r>
              <w:rPr>
                <w:rFonts w:ascii="SimSun" w:hAnsi="SimSun"/>
                <w:b w:val="false"/>
                <w:i w:val="false"/>
                <w:color w:val="000000"/>
                <w:sz w:val="21"/>
              </w:rPr>
              <w:t>Intelligent Writing Evaluation System: From Design to Application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云计算与虚拟化技术</w:t>
            </w:r>
            <w:r>
              <w:br/>
            </w:r>
            <w:r>
              <w:br/>
            </w:r>
            <w:r>
              <w:rPr>
                <w:rFonts w:ascii="SimSun" w:hAnsi="SimSun"/>
                <w:b w:val="false"/>
                <w:i w:val="false"/>
                <w:color w:val="000000"/>
                <w:sz w:val="21"/>
              </w:rPr>
              <w:t>Cloud Computing and Virtualization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分布式系统</w:t>
            </w:r>
            <w:r>
              <w:br/>
            </w:r>
            <w:r>
              <w:br/>
            </w:r>
            <w:r>
              <w:rPr>
                <w:rFonts w:ascii="SimSun" w:hAnsi="SimSun"/>
                <w:b w:val="false"/>
                <w:i w:val="false"/>
                <w:color w:val="000000"/>
                <w:sz w:val="21"/>
              </w:rPr>
              <w:t>Distributed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计算机安全原理与实践</w:t>
            </w:r>
            <w:r>
              <w:br/>
            </w:r>
            <w:r>
              <w:br/>
            </w:r>
            <w:r>
              <w:rPr>
                <w:rFonts w:ascii="SimSun" w:hAnsi="SimSun"/>
                <w:b w:val="false"/>
                <w:i w:val="false"/>
                <w:color w:val="000000"/>
                <w:sz w:val="21"/>
              </w:rPr>
              <w:t>Computer Security Principle and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机器人学导论</w:t>
            </w:r>
            <w:r>
              <w:br/>
            </w:r>
            <w:r>
              <w:br/>
            </w:r>
            <w:r>
              <w:rPr>
                <w:rFonts w:ascii="SimSun" w:hAnsi="SimSun"/>
                <w:b w:val="false"/>
                <w:i w:val="false"/>
                <w:color w:val="000000"/>
                <w:sz w:val="21"/>
              </w:rPr>
              <w:t>Robotics Introduction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w:t>
            </w:r>
            <w:r>
              <w:br/>
            </w:r>
            <w:r>
              <w:br/>
            </w:r>
            <w:r>
              <w:rPr>
                <w:rFonts w:ascii="SimSun" w:hAnsi="SimSun"/>
                <w:b w:val="false"/>
                <w:i w:val="false"/>
                <w:color w:val="000000"/>
                <w:sz w:val="21"/>
              </w:rPr>
              <w:t>Reinforcement Learning</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CS70027</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英语基本功训练和文学基本素养培育的同时，积极申请复芏计划（FDUROP）项目（䇹政、望道、登辉和曦源），激发创新志趣。多渠道支持学生参加国内国际高水平学术交流，鼓励学生参加国内国际高水平创新竞赛（“21世纪杯”全国英语演讲比赛、“外教社杯”高校学生跨文化能力大赛、“外研社·国才杯”“理解当代中国”全国大学生外语能力大赛英语组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