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2025生物科学-生物学本博融通培养方案（相辉学堂适用）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本融通方案为生物科学专业（本科）-生物学一级学科（博士）（2025级相辉学堂适用）的本博融通培养方案。</w:t>
      </w:r>
      <w:r>
        <w:br/>
      </w:r>
      <w:r>
        <w:br/>
      </w:r>
      <w:r>
        <w:rPr>
          <w:rFonts w:ascii="SimSun" w:hAnsi="SimSun"/>
          <w:b w:val="false"/>
          <w:i w:val="false"/>
          <w:color w:val="000000"/>
          <w:sz w:val="21"/>
        </w:rPr>
        <w:t xml:space="preserve">    一级学科生物学（Biology）是研究生命现象和生命活动规律的自然科学。它以所有生物（包括动物、植物、微生物、病毒等）为研究对象，探索其结构、功能、生长、发育、起源、进化、遗传、分布以及与环境的相互作用和上述各项的基本原理和分子机制，以及整体生命系统的运行机制。核心目标为揭示生命的本质和规律，促进人类对健康、疾病、环境保护、资源利用等问题的解决，建设健康中国和绿色中国。生物学既是基础科学，也是应用科学，其发现深刻影响着医药、食品、农、林、牧、渔、园林、生态保护乃至伦理与社会发展。生物学是二十、二十一世纪发展最迅猛的科技领域之一，也是国际科技竞争的重要焦点。本学科为国家“双一流”重点建设学科生物学，教育部A+学科，24年软科中国最好学科排名学科第1。生物科学本科专业是生物学一级学科的本科专业之一。</w:t>
      </w:r>
      <w:r>
        <w:br/>
      </w:r>
      <w:r>
        <w:br/>
      </w:r>
      <w:r>
        <w:rPr>
          <w:rFonts w:ascii="SimSun" w:hAnsi="SimSun"/>
          <w:b w:val="false"/>
          <w:i w:val="false"/>
          <w:color w:val="000000"/>
          <w:sz w:val="21"/>
        </w:rPr>
        <w:t xml:space="preserve">    复旦大学生命科学学院是由中国遗传学奠基人谈家桢院士创立于1986年，作为国内首家生命科学学院，其渊源可追溯至1926年成立的生物系。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项，第三届全国高校教师教学创新大赛基础课程正高组一等奖1项等。生物科学国家级实验教学示范中心获“全国五一巾帼标兵岗”和“全国巾帼文明岗”。国家自然科学奖二等奖、全国创新争先奖等。五个国家级平台：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以及四个省部级平台，是国内顶尖、国际一流的生物学人才培养和科研高地。2025泰晤士高等教育生命科学学科排名全球39名（国内第三），25年QS生物科学学科排名全球46（国内第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干细胞式面向未来的创新型生物学领军人才。学生应具有良好的思想道德素质和科学的世界观，具有人文情怀，具备突出的科学素养与创新思维、开阔的国际视野和跨文化环境下的交流与合作能力，能够洞察并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690533"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90533" cy="2302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博资考前进行学业审核；
面试内容：学科基础和前沿知识掌握情况，已从事的科研活动及取得的科研成果介绍，以及下一步的科研计划。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2025"生物科学专业"培养方案 </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141.5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17.5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45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4562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专业进阶路径：165.5学分                                      </w:t>
      </w:r>
      <w:r>
        <w:br/>
      </w:r>
      <w:r>
        <w:br/>
      </w:r>
      <w:r>
        <w:rPr>
          <w:rFonts w:ascii="SimSun" w:hAnsi="SimSun"/>
          <w:b w:val="false"/>
          <w:i w:val="false"/>
          <w:color w:val="000000"/>
          <w:sz w:val="21"/>
        </w:rPr>
        <w:t xml:space="preserve">     本路径学生本博期间必须修满教学计划规定的165.5学分，包括通识教育课程44学分、专业培养课程53学分、专业进阶I修读15学分、本博融通进阶20学分（研究生课程不少于11学分）、融合创新能力培养模块33.5学分的修读。</w:t>
      </w:r>
      <w:r>
        <w:br/>
      </w:r>
      <w:r>
        <w:br/>
      </w:r>
      <w:r>
        <w:rPr>
          <w:rFonts w:ascii="SimSun" w:hAnsi="SimSun"/>
          <w:b w:val="false"/>
          <w:i w:val="false"/>
          <w:color w:val="000000"/>
          <w:sz w:val="21"/>
        </w:rPr>
        <w:t xml:space="preserve">      其中，本科学段须完成141.5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53学分、专业进阶模块修读17学分、融合创新能力培养29.5学分。                                     </w:t>
      </w:r>
      <w:r>
        <w:br/>
      </w:r>
      <w:r>
        <w:br/>
      </w:r>
      <w:r>
        <w:rPr>
          <w:rFonts w:ascii="SimSun" w:hAnsi="SimSun"/>
          <w:b w:val="false"/>
          <w:i w:val="false"/>
          <w:color w:val="000000"/>
          <w:sz w:val="21"/>
        </w:rPr>
        <w:t xml:space="preserve">2、    本科荣誉项目，总学分与修读荣誉课程具体情况相关"                                        </w:t>
      </w:r>
      <w:r>
        <w:br/>
      </w:r>
      <w:r>
        <w:br/>
      </w:r>
      <w:r>
        <w:rPr>
          <w:rFonts w:ascii="SimSun" w:hAnsi="SimSun"/>
          <w:b w:val="false"/>
          <w:i w:val="false"/>
          <w:color w:val="000000"/>
          <w:sz w:val="21"/>
        </w:rPr>
        <w:t xml:space="preserve">   在专业进阶路径基础上，修读荣誉课程不少于6门。荣誉项目课程设置和修读要求请见生命科学学院生物科学专业“荣誉项目”实施方案。下载地址：https://jwc.fudan.edu.cn/（复旦大学教务处）专业培养-常用文档。                                        </w:t>
      </w:r>
      <w:r>
        <w:br/>
      </w:r>
      <w:r>
        <w:br/>
      </w:r>
      <w:r>
        <w:rPr>
          <w:rFonts w:ascii="SimSun" w:hAnsi="SimSun"/>
          <w:b w:val="false"/>
          <w:i w:val="false"/>
          <w:color w:val="000000"/>
          <w:sz w:val="21"/>
        </w:rPr>
        <w:t xml:space="preserve">3、 跨学科发展路径：180.5学分                                        </w:t>
      </w:r>
      <w:r>
        <w:br/>
      </w:r>
      <w:r>
        <w:br/>
      </w:r>
      <w:r>
        <w:rPr>
          <w:rFonts w:ascii="SimSun" w:hAnsi="SimSun"/>
          <w:b w:val="false"/>
          <w:i w:val="false"/>
          <w:color w:val="000000"/>
          <w:sz w:val="21"/>
        </w:rPr>
        <w:t xml:space="preserve">   在专业进阶路径或荣誉项目基础上，修读1个非本专业独立开设的学程15学分（可在研究生学段修读），具体要求见教务处学程实施方案。                                        </w:t>
      </w:r>
      <w:r>
        <w:br/>
      </w:r>
      <w:r>
        <w:br/>
      </w:r>
      <w:r>
        <w:rPr>
          <w:rFonts w:ascii="SimSun" w:hAnsi="SimSun"/>
          <w:b w:val="false"/>
          <w:i w:val="false"/>
          <w:color w:val="000000"/>
          <w:sz w:val="21"/>
        </w:rPr>
        <w:t xml:space="preserve">4、博士/X+AI双学士学位项目：192.5学分                                        </w:t>
      </w:r>
      <w:r>
        <w:br/>
      </w:r>
      <w:r>
        <w:br/>
      </w:r>
      <w:r>
        <w:rPr>
          <w:rFonts w:ascii="SimSun" w:hAnsi="SimSun"/>
          <w:b w:val="false"/>
          <w:i w:val="false"/>
          <w:color w:val="000000"/>
          <w:sz w:val="21"/>
        </w:rPr>
        <w:t xml:space="preserve">    本路径学生本博期间必须修满教学计划规定的192.5学分，包括通识教育课程44学分、专业培养课程53学分、专业进阶I修读15学分、本博融通进阶10学分（研究生课程不少于8学分）、融合创新能力培养模块33.5学分的修读、AI专业核心课程37学分的修读。具体要求见生物科学-人工智能双学士学位项目培养方案。</w:t>
      </w:r>
      <w:r>
        <w:br/>
      </w:r>
      <w:r>
        <w:br/>
      </w:r>
      <w:r>
        <w:rPr>
          <w:rFonts w:ascii="SimSun" w:hAnsi="SimSun"/>
          <w:b w:val="false"/>
          <w:i w:val="false"/>
          <w:color w:val="000000"/>
          <w:sz w:val="21"/>
        </w:rPr>
        <w:t xml:space="preserve">    其中，本科学段需要完成160.5学分，包括通识教育课程42学分、专业培养课程53学分、融合创新能力29.5学分、人工智能专业核心教育课程37学分。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
       </w:t>
      </w:r>
    </w:p>
    <w:p>
      <w:pPr>
        <w:spacing w:after="0"/>
        <w:ind w:left="0"/>
        <w:jc w:val="left"/>
      </w:pPr>
    </w:p>
    <w:p>
      <w:pPr>
        <w:spacing w:after="0"/>
        <w:ind w:left="0"/>
        <w:jc w:val="left"/>
      </w:pPr>
      <w:r>
        <w:rPr>
          <w:rFonts w:ascii="SimSun" w:hAnsi="SimSun"/>
          <w:b w:val="false"/>
          <w:i w:val="false"/>
          <w:color w:val="000000"/>
          <w:sz w:val="21"/>
        </w:rPr>
        <w:t xml:space="preserve">
        1. 4年级结束时，如达到学士学位要求者授予理学学士学位。  
       </w:t>
      </w:r>
    </w:p>
    <w:p>
      <w:pPr>
        <w:spacing w:after="0"/>
        <w:ind w:left="0"/>
        <w:jc w:val="left"/>
      </w:pPr>
    </w:p>
    <w:p>
      <w:pPr>
        <w:spacing w:after="0"/>
        <w:ind w:left="0"/>
        <w:jc w:val="left"/>
      </w:pPr>
      <w:r>
        <w:rPr>
          <w:rFonts w:ascii="SimSun" w:hAnsi="SimSun"/>
          <w:b w:val="false"/>
          <w:i w:val="false"/>
          <w:color w:val="000000"/>
          <w:sz w:val="21"/>
        </w:rPr>
        <w:t xml:space="preserve">
        （1）本专业学生4年级结束时须满足通识教育课程（含通识教育核心课程和专项教育课程）42学分、专业培养课程53学分，融合创新能力培养模块课程29.5分（含本科毕业论文2分）和多元发展路径课程的修读要求，总学分不低于141.5学分（含实践学分不低于35.5学分，含美育学分不少于2学分，其中至少在“美学和艺术史论类”或“艺术鉴赏和评论类”课程中修读1学分，并至少参与一项艺术实践活动、劳动教育不少于32学时，并满足劳动周教育要求），达到学位要求者授予理学学士学位。
       </w:t>
      </w:r>
    </w:p>
    <w:p>
      <w:pPr>
        <w:spacing w:after="0"/>
        <w:ind w:left="0"/>
        <w:jc w:val="left"/>
      </w:pP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p>
    <w:p>
      <w:pPr>
        <w:spacing w:after="0"/>
        <w:ind w:left="0"/>
        <w:jc w:val="left"/>
      </w:pPr>
      <w:r>
        <w:rPr>
          <w:rFonts w:ascii="SimSun" w:hAnsi="SimSun"/>
          <w:b w:val="false"/>
          <w:i w:val="false"/>
          <w:color w:val="000000"/>
          <w:sz w:val="21"/>
        </w:rPr>
        <w:t xml:space="preserve">
        （3）在此基础上，达生物科学专业“荣誉证书”获得条件的授予“荣誉证书”，具体要求请见生物科学专业“荣誉项目”实施方案。
       </w:t>
      </w:r>
    </w:p>
    <w:p>
      <w:pPr>
        <w:spacing w:after="0"/>
        <w:ind w:left="0"/>
        <w:jc w:val="left"/>
      </w:pPr>
    </w:p>
    <w:p>
      <w:pPr>
        <w:spacing w:after="0"/>
        <w:ind w:left="0"/>
        <w:jc w:val="left"/>
      </w:pPr>
      <w:r>
        <w:rPr>
          <w:rFonts w:ascii="SimSun" w:hAnsi="SimSun"/>
          <w:b w:val="false"/>
          <w:i w:val="false"/>
          <w:color w:val="000000"/>
          <w:sz w:val="21"/>
        </w:rPr>
        <w:t xml:space="preserve">
        2. 博士+AI学士双学位项目，如达到生物科学-人工智能双学士学位要求者授予理学-工学双学士学位。
       </w:t>
      </w:r>
    </w:p>
    <w:p>
      <w:pPr>
        <w:spacing w:after="0"/>
        <w:ind w:left="0"/>
        <w:jc w:val="left"/>
      </w:pPr>
    </w:p>
    <w:p>
      <w:pPr>
        <w:spacing w:after="0"/>
        <w:ind w:left="0"/>
        <w:jc w:val="left"/>
      </w:pPr>
      <w:r>
        <w:rPr>
          <w:rFonts w:ascii="SimSun" w:hAnsi="SimSun"/>
          <w:b w:val="false"/>
          <w:i w:val="false"/>
          <w:color w:val="000000"/>
          <w:sz w:val="21"/>
        </w:rPr>
        <w:t xml:space="preserve">
        3. 本科学段主动退出和转段考核不合格退出本计划的学生，需按照生物科学“2+X”培养方案修读，如达到学士学位要求者授予理学学士学位。
       </w:t>
      </w:r>
    </w:p>
    <w:p>
      <w:pPr>
        <w:spacing w:after="0"/>
        <w:ind w:left="0"/>
        <w:jc w:val="left"/>
      </w:pPr>
    </w:p>
    <w:p>
      <w:pPr>
        <w:spacing w:after="0"/>
        <w:ind w:left="0"/>
        <w:jc w:val="left"/>
      </w:pPr>
      <w:r>
        <w:rPr>
          <w:rFonts w:ascii="SimSun" w:hAnsi="SimSun"/>
          <w:b w:val="false"/>
          <w:i w:val="false"/>
          <w:color w:val="000000"/>
          <w:sz w:val="21"/>
        </w:rPr>
        <w:t xml:space="preserve">
        （二）研究生学位
       </w:t>
      </w:r>
    </w:p>
    <w:p>
      <w:pPr>
        <w:spacing w:after="0"/>
        <w:ind w:left="0"/>
        <w:jc w:val="left"/>
      </w:pPr>
    </w:p>
    <w:p>
      <w:pPr>
        <w:spacing w:after="0"/>
        <w:ind w:left="0"/>
        <w:jc w:val="left"/>
      </w:pPr>
      <w:r>
        <w:rPr>
          <w:rFonts w:ascii="SimSun" w:hAnsi="SimSun"/>
          <w:b w:val="false"/>
          <w:i w:val="false"/>
          <w:color w:val="000000"/>
          <w:sz w:val="21"/>
        </w:rPr>
        <w:t xml:space="preserve">
        1、研究生学段主动退出和博士生资格考核不合格退出本计划的学生，需按照生物学硕士培养方案修读。各门课程成绩合格且学位课程绩点达到2.5以上，学术成果达到复旦大学生物学学位评定分委员会有关规定，方可申请硕士学位。学位审核各环节按《复旦大学学位授予工作细则》执行，且应符合《复旦大学研究生课程和教学管理规定》等相关规定的要求。达到硕士学位要求者授予理学硕士学位。
       </w:t>
      </w:r>
    </w:p>
    <w:p>
      <w:pPr>
        <w:spacing w:after="0"/>
        <w:ind w:left="0"/>
        <w:jc w:val="left"/>
      </w:pPr>
    </w:p>
    <w:p>
      <w:pPr>
        <w:spacing w:after="0"/>
        <w:ind w:left="0"/>
        <w:jc w:val="left"/>
      </w:pPr>
      <w:r>
        <w:rPr>
          <w:rFonts w:ascii="SimSun" w:hAnsi="SimSun"/>
          <w:b w:val="false"/>
          <w:i w:val="false"/>
          <w:color w:val="000000"/>
          <w:sz w:val="21"/>
        </w:rPr>
        <w:t xml:space="preserve">
        2、学位申请者提出博士学位论文答辩申请时，必须已修满本项目规定学分，各门课程成绩合格且学位课程绩点达到2.5以上，学术成果达到复旦大学生物学学位评定分委员会有关规定，方可申请相应博士学位。学位审核各环节按《复旦大学学位授予工作细则》执行，且应符合《复旦大学研究生课程和教学管理规定》、《复旦大学博士研究生培养分流退出实施办法》等相关规定的要求。达到博士学位要求者授予理学博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1.课程体系
       </w:t>
      </w:r>
    </w:p>
    <w:p>
      <w:pPr>
        <w:spacing w:after="0"/>
        <w:ind w:left="0"/>
        <w:jc w:val="left"/>
      </w:pPr>
    </w:p>
    <w:p>
      <w:pPr>
        <w:spacing w:after="0"/>
        <w:ind w:left="0"/>
        <w:jc w:val="left"/>
      </w:pPr>
      <w:r>
        <w:rPr>
          <w:rFonts w:ascii="SimSun" w:hAnsi="SimSun"/>
          <w:b w:val="false"/>
          <w:i w:val="false"/>
          <w:color w:val="000000"/>
          <w:sz w:val="21"/>
        </w:rPr>
        <w:t xml:space="preserve">
            生物学学科整体课程安排呈现由宏观到微观，由基础到专业领域，延伸至各个前沿研究方向的特点。在每个研究方向上安排了本科生基础课程和前沿课程，并为本科生从一年级就进入科研实践提供了充备的学术资源。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9"/>
        <w:gridCol w:w="809"/>
        <w:gridCol w:w="658"/>
        <w:gridCol w:w="632"/>
        <w:gridCol w:w="1670"/>
        <w:gridCol w:w="961"/>
        <w:gridCol w:w="810"/>
        <w:gridCol w:w="835"/>
        <w:gridCol w:w="734"/>
        <w:gridCol w:w="886"/>
        <w:gridCol w:w="2660"/>
      </w:tblGrid>
      <w:tr>
        <w:trPr>
          <w:trHeight w:val="15" w:hRule="atLeast"/>
        </w:trPr>
        <w:tc>
          <w:tcPr>
            <w:tcW w:w="297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课程代码字母部分为AI的课程代表AI大课。</w:t>
            </w:r>
          </w:p>
        </w:tc>
      </w:tr>
      <w:tr>
        <w:trPr>
          <w:trHeight w:val="15"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15"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
       </w:t>
      </w:r>
    </w:p>
    <w:p>
      <w:pPr>
        <w:spacing w:after="0"/>
        <w:ind w:left="0"/>
        <w:jc w:val="left"/>
      </w:pPr>
      <w:r>
        <w:rPr>
          <w:rFonts w:ascii="SimSun" w:hAnsi="SimSun"/>
          <w:b w:val="false"/>
          <w:i w:val="false"/>
          <w:color w:val="000000"/>
          <w:sz w:val="21"/>
        </w:rPr>
        <w:t xml:space="preserve">
        </w:t>
      </w:r>
      <w:r>
        <w:drawing>
          <wp:inline distT="0" distB="0" distL="0" distR="0">
            <wp:extent cx="4047067" cy="254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47067" cy="2540000"/>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（53学分,本科要求53学分）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专业进阶路径（35学分），其中专业进阶I课程需要修读15学分，本博融通进阶需要修读20学分。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（1）专业进阶课程池模块需修读2-6学分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（2）理工科核心课程池模块（包括：数学、物理、化学、人工智能、微电子）需修读9-15学分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专业进阶课程池</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1"/>
        <w:gridCol w:w="799"/>
        <w:gridCol w:w="799"/>
        <w:gridCol w:w="1120"/>
        <w:gridCol w:w="1792"/>
        <w:gridCol w:w="800"/>
        <w:gridCol w:w="800"/>
        <w:gridCol w:w="800"/>
        <w:gridCol w:w="800"/>
        <w:gridCol w:w="1121"/>
        <w:gridCol w:w="1602"/>
      </w:tblGrid>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神经生物学概论</w:t>
            </w:r>
            <w:r>
              <w:br/>
            </w:r>
            <w:r>
              <w:br/>
            </w:r>
            <w:r>
              <w:rPr>
                <w:rFonts w:ascii="SimSun" w:hAnsi="SimSun"/>
                <w:b w:val="false"/>
                <w:i w:val="false"/>
                <w:color w:val="000000"/>
                <w:sz w:val="21"/>
              </w:rPr>
              <w:t>Introduction to Neurobiology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工业酶与生物催化</w:t>
            </w:r>
            <w:r>
              <w:br/>
            </w:r>
            <w:r>
              <w:br/>
            </w:r>
            <w:r>
              <w:rPr>
                <w:rFonts w:ascii="SimSun" w:hAnsi="SimSun"/>
                <w:b w:val="false"/>
                <w:i w:val="false"/>
                <w:color w:val="000000"/>
                <w:sz w:val="21"/>
              </w:rPr>
              <w:t>Industrial Enzymes and Biocatalysis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结构生物学</w:t>
            </w:r>
            <w:r>
              <w:br/>
            </w:r>
            <w:r>
              <w:br/>
            </w:r>
            <w:r>
              <w:rPr>
                <w:rFonts w:ascii="SimSun" w:hAnsi="SimSun"/>
                <w:b w:val="false"/>
                <w:i w:val="false"/>
                <w:color w:val="000000"/>
                <w:sz w:val="21"/>
              </w:rPr>
              <w:t>Structural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病原生物学基础</w:t>
            </w:r>
            <w:r>
              <w:br/>
            </w:r>
            <w:r>
              <w:br/>
            </w:r>
            <w:r>
              <w:rPr>
                <w:rFonts w:ascii="SimSun" w:hAnsi="SimSun"/>
                <w:b w:val="false"/>
                <w:i w:val="false"/>
                <w:color w:val="000000"/>
                <w:sz w:val="21"/>
              </w:rPr>
              <w:t>Introduction to Pathogen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药物设计学</w:t>
            </w:r>
            <w:r>
              <w:br/>
            </w:r>
            <w:r>
              <w:br/>
            </w:r>
            <w:r>
              <w:rPr>
                <w:rFonts w:ascii="SimSun" w:hAnsi="SimSun"/>
                <w:b w:val="false"/>
                <w:i w:val="false"/>
                <w:color w:val="000000"/>
                <w:sz w:val="21"/>
              </w:rPr>
              <w:t>Drug Design</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药物化学概论</w:t>
            </w:r>
            <w:r>
              <w:br/>
            </w:r>
            <w:r>
              <w:br/>
            </w:r>
            <w:r>
              <w:rPr>
                <w:rFonts w:ascii="SimSun" w:hAnsi="SimSun"/>
                <w:b w:val="false"/>
                <w:i w:val="false"/>
                <w:color w:val="000000"/>
                <w:sz w:val="21"/>
              </w:rPr>
              <w:t>Introduction to Medicinal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生物药剂学与药物动力学</w:t>
            </w:r>
            <w:r>
              <w:br/>
            </w:r>
            <w:r>
              <w:br/>
            </w:r>
            <w:r>
              <w:rPr>
                <w:rFonts w:ascii="SimSun" w:hAnsi="SimSun"/>
                <w:b w:val="false"/>
                <w:i w:val="false"/>
                <w:color w:val="000000"/>
                <w:sz w:val="21"/>
              </w:rPr>
              <w:t>Bio-pharmaceutics and Pharmacokinetics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行为生态学</w:t>
            </w:r>
            <w:r>
              <w:br/>
            </w:r>
            <w:r>
              <w:br/>
            </w:r>
            <w:r>
              <w:rPr>
                <w:rFonts w:ascii="SimSun" w:hAnsi="SimSun"/>
                <w:b w:val="false"/>
                <w:i w:val="false"/>
                <w:color w:val="000000"/>
                <w:sz w:val="21"/>
              </w:rPr>
              <w:t>Behavioral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生物地理学</w:t>
            </w:r>
            <w:r>
              <w:br/>
            </w:r>
            <w:r>
              <w:br/>
            </w:r>
            <w:r>
              <w:rPr>
                <w:rFonts w:ascii="SimSun" w:hAnsi="SimSun"/>
                <w:b w:val="false"/>
                <w:i w:val="false"/>
                <w:color w:val="000000"/>
                <w:sz w:val="21"/>
              </w:rPr>
              <w:t>Biogeography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全球变化生物学</w:t>
            </w:r>
            <w:r>
              <w:br/>
            </w:r>
            <w:r>
              <w:br/>
            </w:r>
            <w:r>
              <w:rPr>
                <w:rFonts w:ascii="SimSun" w:hAnsi="SimSun"/>
                <w:b w:val="false"/>
                <w:i w:val="false"/>
                <w:color w:val="000000"/>
                <w:sz w:val="21"/>
              </w:rPr>
              <w:t>Global Change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生物安全导论</w:t>
            </w:r>
            <w:r>
              <w:br/>
            </w:r>
            <w:r>
              <w:br/>
            </w:r>
            <w:r>
              <w:rPr>
                <w:rFonts w:ascii="SimSun" w:hAnsi="SimSun"/>
                <w:b w:val="false"/>
                <w:i w:val="false"/>
                <w:color w:val="000000"/>
                <w:sz w:val="21"/>
              </w:rPr>
              <w:t>Introduction to Biosafety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自然地理学</w:t>
            </w:r>
            <w:r>
              <w:br/>
            </w:r>
            <w:r>
              <w:br/>
            </w:r>
            <w:r>
              <w:rPr>
                <w:rFonts w:ascii="SimSun" w:hAnsi="SimSun"/>
                <w:b w:val="false"/>
                <w:i w:val="false"/>
                <w:color w:val="000000"/>
                <w:sz w:val="21"/>
              </w:rPr>
              <w:t>Physical Geography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r>
              <w:br/>
            </w:r>
            <w:r>
              <w:br/>
            </w:r>
            <w:r>
              <w:rPr>
                <w:rFonts w:ascii="SimSun" w:hAnsi="SimSun"/>
                <w:b w:val="false"/>
                <w:i w:val="false"/>
                <w:color w:val="000000"/>
                <w:sz w:val="21"/>
              </w:rPr>
              <w:t>Landscape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土壤生态学</w:t>
            </w:r>
            <w:r>
              <w:br/>
            </w:r>
            <w:r>
              <w:br/>
            </w:r>
            <w:r>
              <w:rPr>
                <w:rFonts w:ascii="SimSun" w:hAnsi="SimSun"/>
                <w:b w:val="false"/>
                <w:i w:val="false"/>
                <w:color w:val="000000"/>
                <w:sz w:val="21"/>
              </w:rPr>
              <w:t>Soil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化学生态学</w:t>
            </w:r>
            <w:r>
              <w:br/>
            </w:r>
            <w:r>
              <w:br/>
            </w:r>
            <w:r>
              <w:rPr>
                <w:rFonts w:ascii="SimSun" w:hAnsi="SimSun"/>
                <w:b w:val="false"/>
                <w:i w:val="false"/>
                <w:color w:val="000000"/>
                <w:sz w:val="21"/>
              </w:rPr>
              <w:t>Chemcial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湿地生态学</w:t>
            </w:r>
            <w:r>
              <w:br/>
            </w:r>
            <w:r>
              <w:br/>
            </w:r>
            <w:r>
              <w:rPr>
                <w:rFonts w:ascii="SimSun" w:hAnsi="SimSun"/>
                <w:b w:val="false"/>
                <w:i w:val="false"/>
                <w:color w:val="000000"/>
                <w:sz w:val="21"/>
              </w:rPr>
              <w:t>Wetland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分子生态学</w:t>
            </w:r>
            <w:r>
              <w:br/>
            </w:r>
            <w:r>
              <w:br/>
            </w:r>
            <w:r>
              <w:rPr>
                <w:rFonts w:ascii="SimSun" w:hAnsi="SimSun"/>
                <w:b w:val="false"/>
                <w:i w:val="false"/>
                <w:color w:val="000000"/>
                <w:sz w:val="21"/>
              </w:rPr>
              <w:t>Molecular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保护生物学</w:t>
            </w:r>
            <w:r>
              <w:br/>
            </w:r>
            <w:r>
              <w:br/>
            </w:r>
            <w:r>
              <w:rPr>
                <w:rFonts w:ascii="SimSun" w:hAnsi="SimSun"/>
                <w:b w:val="false"/>
                <w:i w:val="false"/>
                <w:color w:val="000000"/>
                <w:sz w:val="21"/>
              </w:rPr>
              <w:t>Conservation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生态与社会</w:t>
            </w:r>
            <w:r>
              <w:br/>
            </w:r>
            <w:r>
              <w:br/>
            </w:r>
            <w:r>
              <w:rPr>
                <w:rFonts w:ascii="SimSun" w:hAnsi="SimSun"/>
                <w:b w:val="false"/>
                <w:i w:val="false"/>
                <w:color w:val="000000"/>
                <w:sz w:val="21"/>
              </w:rPr>
              <w:t>Ecology and Society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入侵生态学</w:t>
            </w:r>
            <w:r>
              <w:br/>
            </w:r>
            <w:r>
              <w:br/>
            </w:r>
            <w:r>
              <w:rPr>
                <w:rFonts w:ascii="SimSun" w:hAnsi="SimSun"/>
                <w:b w:val="false"/>
                <w:i w:val="false"/>
                <w:color w:val="000000"/>
                <w:sz w:val="21"/>
              </w:rPr>
              <w:t>Invasion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生态遥感</w:t>
            </w:r>
            <w:r>
              <w:br/>
            </w:r>
            <w:r>
              <w:br/>
            </w:r>
            <w:r>
              <w:rPr>
                <w:rFonts w:ascii="SimSun" w:hAnsi="SimSun"/>
                <w:b w:val="false"/>
                <w:i w:val="false"/>
                <w:color w:val="000000"/>
                <w:sz w:val="21"/>
              </w:rPr>
              <w:t>Remote Sensing of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生物科学研究设计与实践（上）(H)</w:t>
            </w:r>
            <w:r>
              <w:br/>
            </w:r>
            <w:r>
              <w:br/>
            </w:r>
            <w:r>
              <w:rPr>
                <w:rFonts w:ascii="SimSun" w:hAnsi="SimSun"/>
                <w:b w:val="false"/>
                <w:i w:val="false"/>
                <w:color w:val="000000"/>
                <w:sz w:val="21"/>
              </w:rPr>
              <w:t>Advanced Interdisciplinary Biology Seminars (1)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BIOL50055h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荣誉课程 </w:t>
            </w:r>
          </w:p>
        </w:tc>
      </w:tr>
      <w:tr>
        <w:trPr>
          <w:trHeight w:val="45" w:hRule="atLeast"/>
        </w:trPr>
        <w:tc>
          <w:tcPr>
            <w:tcW w:w="32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荣誉课程 </w:t>
            </w:r>
          </w:p>
        </w:tc>
      </w:tr>
      <w:tr>
        <w:trPr>
          <w:trHeight w:val="45" w:hRule="atLeast"/>
        </w:trPr>
        <w:tc>
          <w:tcPr>
            <w:tcW w:w="32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生物科学研究设计与实践（下）(H)</w:t>
            </w:r>
            <w:r>
              <w:br/>
            </w:r>
            <w:r>
              <w:br/>
            </w:r>
            <w:r>
              <w:rPr>
                <w:rFonts w:ascii="SimSun" w:hAnsi="SimSun"/>
                <w:b w:val="false"/>
                <w:i w:val="false"/>
                <w:color w:val="000000"/>
                <w:sz w:val="21"/>
              </w:rPr>
              <w:t>Advanced Interdisciplinary Biology Seminars (3) (H)</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BIOL50057h</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荣誉课程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理工科核心课程池</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1985"/>
        <w:gridCol w:w="2706"/>
        <w:gridCol w:w="667"/>
        <w:gridCol w:w="675"/>
        <w:gridCol w:w="928"/>
        <w:gridCol w:w="1725"/>
        <w:gridCol w:w="678"/>
        <w:gridCol w:w="667"/>
        <w:gridCol w:w="672"/>
        <w:gridCol w:w="668"/>
        <w:gridCol w:w="931"/>
        <w:gridCol w:w="1332"/>
      </w:tblGrid>
      <w:tr>
        <w:trPr>
          <w:trHeight w:val="45" w:hRule="atLeast"/>
        </w:trPr>
        <w:tc>
          <w:tcPr>
            <w:tcW w:w="19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8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理工科核心课程池：数学</w:t>
            </w: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可替代线性代数，计一次学分</w:t>
            </w: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数学分析I（英才班）</w:t>
            </w:r>
            <w:r>
              <w:br/>
            </w:r>
            <w:r>
              <w:br/>
            </w:r>
            <w:r>
              <w:rPr>
                <w:rFonts w:ascii="SimSun" w:hAnsi="SimSun"/>
                <w:b w:val="false"/>
                <w:i w:val="false"/>
                <w:color w:val="000000"/>
                <w:sz w:val="21"/>
              </w:rPr>
              <w:t>Mathematical Analysis I (for Talent Program)</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MATH130154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可替代高等数学A（上）（下），计一次学分 </w:t>
            </w: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数学分析II（英才班）</w:t>
            </w:r>
            <w:r>
              <w:br/>
            </w:r>
            <w:r>
              <w:br/>
            </w:r>
            <w:r>
              <w:rPr>
                <w:rFonts w:ascii="SimSun" w:hAnsi="SimSun"/>
                <w:b w:val="false"/>
                <w:i w:val="false"/>
                <w:color w:val="000000"/>
                <w:sz w:val="21"/>
              </w:rPr>
              <w:t>Mathematical Analysis II(for Talent Program)</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MATH130155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可替代高等数学A（上）（下），计一次学分 </w:t>
            </w: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数据科学的逼近论基础</w:t>
            </w:r>
            <w:r>
              <w:br/>
            </w:r>
            <w:r>
              <w:br/>
            </w:r>
            <w:r>
              <w:rPr>
                <w:rFonts w:ascii="SimSun" w:hAnsi="SimSun"/>
                <w:b w:val="false"/>
                <w:i w:val="false"/>
                <w:color w:val="000000"/>
                <w:sz w:val="21"/>
              </w:rPr>
              <w:t>Approximation Theory in Data Sciences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8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理工科核心课程池：物理</w:t>
            </w: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8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理工科核心课程池：化学</w:t>
            </w: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8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理工科核心课程池：人工智能</w:t>
            </w: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8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理工科核心课程池：微电子</w:t>
            </w: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II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（1）至少修一门生物化学与生物物理、细胞发育、神经生理、遗传、人类学、微生物和免疫、计算生物方向的学位课，建议选转段到研究生时导师所在方向的学位课。										
       </w:t>
      </w:r>
      <w:r>
        <w:br/>
      </w:r>
      <w:r>
        <w:rPr>
          <w:rFonts w:ascii="SimSun" w:hAnsi="SimSun"/>
          <w:b w:val="false"/>
          <w:i w:val="false"/>
          <w:color w:val="000000"/>
          <w:sz w:val="21"/>
        </w:rPr>
        <w:t xml:space="preserve">
       </w:t>
      </w:r>
      <w:r>
        <w:br/>
      </w:r>
      <w:r>
        <w:rPr>
          <w:rFonts w:ascii="SimSun" w:hAnsi="SimSun"/>
          <w:b w:val="false"/>
          <w:i w:val="false"/>
          <w:color w:val="000000"/>
          <w:sz w:val="21"/>
        </w:rPr>
        <w:t xml:space="preserve">（2）《现代生物学基础与前沿》课程选修要求：其中遗传学与遗传工程系、人类遗传学与人类学系、细胞与发育生物学系、生物化学与生物物理学系的学生（按导师所在系别）和培养方案中有特殊要求的学生必选必修I和II，其他本博融通的直博生可修其一。
      </w:t>
      </w:r>
    </w:p>
    <w:tbl>
      <w:tblPr>
        <w:tblW w:w="0" w:type="auto"/>
        <w:tblCellSpacing w:w="0" w:type="auto"/>
        <w:tblBorders>
          <w:top w:val="none"/>
          <w:left w:val="none"/>
          <w:bottom w:val="none"/>
          <w:right w:val="none"/>
          <w:insideH w:val="none"/>
          <w:insideV w:val="none"/>
        </w:tblBorders>
      </w:tblPr>
      <w:tblGrid>
        <w:gridCol w:w="1995"/>
        <w:gridCol w:w="2699"/>
        <w:gridCol w:w="663"/>
        <w:gridCol w:w="668"/>
        <w:gridCol w:w="920"/>
        <w:gridCol w:w="1554"/>
        <w:gridCol w:w="671"/>
        <w:gridCol w:w="663"/>
        <w:gridCol w:w="663"/>
        <w:gridCol w:w="661"/>
        <w:gridCol w:w="923"/>
        <w:gridCol w:w="1554"/>
      </w:tblGrid>
      <w:tr>
        <w:trPr>
          <w:trHeight w:val="45" w:hRule="atLeast"/>
        </w:trPr>
        <w:tc>
          <w:tcPr>
            <w:tcW w:w="19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本项目全体研究生必修，本科学段选修（英文班级），研究生学段选修（中文或者英文班级）。</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现代生物学基础与前沿Ⅰ-生物化学与细胞生物学</w:t>
            </w:r>
            <w:r>
              <w:br/>
            </w:r>
            <w:r>
              <w:br/>
            </w:r>
            <w:r>
              <w:rPr>
                <w:rFonts w:ascii="SimSun" w:hAnsi="SimSun"/>
                <w:b w:val="false"/>
                <w:i w:val="false"/>
                <w:color w:val="000000"/>
                <w:sz w:val="21"/>
              </w:rPr>
              <w:t>The Bases and Frontiers of Modern Biology Ⅰ- Biochemistry and Cell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遗传学与遗传工程系、人类遗传学与人类学系 、细胞与发育生物学系、生物化学与生物物理学系的本博融通的直博生必修前沿Ⅰ和Ⅱ，其他本博融通的直博生可修其一。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现代生物学基础与前沿Ⅱ-遗传和发育生物学</w:t>
            </w:r>
            <w:r>
              <w:br/>
            </w:r>
            <w:r>
              <w:br/>
            </w:r>
            <w:r>
              <w:rPr>
                <w:rFonts w:ascii="SimSun" w:hAnsi="SimSun"/>
                <w:b w:val="false"/>
                <w:i w:val="false"/>
                <w:color w:val="000000"/>
                <w:sz w:val="21"/>
              </w:rPr>
              <w:t>The Bases and Frontiers of Modern Biology II-Genetics and Development</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BIOL60009</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遗传学与遗传工程系、人类遗传学与人类学系 、细胞与发育生物学系、生物化学与生物物理学系的本博融通的直博生必修前沿Ⅰ和Ⅱ，其他本博融通的直博生可修其一。 </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高阶生物化学和生物物理</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生化方向核心课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w:t>
            </w:r>
            <w:r>
              <w:br/>
            </w:r>
            <w:r>
              <w:br/>
            </w:r>
            <w:r>
              <w:rPr>
                <w:rFonts w:ascii="SimSun" w:hAnsi="SimSun"/>
                <w:b w:val="false"/>
                <w:i w:val="false"/>
                <w:color w:val="000000"/>
                <w:sz w:val="21"/>
              </w:rPr>
              <w:t>Proteomics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生物热力学</w:t>
            </w:r>
            <w:r>
              <w:br/>
            </w:r>
            <w:r>
              <w:br/>
            </w:r>
            <w:r>
              <w:rPr>
                <w:rFonts w:ascii="SimSun" w:hAnsi="SimSun"/>
                <w:b w:val="false"/>
                <w:i w:val="false"/>
                <w:color w:val="000000"/>
                <w:sz w:val="21"/>
              </w:rPr>
              <w:t>Biological Thermodynamics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高阶细胞发育</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发育与代谢</w:t>
            </w:r>
            <w:r>
              <w:br/>
            </w:r>
            <w:r>
              <w:br/>
            </w:r>
            <w:r>
              <w:rPr>
                <w:rFonts w:ascii="SimSun" w:hAnsi="SimSun"/>
                <w:b w:val="false"/>
                <w:i w:val="false"/>
                <w:color w:val="000000"/>
                <w:sz w:val="21"/>
              </w:rPr>
              <w:t>Development and Metabolism</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癌生物学</w:t>
            </w:r>
            <w:r>
              <w:br/>
            </w:r>
            <w:r>
              <w:br/>
            </w:r>
            <w:r>
              <w:rPr>
                <w:rFonts w:ascii="SimSun" w:hAnsi="SimSun"/>
                <w:b w:val="false"/>
                <w:i w:val="false"/>
                <w:color w:val="000000"/>
                <w:sz w:val="21"/>
              </w:rPr>
              <w:t>Cancer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细胞发育与健康</w:t>
            </w:r>
            <w:r>
              <w:br/>
            </w:r>
            <w:r>
              <w:br/>
            </w:r>
            <w:r>
              <w:rPr>
                <w:rFonts w:ascii="SimSun" w:hAnsi="SimSun"/>
                <w:b w:val="false"/>
                <w:i w:val="false"/>
                <w:color w:val="000000"/>
                <w:sz w:val="21"/>
              </w:rPr>
              <w:t>Cell, Development and Health</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干细胞与发育(H)</w:t>
            </w:r>
            <w:r>
              <w:br/>
            </w:r>
            <w:r>
              <w:br/>
            </w:r>
            <w:r>
              <w:rPr>
                <w:rFonts w:ascii="SimSun" w:hAnsi="SimSun"/>
                <w:b w:val="false"/>
                <w:i w:val="false"/>
                <w:color w:val="000000"/>
                <w:sz w:val="21"/>
              </w:rPr>
              <w:t>Development and Stem Cell Biology (H)</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BIOL50059h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本科生荣誉课程，研究生学位课程</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高阶神经生理</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生理学专业前沿课程</w:t>
            </w:r>
            <w:r>
              <w:br/>
            </w:r>
            <w:r>
              <w:br/>
            </w:r>
            <w:r>
              <w:rPr>
                <w:rFonts w:ascii="SimSun" w:hAnsi="SimSun"/>
                <w:b w:val="false"/>
                <w:i w:val="false"/>
                <w:color w:val="000000"/>
                <w:sz w:val="21"/>
              </w:rPr>
              <w:t>Frontier courses of physiology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生理与神经生物学方向核心课</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高阶遗传和人类学</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精神卫生学概论</w:t>
            </w:r>
            <w:r>
              <w:br/>
            </w:r>
            <w:r>
              <w:br/>
            </w:r>
            <w:r>
              <w:rPr>
                <w:rFonts w:ascii="SimSun" w:hAnsi="SimSun"/>
                <w:b w:val="false"/>
                <w:i w:val="false"/>
                <w:color w:val="000000"/>
                <w:sz w:val="21"/>
              </w:rPr>
              <w:t xml:space="preserve">Introduction to Mental Health </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分子遗传学</w:t>
            </w:r>
            <w:r>
              <w:br/>
            </w:r>
            <w:r>
              <w:br/>
            </w:r>
            <w:r>
              <w:rPr>
                <w:rFonts w:ascii="SimSun" w:hAnsi="SimSun"/>
                <w:b w:val="false"/>
                <w:i w:val="false"/>
                <w:color w:val="000000"/>
                <w:sz w:val="21"/>
              </w:rPr>
              <w:t>Molecular Genetics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遗传学方向核心课</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高阶微生物和免疫</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Microbial Molecular Ecology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现代微生物学专题</w:t>
            </w:r>
            <w:r>
              <w:br/>
            </w:r>
            <w:r>
              <w:br/>
            </w:r>
            <w:r>
              <w:rPr>
                <w:rFonts w:ascii="SimSun" w:hAnsi="SimSun"/>
                <w:b w:val="false"/>
                <w:i w:val="false"/>
                <w:color w:val="000000"/>
                <w:sz w:val="21"/>
              </w:rPr>
              <w:t>Current Topics of Microbiology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微生物方向核心课</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高阶计算生物</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计算生物学方向核心课；计算生物学方向必修</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统计学导论</w:t>
            </w:r>
            <w:r>
              <w:br/>
            </w:r>
            <w:r>
              <w:br/>
            </w:r>
            <w:r>
              <w:rPr>
                <w:rFonts w:ascii="SimSun" w:hAnsi="SimSun"/>
                <w:b w:val="false"/>
                <w:i w:val="false"/>
                <w:color w:val="000000"/>
                <w:sz w:val="21"/>
              </w:rPr>
              <w:t>Introductory Statistics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计算生物学方向核心课</w:t>
            </w:r>
          </w:p>
        </w:tc>
      </w:tr>
      <w:tr>
        <w:trPr>
          <w:trHeight w:val="45" w:hRule="atLeast"/>
        </w:trPr>
        <w:tc>
          <w:tcPr>
            <w:tcW w:w="199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国际标准化</w:t>
            </w:r>
            <w:r>
              <w:br/>
            </w:r>
            <w:r>
              <w:br/>
            </w:r>
            <w:r>
              <w:rPr>
                <w:rFonts w:ascii="SimSun" w:hAnsi="SimSun"/>
                <w:b w:val="false"/>
                <w:i w:val="false"/>
                <w:color w:val="000000"/>
                <w:sz w:val="21"/>
              </w:rPr>
              <w:t>International Standardization</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标准化技术与方法</w:t>
            </w:r>
            <w:r>
              <w:br/>
            </w:r>
            <w:r>
              <w:br/>
            </w:r>
            <w:r>
              <w:rPr>
                <w:rFonts w:ascii="SimSun" w:hAnsi="SimSun"/>
                <w:b w:val="false"/>
                <w:i w:val="false"/>
                <w:color w:val="000000"/>
                <w:sz w:val="21"/>
              </w:rPr>
              <w:t>Standardization Technology and Methods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标准化实务</w:t>
            </w:r>
            <w:r>
              <w:br/>
            </w:r>
            <w:r>
              <w:br/>
            </w:r>
            <w:r>
              <w:rPr>
                <w:rFonts w:ascii="SimSun" w:hAnsi="SimSun"/>
                <w:b w:val="false"/>
                <w:i w:val="false"/>
                <w:color w:val="000000"/>
                <w:sz w:val="21"/>
              </w:rPr>
              <w:t>Standardization Practice</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精准医学数据标准化和质量控制</w:t>
            </w:r>
            <w:r>
              <w:br/>
            </w:r>
            <w:r>
              <w:br/>
            </w:r>
            <w:r>
              <w:rPr>
                <w:rFonts w:ascii="SimSun" w:hAnsi="SimSun"/>
                <w:b w:val="false"/>
                <w:i w:val="false"/>
                <w:color w:val="000000"/>
                <w:sz w:val="21"/>
              </w:rPr>
              <w:t>Standardization and Quality Control of Data in Precision Medicine</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原课程：《大数据与精准医学》BIOL130194</w:t>
            </w: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统计质量控制</w:t>
            </w:r>
            <w:r>
              <w:br/>
            </w:r>
            <w:r>
              <w:br/>
            </w:r>
            <w:r>
              <w:rPr>
                <w:rFonts w:ascii="SimSun" w:hAnsi="SimSun"/>
                <w:b w:val="false"/>
                <w:i w:val="false"/>
                <w:color w:val="000000"/>
                <w:sz w:val="21"/>
              </w:rPr>
              <w:t>Statistical Quality Control</w:t>
            </w:r>
          </w:p>
        </w:tc>
        <w:tc>
          <w:tcPr>
            <w:tcW w:w="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MSE20004</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注：专业进阶模块课程（包括专业进阶I和本博融通进阶）开课学期仅供参考，可能因客观原因调整。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在专业进阶路径基础上，修读荣誉课程不少于6门。荣誉项目课程设置和修读要求请见生命科学学院生物科学专业“荣誉项目”实施方案。下载地址：https://jwc.fudan.edu.cn/（复旦大学教务处）专业培养-常用文档。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上述本研融通方案之外可修读1个非本专业独立开设的学程（微专业），学程（微专业）课程详见教务处学程（微专业）项目网页，下载地址：https://jwc.fudan.edu.cn/（复旦大学教务处）专业培养-常用文档。完成学程（微专业）修读要求的学生可获得相应的学程（微专业）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（33.5学分）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（1）本模块课程中《生命科学交叉前沿专题》为本方案所有学生必修。										
       </w:t>
      </w:r>
      <w:r>
        <w:br/>
      </w:r>
      <w:r>
        <w:rPr>
          <w:rFonts w:ascii="SimSun" w:hAnsi="SimSun"/>
          <w:b w:val="false"/>
          <w:i w:val="false"/>
          <w:color w:val="000000"/>
          <w:sz w:val="21"/>
        </w:rPr>
        <w:t xml:space="preserve">
       </w:t>
      </w:r>
      <w:r>
        <w:br/>
      </w:r>
      <w:r>
        <w:rPr>
          <w:rFonts w:ascii="SimSun" w:hAnsi="SimSun"/>
          <w:b w:val="false"/>
          <w:i w:val="false"/>
          <w:color w:val="000000"/>
          <w:sz w:val="21"/>
        </w:rPr>
        <w:t xml:space="preserve">（2）本博融通方案中的学生必修：《系统科研训练I》（大二下学期）、《系统科研训练II》大二暑期、《系统科研训练III》大三上学期，为期1年。《系统科研训练III》谈班单独编班。需承担或者主要参加（课题团队排前2）一项复芏/Dream Lab/云帆计划。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（3）《本科毕业论文》课程即为转段成功的本计划学生的本科毕业论文课程，在第八学期修读课程，可用复芏/Dream Lab/云帆计划成果为论文主要内容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普通生物学专业实验</w:t>
            </w:r>
            <w:r>
              <w:br/>
            </w:r>
            <w:r>
              <w:br/>
            </w:r>
            <w:r>
              <w:rPr>
                <w:rFonts w:ascii="SimSun" w:hAnsi="SimSun"/>
                <w:b w:val="false"/>
                <w:i w:val="false"/>
                <w:color w:val="000000"/>
                <w:sz w:val="21"/>
              </w:rPr>
              <w:t>Special Experiment of General Biology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生命科学交叉前沿专题</w:t>
            </w:r>
            <w:r>
              <w:br/>
            </w:r>
            <w:r>
              <w:br/>
            </w:r>
            <w:r>
              <w:rPr>
                <w:rFonts w:ascii="SimSun" w:hAnsi="SimSun"/>
                <w:b w:val="false"/>
                <w:i w:val="false"/>
                <w:color w:val="000000"/>
                <w:sz w:val="21"/>
              </w:rPr>
              <w:t>Interdisciplinary Advances in Life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系统科研训练Ⅰ</w:t>
            </w:r>
            <w:r>
              <w:br/>
            </w:r>
            <w:r>
              <w:br/>
            </w:r>
            <w:r>
              <w:rPr>
                <w:rFonts w:ascii="SimSun" w:hAnsi="SimSun"/>
                <w:b w:val="false"/>
                <w:i w:val="false"/>
                <w:color w:val="000000"/>
                <w:sz w:val="21"/>
              </w:rPr>
              <w:t>Systematic Scientific Research Training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系统科研训练Ⅱ</w:t>
            </w:r>
            <w:r>
              <w:br/>
            </w:r>
            <w:r>
              <w:br/>
            </w:r>
            <w:r>
              <w:rPr>
                <w:rFonts w:ascii="SimSun" w:hAnsi="SimSun"/>
                <w:b w:val="false"/>
                <w:i w:val="false"/>
                <w:color w:val="000000"/>
                <w:sz w:val="21"/>
              </w:rPr>
              <w:t>Systematic Scientific Research Training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在听学术报告、组会汇报和作报告方面有具体要求，详见《生命科学学院研究生培养必修环节具体要求与实施细则》。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需参加至少一门本科生或研究生相关课程的教学助理或实验指导工作。一般时间为一学期，所参与的课程的选修人数应在15人以上。由任课教师进行考核评分。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到具有世界一流水平的境外机构进行不少于半学年的学习、研究或联合培养。</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在第11学期完成，详见生命科学学院论文开题实施细则。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在第10学期完成（5年级需提出第1次申请)，详见生命科学学院博士生资格考试实施细则。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在第13学期完成，详见生命科学学院论文中期考核实施细则。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