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公共卫生学院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2025公共事业管理-人工智能双学士学位项目培养方案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一流公共卫生与预防医学学科是保障国家公共卫生安全、实现健康中国建设这一国家重大发展战略的必要支撑。复旦大学公共卫生与预防医学学科是教育部“双一流”建设学科，在最新一轮教育部学科评估中获评顶尖成绩。入选国家高水平公共卫生学院、上海市I类高峰学科。本专业立足于国家社会经济和公共卫生的发展需求，服务于“健康中国”和“全球健康”国家战略，以保障人群健康、控制重大疾病和贡献科学决策为目标，为国家公共卫生事业的高质量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具有现代管理学科的基本理论和基本方法；了解卫生事业发展趋势和医学科学的基本规律，具备获得交流信息的能力；政策和项目执行及评估的能力，以及生物医学领域大数据分析、人工智能技术开发和应用的基本理论和方法，有较强的创新意识和解决实际问题能力的卫生事业管理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掌握现代管理学、经济学的基本理论和基本知识；对自然科学、人文和社会科学有一定了解，熟悉卫生事业发展趋势和有关的医学知识；熟练掌握一门外语，具有较强的人工智能应用能力，能够熟练进行大数据分析，并有综合运用所学知识分析解决问题的能力；具有一定的科研能力和实际工作能力。</w:t>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4082"/>
        <w:gridCol w:w="4088"/>
        <w:gridCol w:w="740"/>
        <w:gridCol w:w="1220"/>
        <w:gridCol w:w="1980"/>
        <w:gridCol w:w="59"/>
        <w:gridCol w:w="64"/>
        <w:gridCol w:w="1287"/>
        <w:gridCol w:w="1640"/>
      </w:tblGrid>
      <w:tr>
        <w:trPr>
          <w:trHeight w:val="45" w:hRule="atLeast"/>
        </w:trPr>
        <w:tc>
          <w:tcPr>
            <w:tcW w:w="0" w:type="auto"/>
            <w:gridSpan w:val="7"/>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287" w:type="dxa"/>
            <w:tcBorders>
              <w:bottom w:val="single" w:color="000000" w:sz="8"/>
              <w:right w:val="single" w:color="000000" w:sz="8"/>
            </w:tcBorders>
            <w:tcMar>
              <w:top w:w="15" w:type="dxa"/>
              <w:left w:w="15" w:type="dxa"/>
              <w:bottom w:w="15" w:type="dxa"/>
              <w:right w:w="15" w:type="dxa"/>
            </w:tcMar>
            <w:vAlign w:val="center"/>
          </w:tcPr>
          <w:p/>
        </w:tc>
        <w:tc>
          <w:tcPr>
            <w:tcW w:w="164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7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管理学学士/医学学士</w:t>
            </w:r>
          </w:p>
        </w:tc>
        <w:tc>
          <w:tcPr>
            <w:tcW w:w="7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公共事业管理-人工智能</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w:t>
            </w:r>
          </w:p>
        </w:tc>
        <w:tc>
          <w:tcPr>
            <w:tcW w:w="16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175</w:t>
            </w:r>
          </w:p>
        </w:tc>
      </w:tr>
      <w:tr>
        <w:trPr>
          <w:trHeight w:val="4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通识教育课程37学分</w:t>
            </w:r>
          </w:p>
        </w:tc>
      </w:tr>
      <w:tr>
        <w:trPr>
          <w:trHeight w:val="4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专业培养课程112学分</w:t>
            </w:r>
          </w:p>
        </w:tc>
      </w:tr>
      <w:tr>
        <w:trPr>
          <w:trHeight w:val="4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专业进阶模块20学分</w:t>
            </w:r>
          </w:p>
        </w:tc>
      </w:tr>
      <w:tr>
        <w:trPr>
          <w:trHeight w:val="4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融合创新能力模块6学分</w:t>
            </w:r>
          </w:p>
        </w:tc>
      </w:tr>
      <w:tr>
        <w:trPr>
          <w:trHeight w:val="4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335867" cy="1439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35867" cy="14393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28"/>
        <w:gridCol w:w="1228"/>
        <w:gridCol w:w="1228"/>
        <w:gridCol w:w="1228"/>
        <w:gridCol w:w="1228"/>
        <w:gridCol w:w="1242"/>
        <w:gridCol w:w="1247"/>
        <w:gridCol w:w="1247"/>
        <w:gridCol w:w="1248"/>
        <w:gridCol w:w="1248"/>
        <w:gridCol w:w="1248"/>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专业进阶路径：175学分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路径学生需要完成175学分（含实践学分不低于27学分；含美育学分不少于2学分，其中至少在“美学和艺术史论类”或“艺术鉴赏和评论类”课程中修读1学分，并至少参与一项艺术实践活动；劳动教育不少于32学时，并满足劳动周教育要求），包括通识教育课程37学分、专业培养课程112学分、专业进阶模块修读20学分、融合创新能力模块6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跨学科学发展路径：183学分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学程课程详见教务处学程项目网页，下载地址：https://jwc.fudan.edu.cn/（复旦大学教务处）专业培养-常用文档。完成学程修读要求的学生可获得相应的学程证书。</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340"/>
        <w:gridCol w:w="1340"/>
        <w:gridCol w:w="1346"/>
        <w:gridCol w:w="1346"/>
        <w:gridCol w:w="1346"/>
        <w:gridCol w:w="1347"/>
        <w:gridCol w:w="1347"/>
        <w:gridCol w:w="1347"/>
        <w:gridCol w:w="1347"/>
        <w:gridCol w:w="1347"/>
        <w:gridCol w:w="1347"/>
      </w:tblGrid>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本科学位</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4年级结束时，如达到学士学位要求者授予管理学学士学位、工学学士学位。  </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120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供参考，请以课程列表为准。</w:t>
      </w:r>
    </w:p>
    <w:p>
      <w:pPr>
        <w:spacing w:after="0"/>
        <w:ind w:left="0"/>
        <w:jc w:val="left"/>
      </w:pPr>
      <w:r>
        <w:drawing>
          <wp:inline distT="0" distB="0" distL="0" distR="0">
            <wp:extent cx="5063067" cy="2269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063067" cy="22690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要求修读基础课程33学分。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（29学分）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选修课程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公共卫生导论</w:t>
            </w:r>
            <w:r>
              <w:br/>
            </w:r>
            <w:r>
              <w:br/>
            </w:r>
            <w:r>
              <w:rPr>
                <w:rFonts w:ascii="SimSun" w:hAnsi="SimSun"/>
                <w:b w:val="false"/>
                <w:i w:val="false"/>
                <w:color w:val="000000"/>
                <w:sz w:val="21"/>
              </w:rPr>
              <w:t>Introduction to Public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卫生经济学</w:t>
            </w:r>
            <w:r>
              <w:br/>
            </w:r>
            <w:r>
              <w:br/>
            </w:r>
            <w:r>
              <w:rPr>
                <w:rFonts w:ascii="SimSun" w:hAnsi="SimSun"/>
                <w:b w:val="false"/>
                <w:i w:val="false"/>
                <w:color w:val="000000"/>
                <w:sz w:val="21"/>
              </w:rPr>
              <w:t>Health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卫生法与卫生监督</w:t>
            </w:r>
            <w:r>
              <w:br/>
            </w:r>
            <w:r>
              <w:br/>
            </w:r>
            <w:r>
              <w:rPr>
                <w:rFonts w:ascii="SimSun" w:hAnsi="SimSun"/>
                <w:b w:val="false"/>
                <w:i w:val="false"/>
                <w:color w:val="000000"/>
                <w:sz w:val="21"/>
              </w:rPr>
              <w:t>Health Law and Health Inspection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卫生管理运筹学</w:t>
            </w:r>
            <w:r>
              <w:br/>
            </w:r>
            <w:r>
              <w:br/>
            </w:r>
            <w:r>
              <w:rPr>
                <w:rFonts w:ascii="SimSun" w:hAnsi="SimSun"/>
                <w:b w:val="false"/>
                <w:i w:val="false"/>
                <w:color w:val="000000"/>
                <w:sz w:val="21"/>
              </w:rPr>
              <w:t>Operations in Health Services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组织行为学：卫生视角</w:t>
            </w:r>
            <w:r>
              <w:br/>
            </w:r>
            <w:r>
              <w:br/>
            </w:r>
            <w:r>
              <w:rPr>
                <w:rFonts w:ascii="SimSun" w:hAnsi="SimSun"/>
                <w:b w:val="false"/>
                <w:i w:val="false"/>
                <w:color w:val="000000"/>
                <w:sz w:val="21"/>
              </w:rPr>
              <w:t>Organizationmal Behavior in Health Care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w:t>
            </w:r>
            <w:r>
              <w:br/>
            </w:r>
            <w:r>
              <w:br/>
            </w:r>
            <w:r>
              <w:rPr>
                <w:rFonts w:ascii="SimSun" w:hAnsi="SimSun"/>
                <w:b w:val="false"/>
                <w:i w:val="false"/>
                <w:color w:val="000000"/>
                <w:sz w:val="21"/>
              </w:rPr>
              <w:t>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预防医学导论</w:t>
            </w:r>
            <w:r>
              <w:br/>
            </w:r>
            <w:r>
              <w:br/>
            </w:r>
            <w:r>
              <w:rPr>
                <w:rFonts w:ascii="SimSun" w:hAnsi="SimSun"/>
                <w:b w:val="false"/>
                <w:i w:val="false"/>
                <w:color w:val="000000"/>
                <w:sz w:val="21"/>
              </w:rPr>
              <w:t>Introduction to Preventive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卫生事业管理学</w:t>
            </w:r>
            <w:r>
              <w:br/>
            </w:r>
            <w:r>
              <w:br/>
            </w:r>
            <w:r>
              <w:rPr>
                <w:rFonts w:ascii="SimSun" w:hAnsi="SimSun"/>
                <w:b w:val="false"/>
                <w:i w:val="false"/>
                <w:color w:val="000000"/>
                <w:sz w:val="21"/>
              </w:rPr>
              <w:t>Health Service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医院管理学</w:t>
            </w:r>
            <w:r>
              <w:br/>
            </w:r>
            <w:r>
              <w:br/>
            </w:r>
            <w:r>
              <w:rPr>
                <w:rFonts w:ascii="SimSun" w:hAnsi="SimSun"/>
                <w:b w:val="false"/>
                <w:i w:val="false"/>
                <w:color w:val="000000"/>
                <w:sz w:val="21"/>
              </w:rPr>
              <w:t>Hospital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医疗保险</w:t>
            </w:r>
            <w:r>
              <w:br/>
            </w:r>
            <w:r>
              <w:br/>
            </w:r>
            <w:r>
              <w:rPr>
                <w:rFonts w:ascii="SimSun" w:hAnsi="SimSun"/>
                <w:b w:val="false"/>
                <w:i w:val="false"/>
                <w:color w:val="000000"/>
                <w:sz w:val="21"/>
              </w:rPr>
              <w:t>Health Insurance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卫生政策研究理论</w:t>
            </w:r>
            <w:r>
              <w:br/>
            </w:r>
            <w:r>
              <w:br/>
            </w:r>
            <w:r>
              <w:rPr>
                <w:rFonts w:ascii="SimSun" w:hAnsi="SimSun"/>
                <w:b w:val="false"/>
                <w:i w:val="false"/>
                <w:color w:val="000000"/>
                <w:sz w:val="21"/>
              </w:rPr>
              <w:t>Theory of Health Policy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修满20学分。要求在本专业专业进阶模块修读20学分。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专业进阶模块Ⅰ</w:t>
      </w:r>
      <w:r>
        <w:rPr>
          <w:rFonts w:ascii="SimSun" w:hAnsi="SimSun"/>
          <w:b/>
          <w:i w:val="false"/>
          <w:color w:val="000000"/>
          <w:sz w:val="21"/>
        </w:rPr>
        <w:t>（13学分）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正常人体形态与功能学IB</w:t>
            </w:r>
            <w:r>
              <w:br/>
            </w:r>
            <w:r>
              <w:br/>
            </w:r>
            <w:r>
              <w:rPr>
                <w:rFonts w:ascii="SimSun" w:hAnsi="SimSun"/>
                <w:b w:val="false"/>
                <w:i w:val="false"/>
                <w:color w:val="000000"/>
                <w:sz w:val="21"/>
              </w:rPr>
              <w:t>Normal Structure and Functions of the Human Body IB</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正常人体形态与功能学ⅡB</w:t>
            </w:r>
            <w:r>
              <w:br/>
            </w:r>
            <w:r>
              <w:br/>
            </w:r>
            <w:r>
              <w:rPr>
                <w:rFonts w:ascii="SimSun" w:hAnsi="SimSun"/>
                <w:b w:val="false"/>
                <w:i w:val="false"/>
                <w:color w:val="000000"/>
                <w:sz w:val="21"/>
              </w:rPr>
              <w:t>Normal Structure and Functions of the Human Body IIB</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正常人体形态与功能学ⅢB</w:t>
            </w:r>
            <w:r>
              <w:br/>
            </w:r>
            <w:r>
              <w:br/>
            </w:r>
            <w:r>
              <w:rPr>
                <w:rFonts w:ascii="SimSun" w:hAnsi="SimSun"/>
                <w:b w:val="false"/>
                <w:i w:val="false"/>
                <w:color w:val="000000"/>
                <w:sz w:val="21"/>
              </w:rPr>
              <w:t>Normal Structure and Functions of the Human Body IIIB</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正常人体形态与功能学ⅣB</w:t>
            </w:r>
            <w:r>
              <w:br/>
            </w:r>
            <w:r>
              <w:br/>
            </w:r>
            <w:r>
              <w:rPr>
                <w:rFonts w:ascii="SimSun" w:hAnsi="SimSun"/>
                <w:b w:val="false"/>
                <w:i w:val="false"/>
                <w:color w:val="000000"/>
                <w:sz w:val="21"/>
              </w:rPr>
              <w:t>Normal Structure and Functions of the Human Body IVB</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疾病机制</w:t>
            </w:r>
            <w:r>
              <w:br/>
            </w:r>
            <w:r>
              <w:br/>
            </w:r>
            <w:r>
              <w:rPr>
                <w:rFonts w:ascii="SimSun" w:hAnsi="SimSun"/>
                <w:b w:val="false"/>
                <w:i w:val="false"/>
                <w:color w:val="000000"/>
                <w:sz w:val="21"/>
              </w:rPr>
              <w:t>Pathological Mechanisms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诊断学C</w:t>
            </w:r>
            <w:r>
              <w:br/>
            </w:r>
            <w:r>
              <w:br/>
            </w:r>
            <w:r>
              <w:rPr>
                <w:rFonts w:ascii="SimSun" w:hAnsi="SimSun"/>
                <w:b w:val="false"/>
                <w:i w:val="false"/>
                <w:color w:val="000000"/>
                <w:sz w:val="21"/>
              </w:rPr>
              <w:t>Diagnostics C</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医学文献检索与利用B</w:t>
            </w:r>
            <w:r>
              <w:br/>
            </w:r>
            <w:r>
              <w:br/>
            </w:r>
            <w:r>
              <w:rPr>
                <w:rFonts w:ascii="SimSun" w:hAnsi="SimSun"/>
                <w:b w:val="false"/>
                <w:i w:val="false"/>
                <w:color w:val="000000"/>
                <w:sz w:val="21"/>
              </w:rPr>
              <w:t>Medical Information Retrieval and Applications B</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从生物学和统计学视角看人类疾病</w:t>
            </w:r>
            <w:r>
              <w:br/>
            </w:r>
            <w:r>
              <w:br/>
            </w:r>
            <w:r>
              <w:rPr>
                <w:rFonts w:ascii="SimSun" w:hAnsi="SimSun"/>
                <w:b w:val="false"/>
                <w:i w:val="false"/>
                <w:color w:val="000000"/>
                <w:sz w:val="21"/>
              </w:rPr>
              <w:t>Biological and Statistical Perspectives on Human Disease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MED130266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公共卫生监督学</w:t>
            </w:r>
            <w:r>
              <w:br/>
            </w:r>
            <w:r>
              <w:br/>
            </w:r>
            <w:r>
              <w:rPr>
                <w:rFonts w:ascii="SimSun" w:hAnsi="SimSun"/>
                <w:b w:val="false"/>
                <w:i w:val="false"/>
                <w:color w:val="000000"/>
                <w:sz w:val="21"/>
              </w:rPr>
              <w:t>Public Health Inspection　</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卫生人力规划</w:t>
            </w:r>
            <w:r>
              <w:br/>
            </w:r>
            <w:r>
              <w:br/>
            </w:r>
            <w:r>
              <w:rPr>
                <w:rFonts w:ascii="SimSun" w:hAnsi="SimSun"/>
                <w:b w:val="false"/>
                <w:i w:val="false"/>
                <w:color w:val="000000"/>
                <w:sz w:val="21"/>
              </w:rPr>
              <w:t>Health and Human Resources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健康心理学</w:t>
            </w:r>
            <w:r>
              <w:br/>
            </w:r>
            <w:r>
              <w:br/>
            </w:r>
            <w:r>
              <w:rPr>
                <w:rFonts w:ascii="SimSun" w:hAnsi="SimSun"/>
                <w:b w:val="false"/>
                <w:i w:val="false"/>
                <w:color w:val="000000"/>
                <w:sz w:val="21"/>
              </w:rPr>
              <w:t>Health Psychology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医学生职业生涯规划</w:t>
            </w:r>
            <w:r>
              <w:br/>
            </w:r>
            <w:r>
              <w:br/>
            </w:r>
            <w:r>
              <w:rPr>
                <w:rFonts w:ascii="SimSun" w:hAnsi="SimSun"/>
                <w:b w:val="false"/>
                <w:i w:val="false"/>
                <w:color w:val="000000"/>
                <w:sz w:val="21"/>
              </w:rPr>
              <w:t>Career Planning for Medical Students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管理与沟通技巧</w:t>
            </w:r>
            <w:r>
              <w:br/>
            </w:r>
            <w:r>
              <w:br/>
            </w:r>
            <w:r>
              <w:rPr>
                <w:rFonts w:ascii="SimSun" w:hAnsi="SimSun"/>
                <w:b w:val="false"/>
                <w:i w:val="false"/>
                <w:color w:val="000000"/>
                <w:sz w:val="21"/>
              </w:rPr>
              <w:t>Management and Communication Skills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妇幼卫生学概论</w:t>
            </w:r>
            <w:r>
              <w:br/>
            </w:r>
            <w:r>
              <w:br/>
            </w:r>
            <w:r>
              <w:rPr>
                <w:rFonts w:ascii="SimSun" w:hAnsi="SimSun"/>
                <w:b w:val="false"/>
                <w:i w:val="false"/>
                <w:color w:val="000000"/>
                <w:sz w:val="21"/>
              </w:rPr>
              <w:t>Introduction to Maternal and Child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医学人口统计学</w:t>
            </w:r>
            <w:r>
              <w:br/>
            </w:r>
            <w:r>
              <w:br/>
            </w:r>
            <w:r>
              <w:rPr>
                <w:rFonts w:ascii="SimSun" w:hAnsi="SimSun"/>
                <w:b w:val="false"/>
                <w:i w:val="false"/>
                <w:color w:val="000000"/>
                <w:sz w:val="21"/>
              </w:rPr>
              <w:t>Medical Demography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全球卫生导论</w:t>
            </w:r>
            <w:r>
              <w:br/>
            </w:r>
            <w:r>
              <w:br/>
            </w:r>
            <w:r>
              <w:rPr>
                <w:rFonts w:ascii="SimSun" w:hAnsi="SimSun"/>
                <w:b w:val="false"/>
                <w:i w:val="false"/>
                <w:color w:val="000000"/>
                <w:sz w:val="21"/>
              </w:rPr>
              <w:t>Introduction to Global Hygiene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卫生经济评价方法</w:t>
            </w:r>
            <w:r>
              <w:br/>
            </w:r>
            <w:r>
              <w:br/>
            </w:r>
            <w:r>
              <w:rPr>
                <w:rFonts w:ascii="SimSun" w:hAnsi="SimSun"/>
                <w:b w:val="false"/>
                <w:i w:val="false"/>
                <w:color w:val="000000"/>
                <w:sz w:val="21"/>
              </w:rPr>
              <w:t>Method of Health Economic Evaluation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卫生技术评估导论</w:t>
            </w:r>
            <w:r>
              <w:br/>
            </w:r>
            <w:r>
              <w:br/>
            </w:r>
            <w:r>
              <w:rPr>
                <w:rFonts w:ascii="SimSun" w:hAnsi="SimSun"/>
                <w:b w:val="false"/>
                <w:i w:val="false"/>
                <w:color w:val="000000"/>
                <w:sz w:val="21"/>
              </w:rPr>
              <w:t>Introduction to Health Technology Assessment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卫生管理预测与决策分析</w:t>
            </w:r>
            <w:r>
              <w:br/>
            </w:r>
            <w:r>
              <w:br/>
            </w:r>
            <w:r>
              <w:rPr>
                <w:rFonts w:ascii="SimSun" w:hAnsi="SimSun"/>
                <w:b w:val="false"/>
                <w:i w:val="false"/>
                <w:color w:val="000000"/>
                <w:sz w:val="21"/>
              </w:rPr>
              <w:t>Forecasting and Decision Making in Health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科学写作：聚焦群医学</w:t>
            </w:r>
            <w:r>
              <w:br/>
            </w:r>
            <w:r>
              <w:br/>
            </w:r>
            <w:r>
              <w:rPr>
                <w:rFonts w:ascii="SimSun" w:hAnsi="SimSun"/>
                <w:b w:val="false"/>
                <w:i w:val="false"/>
                <w:color w:val="000000"/>
                <w:sz w:val="21"/>
              </w:rPr>
              <w:t>Scientific Writing: Focusing on Population-based Medicine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行为经济学与公众健康</w:t>
            </w:r>
            <w:r>
              <w:br/>
            </w:r>
            <w:r>
              <w:br/>
            </w:r>
            <w:r>
              <w:rPr>
                <w:rFonts w:ascii="SimSun" w:hAnsi="SimSun"/>
                <w:b w:val="false"/>
                <w:i w:val="false"/>
                <w:color w:val="000000"/>
                <w:sz w:val="21"/>
              </w:rPr>
              <w:t>Behavioral Economics and Public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PHPM130116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健康公平</w:t>
            </w:r>
            <w:r>
              <w:br/>
            </w:r>
            <w:r>
              <w:br/>
            </w:r>
            <w:r>
              <w:rPr>
                <w:rFonts w:ascii="SimSun" w:hAnsi="SimSun"/>
                <w:b w:val="false"/>
                <w:i w:val="false"/>
                <w:color w:val="000000"/>
                <w:sz w:val="21"/>
              </w:rPr>
              <w:t>Health equity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大数据与统计模拟在公共卫生中的应用</w:t>
            </w:r>
            <w:r>
              <w:br/>
            </w:r>
            <w:r>
              <w:br/>
            </w:r>
            <w:r>
              <w:rPr>
                <w:rFonts w:ascii="SimSun" w:hAnsi="SimSun"/>
                <w:b w:val="false"/>
                <w:i w:val="false"/>
                <w:color w:val="000000"/>
                <w:sz w:val="21"/>
              </w:rPr>
              <w:t>Application of Big Data and Statistical Simulation in Public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卫生学评价</w:t>
            </w:r>
            <w:r>
              <w:br/>
            </w:r>
            <w:r>
              <w:br/>
            </w:r>
            <w:r>
              <w:rPr>
                <w:rFonts w:ascii="SimSun" w:hAnsi="SimSun"/>
                <w:b w:val="false"/>
                <w:i w:val="false"/>
                <w:color w:val="000000"/>
                <w:sz w:val="21"/>
              </w:rPr>
              <w:t>Hygenic Evaluation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疫苗与传染病防控</w:t>
            </w:r>
            <w:r>
              <w:br/>
            </w:r>
            <w:r>
              <w:br/>
            </w:r>
            <w:r>
              <w:rPr>
                <w:rFonts w:ascii="SimSun" w:hAnsi="SimSun"/>
                <w:b w:val="false"/>
                <w:i w:val="false"/>
                <w:color w:val="000000"/>
                <w:sz w:val="21"/>
              </w:rPr>
              <w:t>Vaccines and Infectious Disease Prevention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心理与饮食行为</w:t>
            </w:r>
            <w:r>
              <w:br/>
            </w:r>
            <w:r>
              <w:br/>
            </w:r>
            <w:r>
              <w:rPr>
                <w:rFonts w:ascii="SimSun" w:hAnsi="SimSun"/>
                <w:b w:val="false"/>
                <w:i w:val="false"/>
                <w:color w:val="000000"/>
                <w:sz w:val="21"/>
              </w:rPr>
              <w:t>Psychology of eating</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专业进阶模块Ⅱ</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公管模块</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卫生统计学B</w:t>
            </w:r>
            <w:r>
              <w:br/>
            </w:r>
            <w:r>
              <w:br/>
            </w:r>
            <w:r>
              <w:rPr>
                <w:rFonts w:ascii="SimSun" w:hAnsi="SimSun"/>
                <w:b w:val="false"/>
                <w:i w:val="false"/>
                <w:color w:val="000000"/>
                <w:sz w:val="21"/>
              </w:rPr>
              <w:t>Biostatistics B</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PHPM130127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卫生服务研究</w:t>
            </w:r>
            <w:r>
              <w:br/>
            </w:r>
            <w:r>
              <w:br/>
            </w:r>
            <w:r>
              <w:rPr>
                <w:rFonts w:ascii="SimSun" w:hAnsi="SimSun"/>
                <w:b w:val="false"/>
                <w:i w:val="false"/>
                <w:color w:val="000000"/>
                <w:sz w:val="21"/>
              </w:rPr>
              <w:t>Health Services Research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卫生管理研究设计</w:t>
            </w:r>
            <w:r>
              <w:br/>
            </w:r>
            <w:r>
              <w:br/>
            </w:r>
            <w:r>
              <w:rPr>
                <w:rFonts w:ascii="SimSun" w:hAnsi="SimSun"/>
                <w:b w:val="false"/>
                <w:i w:val="false"/>
                <w:color w:val="000000"/>
                <w:sz w:val="21"/>
              </w:rPr>
              <w:t>Design of Healthcare Management Research</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PHPM20009</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两种完成途径：(A)修读专业进阶I和1个非本专业独立开设的专业学程或跨学科学程；或者(B)修读2个非本专业独立开设的专业学程或跨学科学程。学分不足部分可在全校开设的本科生课程中任意选修。完成跨学科发展路径(A)的学生可获得相应的学程证书，可以向公共卫生学院申请推免直研资格，公共卫生学院为其提供专业排名；完成跨学科发展路径(B)的学生可获得相应的学程证书，但不能向公共卫生学院申请推免直研资格，公共卫生学院也不为其提供专业排名。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两种完成途径：(A)修读专业进阶I以及1个创新创业学院开设的创新创业学程；或者(B)修读1个非本专业独立开设的专业学程或跨学科学程以及1个创新创业学院开设的创新创业学程。学分不足部分可在全校所有本科生课程中任意选修。创新创业学程课程详见教务处学程项目网页，下载地址：https://jwc.fudan.edu.cn/（复旦大学教务处）专业培养-常用文档。完成创新创业路径(A)的学生可向公共卫生学院申请推免直研资格，公共卫生学院为其提供专业排名。完成创新创业路径(B)的学生不能向公共卫生学院申请推免直研资格，公共卫生学院也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1.鼓励完成1项德隆项目或复芏计划（FDUROP）项目，激发创新志趣。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2.多渠道支持学生参加国内国际高水平学术交流，鼓励学生参加国内国际高水平创新竞赛（中国国际大学生创新大赛、“挑战杯”全国大学生课外学术科技作品竞赛、全国大学生健康科普大赛等）。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生产见习</w:t>
            </w:r>
            <w:r>
              <w:br/>
            </w:r>
            <w:r>
              <w:br/>
            </w:r>
            <w:r>
              <w:rPr>
                <w:rFonts w:ascii="SimSun" w:hAnsi="SimSun"/>
                <w:b w:val="false"/>
                <w:i w:val="false"/>
                <w:color w:val="000000"/>
                <w:sz w:val="21"/>
              </w:rPr>
              <w:t>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需要承担1项德隆或复芏计划项目，详见复旦大学本科生学术研究资助计划管理办法。</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