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国际关系与公共事务学院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2025行政管理专业-公共管理-本硕融通培养方案（普通学生适用）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国际关系与公共事务学院成立于2000年11月，前身为1923年建立的复旦大学政治学系。百年政心赓续，问道政学、作育国士。目前拥有政治学和公共管理两个国家A类学科，是国家“双一流”学科建设单位，在世界大学专业排名中稳居前列。秉承“卓越为公”理念，培养新时代具有全球视野、国家意识和专业才能的领军人才。</w:t>
      </w:r>
      <w:r>
        <w:br/>
      </w:r>
      <w:r>
        <w:br/>
      </w:r>
      <w:r>
        <w:rPr>
          <w:rFonts w:ascii="SimSun" w:hAnsi="SimSun"/>
          <w:b w:val="false"/>
          <w:i w:val="false"/>
          <w:color w:val="000000"/>
          <w:sz w:val="21"/>
        </w:rPr>
        <w:t>复旦大学公共管理学为行政管理专业，是国内最早设立行政管理本科专业、国家级一流本科专业，首批设立公共管理一级学科博士点及博士后流动站设站的单位之一，也是全国首批公共管理专业学位硕士（MPA）培养机构，形成了完善的本-硕-博一体化人才培养体系。</w:t>
      </w:r>
      <w:r>
        <w:br/>
      </w:r>
      <w:r>
        <w:br/>
      </w:r>
      <w:r>
        <w:rPr>
          <w:rFonts w:ascii="SimSun" w:hAnsi="SimSun"/>
          <w:b w:val="false"/>
          <w:i w:val="false"/>
          <w:color w:val="000000"/>
          <w:sz w:val="21"/>
        </w:rPr>
        <w:t>复旦大学公共行政系承担行政管理、公共政策、应急管理与政府运行保障管理等二级学科的建设与发展任务。</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本项目对接国家和上海市政府提出的人工智能（AI）专业人才培养的建设需求，秉持“宽口径、厚基础、重能力、求创新”的人才培养理念，构建了“2+X+Y”培养模式（2是通识和专业教育，X是多元发展路径，Y为融合创新能力），致力于培养德智体美劳全面发展，拥有扎实的公共政策与行政管理理论基础以及人工智能基础知识与关键技能的复合型创新人才，能够结合公共管理、政治学、人工智能、计算机科学等跨学科背景，在党政机关、企事业单位、社会团体从事管理工作以及人工智能相关研究与开发工作。</w:t>
      </w:r>
      <w:r>
        <w:br/>
      </w:r>
      <w:r>
        <w:br/>
      </w:r>
      <w:r>
        <w:rPr>
          <w:rFonts w:ascii="SimSun" w:hAnsi="SimSun"/>
          <w:b w:val="false"/>
          <w:i w:val="false"/>
          <w:color w:val="000000"/>
          <w:sz w:val="21"/>
        </w:rPr>
        <w:t xml:space="preserve">要求学生掌握公共政策学、行政管理学、政治学、人工智能科学、计算机科学的基本理论和实践知识；掌握辩证唯物主义和历史唯物主义的基本观点和分析方法；深入了解社会治理与公共服务以及党政管理相关的法律、制度、方针、政策；了解公共政策、行政管理、人工智能的理论前沿以及政治学、管理学、法学、经济学、计算机科学等相关学科的发展动态；熟练掌握一门外语；掌握应用人工智能大模型工具以及多学科文献检索、资料查询的基本方法，具有公共政策与人工智能相关领域的科学研究能力，以及从事党政机关、企事业单位管理与研发实际工作的卓越能力。       </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要求学生系统掌握马克思主义基本原理，熟练掌握公共政策学、行政管理学、政治学、人工智能科学、计算机科学的基本理论知识；具备辩证唯物主义和历史唯物主义的基本观点和分析方法；深入了解社会治理与公共服务以及党政管理相关的法律、制度、方针、政策；熟练掌握一门外语；了解公共政策、行政管理、人工智能的理论前沿以及政治学、管理学、法学、经济学、计算机科学等相关学科的发展动态；掌握应用人工智能大模型工具以及多学科文献检索、资料查询的基本方法，具有公共政策与人工智能相关领域的科学研究能力。</w:t>
      </w:r>
      <w:r>
        <w:br/>
      </w:r>
      <w:r>
        <w:br/>
      </w:r>
      <w:r>
        <w:rPr>
          <w:rFonts w:ascii="SimSun" w:hAnsi="SimSun"/>
          <w:b w:val="false"/>
          <w:i w:val="false"/>
          <w:color w:val="000000"/>
          <w:sz w:val="21"/>
        </w:rPr>
        <w:t>科学研究能力与水平的基本要求:</w:t>
      </w:r>
      <w:r>
        <w:br/>
      </w:r>
      <w:r>
        <w:br/>
      </w:r>
      <w:r>
        <w:rPr>
          <w:rFonts w:ascii="SimSun" w:hAnsi="SimSun"/>
          <w:b w:val="false"/>
          <w:i w:val="false"/>
          <w:color w:val="000000"/>
          <w:sz w:val="21"/>
        </w:rPr>
        <w:t>（1）具有本学科扎实的理论基础；</w:t>
      </w:r>
      <w:r>
        <w:br/>
      </w:r>
      <w:r>
        <w:br/>
      </w:r>
      <w:r>
        <w:rPr>
          <w:rFonts w:ascii="SimSun" w:hAnsi="SimSun"/>
          <w:b w:val="false"/>
          <w:i w:val="false"/>
          <w:color w:val="000000"/>
          <w:sz w:val="21"/>
        </w:rPr>
        <w:t>（2）能独立开展专业研究；</w:t>
      </w:r>
      <w:r>
        <w:br/>
      </w:r>
      <w:r>
        <w:br/>
      </w:r>
      <w:r>
        <w:rPr>
          <w:rFonts w:ascii="SimSun" w:hAnsi="SimSun"/>
          <w:b w:val="false"/>
          <w:i w:val="false"/>
          <w:color w:val="000000"/>
          <w:sz w:val="21"/>
        </w:rPr>
        <w:t>（3）具有较强的调查研究能力与文字写作能力；</w:t>
      </w:r>
      <w:r>
        <w:br/>
      </w:r>
      <w:r>
        <w:br/>
      </w:r>
      <w:r>
        <w:rPr>
          <w:rFonts w:ascii="SimSun" w:hAnsi="SimSun"/>
          <w:b w:val="false"/>
          <w:i w:val="false"/>
          <w:color w:val="000000"/>
          <w:sz w:val="21"/>
        </w:rPr>
        <w:t>（4）能较熟练地运用一门外语阅读专业书刊；</w:t>
      </w:r>
      <w:r>
        <w:br/>
      </w:r>
      <w:r>
        <w:br/>
      </w:r>
      <w:r>
        <w:rPr>
          <w:rFonts w:ascii="SimSun" w:hAnsi="SimSun"/>
          <w:b w:val="false"/>
          <w:i w:val="false"/>
          <w:color w:val="000000"/>
          <w:sz w:val="21"/>
        </w:rPr>
        <w:t>（5）硕士学位论文经修改后能在国内核心期刊正式发表。</w:t>
      </w:r>
    </w:p>
    <w:p>
      <w:pPr>
        <w:spacing w:after="0"/>
        <w:ind w:left="0"/>
        <w:jc w:val="left"/>
      </w:pPr>
      <w:r>
        <w:drawing>
          <wp:inline distT="0" distB="0" distL="0" distR="0">
            <wp:extent cx="5063067" cy="16425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063067" cy="16425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6</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面试内容：荣誉课程学习情况、综合评价（竞赛、比赛、科研实践情况及学术志趣等内容）
毕业论文按照本博轨道撰写方法完成</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笔试科目：按照本学科规定安排博资考
面试内容：已从事的科研活动及取得的科研成果介绍，以及下一步的科研计划</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行政管理专业本科“2+X+Y”培养方案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公共管理学术学位硕士培养方案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30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面试内容：课程学习情况、综合评价（竞赛、比赛、科研实践情况及学术志趣等内容）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70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3年级上学期结束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30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面试内容：课程学习情况、综合评价（竞赛、比赛、科研实践情况及学术志趣等内容）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70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行政管理</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139</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41</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63</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融合创新能力实训模块</w:t>
            </w:r>
            <w:r>
              <w:rPr>
                <w:rFonts w:ascii="SimSun" w:hAnsi="SimSun"/>
                <w:b w:val="false"/>
                <w:i w:val="false"/>
                <w:color w:val="000000"/>
                <w:sz w:val="21"/>
              </w:rPr>
              <w:t xml:space="preserve"> </w:t>
            </w:r>
            <w:r>
              <w:rPr>
                <w:rFonts w:ascii="SimSun" w:hAnsi="SimSun"/>
                <w:b w:val="false"/>
                <w:i w:val="false"/>
                <w:color w:val="000000"/>
                <w:sz w:val="21"/>
              </w:rPr>
              <w:t>14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公共管理</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本路径学生本硕期间必须修满教学计划规定的156学分（含实践学分不低于23.5学分；含美育学分不少于2学分，其中至少在“美学和艺术史论类”或“艺术鉴赏和评论类”课程中修读1学分，并至少参与一项艺术实践活动；劳动教育不少于32学时，并满足劳动周教育要求），包括通识教育课程44学分（其中研究生学位课3学分）、全球领导力课程模块63学分、本硕融通衔接模块25学分、硕士实务实践高阶模块10学分、满足融合创新能力模块的修读。</w:t>
      </w:r>
      <w:r>
        <w:br/>
      </w:r>
      <w:r>
        <w:br/>
      </w:r>
      <w:r>
        <w:rPr>
          <w:rFonts w:ascii="SimSun" w:hAnsi="SimSun"/>
          <w:b w:val="false"/>
          <w:i w:val="false"/>
          <w:color w:val="000000"/>
          <w:sz w:val="21"/>
        </w:rPr>
        <w:t>其中，本科学段需要完成139学分，包括通识教育课程41学分、全球领导力课程63学分，同时满足融合创新能力模块要求的修读。</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r>
        <w:br/>
      </w:r>
      <w:r>
        <w:br/>
      </w:r>
      <w:r>
        <w:rPr>
          <w:rFonts w:ascii="SimSun" w:hAnsi="SimSun"/>
          <w:b w:val="false"/>
          <w:i w:val="false"/>
          <w:color w:val="000000"/>
          <w:sz w:val="21"/>
        </w:rPr>
        <w:t>四年级结束时，如达到学士学位要求者授予管理学学士学位。</w:t>
      </w:r>
      <w:r>
        <w:br/>
      </w:r>
      <w:r>
        <w:br/>
      </w:r>
      <w:r>
        <w:rPr>
          <w:rFonts w:ascii="SimSun" w:hAnsi="SimSun"/>
          <w:b w:val="false"/>
          <w:i w:val="false"/>
          <w:color w:val="000000"/>
          <w:sz w:val="21"/>
        </w:rPr>
        <w:t>（二）研究生学位</w:t>
      </w:r>
      <w:r>
        <w:br/>
      </w:r>
      <w:r>
        <w:br/>
      </w:r>
      <w:r>
        <w:rPr>
          <w:rFonts w:ascii="SimSun" w:hAnsi="SimSun"/>
          <w:b w:val="false"/>
          <w:i w:val="false"/>
          <w:color w:val="000000"/>
          <w:sz w:val="21"/>
        </w:rPr>
        <w:t>1、如达到硕士学位要求者授予管理学硕士学位。</w:t>
      </w:r>
      <w:r>
        <w:br/>
      </w:r>
      <w:r>
        <w:br/>
      </w:r>
      <w:r>
        <w:rPr>
          <w:rFonts w:ascii="SimSun" w:hAnsi="SimSun"/>
          <w:b w:val="false"/>
          <w:i w:val="false"/>
          <w:color w:val="000000"/>
          <w:sz w:val="21"/>
        </w:rPr>
        <w:t>（1）硕士学位申请人提出学位论文答辩申请时，必须已修满学校规定的学分；所有修读课程成绩合格，其中学位课程平均绩点原则上不低于 2.5。</w:t>
      </w:r>
      <w:r>
        <w:br/>
      </w:r>
      <w:r>
        <w:br/>
      </w:r>
      <w:r>
        <w:rPr>
          <w:rFonts w:ascii="SimSun" w:hAnsi="SimSun"/>
          <w:b w:val="false"/>
          <w:i w:val="false"/>
          <w:color w:val="000000"/>
          <w:sz w:val="21"/>
        </w:rPr>
        <w:t>（2）具体参照《复旦大学学位授予工作细则》《复旦大学硕士学位基本要求》或所属一级学科或专业学位类别的《学位授予标准》及院系相关文件规定执行。</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本硕双导师制实务实践训练体系注重培养学生在国家治理与全球治理领域的实务工作能力，增强应对复杂治理问题的实践经验和专业素养，提升就业竞争力与胜任力。双导师拟由学术导师（专任教师）与行业导师（政府、企事业单位等业内人士）组成。</w:t>
      </w:r>
      <w:r>
        <w:br/>
      </w:r>
      <w:r>
        <w:br/>
      </w:r>
      <w:r>
        <w:rPr>
          <w:rFonts w:ascii="SimSun" w:hAnsi="SimSun"/>
          <w:b w:val="false"/>
          <w:i w:val="false"/>
          <w:color w:val="000000"/>
          <w:sz w:val="21"/>
        </w:rPr>
        <w:t>1.本科阶段培养设计</w:t>
      </w:r>
      <w:r>
        <w:br/>
      </w:r>
      <w:r>
        <w:br/>
      </w:r>
      <w:r>
        <w:rPr>
          <w:rFonts w:ascii="SimSun" w:hAnsi="SimSun"/>
          <w:b w:val="false"/>
          <w:i w:val="false"/>
          <w:color w:val="000000"/>
          <w:sz w:val="21"/>
        </w:rPr>
        <w:t>本科阶段将国务学院“中国之治”国情育人项目、“全球之治”世情育人项目以及相关学科竞赛列入本硕融通轨道学生必修项目清单。“中国之治”国情育人项目包括：中国之治社会实践项目（重点项目+日常化项目）；“全球之治”世情育人项目包括：青年全球治理创新设计大赛（YICGG）、澜沧江-湄公河”流域治理与发展青年创新设计大赛（YICMG）、“荣昶学者”全球治理人才培养专项计划等；学科竞赛包括“中国之治”治理案例分析大赛以及复旦大学本科生学科竞赛工作管理办法适用竞赛表所列本学科相关赛事及其他本学院认定的高水平、有影响力的赛事。</w:t>
      </w:r>
      <w:r>
        <w:br/>
      </w:r>
      <w:r>
        <w:br/>
      </w:r>
      <w:r>
        <w:rPr>
          <w:rFonts w:ascii="SimSun" w:hAnsi="SimSun"/>
          <w:b w:val="false"/>
          <w:i w:val="false"/>
          <w:color w:val="000000"/>
          <w:sz w:val="21"/>
        </w:rPr>
        <w:t>在该阶段，学生可选择以下两种方式之一完成培养：</w:t>
      </w:r>
      <w:r>
        <w:br/>
      </w:r>
      <w:r>
        <w:br/>
      </w:r>
      <w:r>
        <w:rPr>
          <w:rFonts w:ascii="SimSun" w:hAnsi="SimSun"/>
          <w:b w:val="false"/>
          <w:i w:val="false"/>
          <w:color w:val="000000"/>
          <w:sz w:val="21"/>
        </w:rPr>
        <w:t>方式一，学生在本科阶段第三学年末或第四学年初规定时间前以“队长/项目负责人”身份完成一个“中国之治”项目，并以项目调研报告为基础，继续以“队长/项目负责人”身份参加青年全球治理创新设计大赛（YICGG）、澜沧江-湄公河”流域治理与发展青年创新设计大赛（YICMG）、“荣昶学者”全球治理人才培养专项计划、“中国之治”治理案例分析大赛以及复旦大学本科生学科竞赛工作管理办法适用竞赛表所列本学科相关赛事及其他本学院认定的高水平赛事，并进入第二轮。</w:t>
      </w:r>
      <w:r>
        <w:br/>
      </w:r>
      <w:r>
        <w:br/>
      </w:r>
      <w:r>
        <w:rPr>
          <w:rFonts w:ascii="SimSun" w:hAnsi="SimSun"/>
          <w:b w:val="false"/>
          <w:i w:val="false"/>
          <w:color w:val="000000"/>
          <w:sz w:val="21"/>
        </w:rPr>
        <w:t>方式二，学生在本科阶段第三学年末或第四学年初规定时间前以“活动组织者”身份至少在1个“中国之治”、“全球之治”或“中国之治”治理案例分析大赛项目组中服务，且服务时长不少于1学年。修读认定以项目组出具的证明材料为准。此外，学生还应以“队长/项目负责人”或“项目团队成员排位前两名（除负责人外）”身份参加青年全球治理创新设计大赛（YICGG）、澜沧江-湄公河”流域治理与发展青年创新设计大赛（YICMG）、“荣昶学者”全球治理人才培养专项计划、“中国之治”治理案例分析大赛以及复旦大学本科生学科竞赛工作管理办法适用竞赛表所列本学科相关赛事及其他本学院认定的高水平赛事，并进入第二轮。学院出台相关政策，为上述竞赛活动的评审工作提供制度保障。</w:t>
      </w:r>
      <w:r>
        <w:br/>
      </w:r>
      <w:r>
        <w:br/>
      </w:r>
      <w:r>
        <w:rPr>
          <w:rFonts w:ascii="SimSun" w:hAnsi="SimSun"/>
          <w:b w:val="false"/>
          <w:i w:val="false"/>
          <w:color w:val="000000"/>
          <w:sz w:val="21"/>
        </w:rPr>
        <w:t>本科毕业时，学生如作为“队长/项目负责人”身份完成上述竞赛参赛要求，则可选择将参与竞赛所撰写研究论文或比赛报告作为本科毕业论文送审，学院出台相应配套政策，进行审核与学分认定。若结项报告、研究论文为团队成果，学生在申请认定其为本科毕业论文时，应取得指导老师以及课题团队成员书面一致同意，且每份报告或论文只适用一次本科毕业论文答辩申请。学生如作为“项目团队成员排位前两名（除负责人外）”时，则须独立撰写一篇毕业论文送审。</w:t>
      </w:r>
      <w:r>
        <w:br/>
      </w:r>
      <w:r>
        <w:br/>
      </w:r>
      <w:r>
        <w:rPr>
          <w:rFonts w:ascii="SimSun" w:hAnsi="SimSun"/>
          <w:b w:val="false"/>
          <w:i w:val="false"/>
          <w:color w:val="000000"/>
          <w:sz w:val="21"/>
        </w:rPr>
        <w:t>2.硕士研究生阶段要求</w:t>
      </w:r>
      <w:r>
        <w:br/>
      </w:r>
      <w:r>
        <w:br/>
      </w:r>
      <w:r>
        <w:rPr>
          <w:rFonts w:ascii="SimSun" w:hAnsi="SimSun"/>
          <w:b w:val="false"/>
          <w:i w:val="false"/>
          <w:color w:val="000000"/>
          <w:sz w:val="21"/>
        </w:rPr>
        <w:t>硕士阶段将学生参与指导国务学院“中国之治”国情育人项目、“全球之治”世情育人项目、“中国之治”治理案例分析大赛以及相关学科竞赛列入本硕融通轨道学生必修项目。学生在硕士研究生培养阶段为至少一个本科生学科竞赛参赛队伍担任“助导”工作，辅助竞赛队伍指导教师提供全程指导，相关认定以有效参赛证明以及指导教师认可材料为准。</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专业培养课程</w:t>
      </w:r>
      <w:r>
        <w:rPr>
          <w:rFonts w:ascii="SimSun" w:hAnsi="SimSun"/>
          <w:b/>
          <w:i w:val="false"/>
          <w:color w:val="000000"/>
          <w:sz w:val="21"/>
        </w:rPr>
        <w:t>（63学分,本科要求63学分）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“全球领导力”本科项目培养课程模块包括学院“3+3+1”基础课程包和专业核心课程包。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（34学分,本科要求34学分）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3+3+1基础课程包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政治学原理</w:t>
            </w:r>
            <w:r>
              <w:br/>
            </w:r>
            <w:r>
              <w:br/>
            </w:r>
            <w:r>
              <w:rPr>
                <w:rFonts w:ascii="SimSun" w:hAnsi="SimSun"/>
                <w:b w:val="false"/>
                <w:i w:val="false"/>
                <w:color w:val="000000"/>
                <w:sz w:val="21"/>
              </w:rPr>
              <w:t>Introduction to Political Science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公共行政学</w:t>
            </w:r>
            <w:r>
              <w:br/>
            </w:r>
            <w:r>
              <w:br/>
            </w:r>
            <w:r>
              <w:rPr>
                <w:rFonts w:ascii="SimSun" w:hAnsi="SimSun"/>
                <w:b w:val="false"/>
                <w:i w:val="false"/>
                <w:color w:val="000000"/>
                <w:sz w:val="21"/>
              </w:rPr>
              <w:t>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国际关系导论</w:t>
            </w:r>
            <w:r>
              <w:br/>
            </w:r>
            <w:r>
              <w:br/>
            </w:r>
            <w:r>
              <w:rPr>
                <w:rFonts w:ascii="SimSun" w:hAnsi="SimSun"/>
                <w:b w:val="false"/>
                <w:i w:val="false"/>
                <w:color w:val="000000"/>
                <w:sz w:val="21"/>
              </w:rPr>
              <w:t>The Introduction to International Relations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当代中国政治制度</w:t>
            </w:r>
            <w:r>
              <w:br/>
            </w:r>
            <w:r>
              <w:br/>
            </w:r>
            <w:r>
              <w:rPr>
                <w:rFonts w:ascii="SimSun" w:hAnsi="SimSun"/>
                <w:b w:val="false"/>
                <w:i w:val="false"/>
                <w:color w:val="000000"/>
                <w:sz w:val="21"/>
              </w:rPr>
              <w:t>Contemporary Chinese Political System</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公共政策概论</w:t>
            </w:r>
            <w:r>
              <w:br/>
            </w:r>
            <w:r>
              <w:br/>
            </w:r>
            <w:r>
              <w:rPr>
                <w:rFonts w:ascii="SimSun" w:hAnsi="SimSun"/>
                <w:b w:val="false"/>
                <w:i w:val="false"/>
                <w:color w:val="000000"/>
                <w:sz w:val="21"/>
              </w:rPr>
              <w:t>Public Policy: A General Survey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全球治理概论</w:t>
            </w:r>
            <w:r>
              <w:br/>
            </w:r>
            <w:r>
              <w:br/>
            </w:r>
            <w:r>
              <w:rPr>
                <w:rFonts w:ascii="SimSun" w:hAnsi="SimSun"/>
                <w:b w:val="false"/>
                <w:i w:val="false"/>
                <w:color w:val="000000"/>
                <w:sz w:val="21"/>
              </w:rPr>
              <w:t>Introduction to Global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POLI10001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w:t>
            </w:r>
            <w:r>
              <w:br/>
            </w:r>
            <w:r>
              <w:br/>
            </w:r>
            <w:r>
              <w:rPr>
                <w:rFonts w:ascii="SimSun" w:hAnsi="SimSun"/>
                <w:b w:val="false"/>
                <w:i w:val="false"/>
                <w:color w:val="000000"/>
                <w:sz w:val="21"/>
              </w:rPr>
              <w:t>Statistics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高等数学D</w:t>
            </w:r>
            <w:r>
              <w:br/>
            </w:r>
            <w:r>
              <w:br/>
            </w:r>
            <w:r>
              <w:rPr>
                <w:rFonts w:ascii="SimSun" w:hAnsi="SimSun"/>
                <w:b w:val="false"/>
                <w:i w:val="false"/>
                <w:color w:val="000000"/>
                <w:sz w:val="21"/>
              </w:rPr>
              <w:t>Advanced Mathematics D</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（29学分,本科要求29学分）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管理学原理</w:t>
            </w:r>
            <w:r>
              <w:br/>
            </w:r>
            <w:r>
              <w:br/>
            </w:r>
            <w:r>
              <w:rPr>
                <w:rFonts w:ascii="SimSun" w:hAnsi="SimSun"/>
                <w:b w:val="false"/>
                <w:i w:val="false"/>
                <w:color w:val="000000"/>
                <w:sz w:val="21"/>
              </w:rPr>
              <w:t>Principles of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政府经济学</w:t>
            </w:r>
            <w:r>
              <w:br/>
            </w:r>
            <w:r>
              <w:br/>
            </w:r>
            <w:r>
              <w:rPr>
                <w:rFonts w:ascii="SimSun" w:hAnsi="SimSun"/>
                <w:b w:val="false"/>
                <w:i w:val="false"/>
                <w:color w:val="000000"/>
                <w:sz w:val="21"/>
              </w:rPr>
              <w:t>Government Economics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POLI30025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比较政治制度</w:t>
            </w:r>
            <w:r>
              <w:br/>
            </w:r>
            <w:r>
              <w:br/>
            </w:r>
            <w:r>
              <w:rPr>
                <w:rFonts w:ascii="SimSun" w:hAnsi="SimSun"/>
                <w:b w:val="false"/>
                <w:i w:val="false"/>
                <w:color w:val="000000"/>
                <w:sz w:val="21"/>
              </w:rPr>
              <w:t>Comparative Study of Political Systems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公共行政学说史</w:t>
            </w:r>
            <w:r>
              <w:br/>
            </w:r>
            <w:r>
              <w:br/>
            </w:r>
            <w:r>
              <w:rPr>
                <w:rFonts w:ascii="SimSun" w:hAnsi="SimSun"/>
                <w:b w:val="false"/>
                <w:i w:val="false"/>
                <w:color w:val="000000"/>
                <w:sz w:val="21"/>
              </w:rPr>
              <w:t>History of Public Administration Theory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数字治理</w:t>
            </w:r>
            <w:r>
              <w:br/>
            </w:r>
            <w:r>
              <w:br/>
            </w:r>
            <w:r>
              <w:rPr>
                <w:rFonts w:ascii="SimSun" w:hAnsi="SimSun"/>
                <w:b w:val="false"/>
                <w:i w:val="false"/>
                <w:color w:val="000000"/>
                <w:sz w:val="21"/>
              </w:rPr>
              <w:t>Digital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MANA20004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行政法</w:t>
            </w:r>
            <w:r>
              <w:br/>
            </w:r>
            <w:r>
              <w:br/>
            </w:r>
            <w:r>
              <w:rPr>
                <w:rFonts w:ascii="SimSun" w:hAnsi="SimSun"/>
                <w:b w:val="false"/>
                <w:i w:val="false"/>
                <w:color w:val="000000"/>
                <w:sz w:val="21"/>
              </w:rPr>
              <w:t>Administrative Law</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比较公共行政</w:t>
            </w:r>
            <w:r>
              <w:br/>
            </w:r>
            <w:r>
              <w:br/>
            </w:r>
            <w:r>
              <w:rPr>
                <w:rFonts w:ascii="SimSun" w:hAnsi="SimSun"/>
                <w:b w:val="false"/>
                <w:i w:val="false"/>
                <w:color w:val="000000"/>
                <w:sz w:val="21"/>
              </w:rPr>
              <w:t>Comparative Study of 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MANA50002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公务员制度</w:t>
            </w:r>
            <w:r>
              <w:br/>
            </w:r>
            <w:r>
              <w:br/>
            </w:r>
            <w:r>
              <w:rPr>
                <w:rFonts w:ascii="SimSun" w:hAnsi="SimSun"/>
                <w:b w:val="false"/>
                <w:i w:val="false"/>
                <w:color w:val="000000"/>
                <w:sz w:val="21"/>
              </w:rPr>
              <w:t>Civil Servants Systems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人力资源开发与管理</w:t>
            </w:r>
            <w:r>
              <w:br/>
            </w:r>
            <w:r>
              <w:br/>
            </w:r>
            <w:r>
              <w:rPr>
                <w:rFonts w:ascii="SimSun" w:hAnsi="SimSun"/>
                <w:b w:val="false"/>
                <w:i w:val="false"/>
                <w:color w:val="000000"/>
                <w:sz w:val="21"/>
              </w:rPr>
              <w:t>Development and Management of Human Resources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POLI20028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组织行为学</w:t>
            </w:r>
            <w:r>
              <w:br/>
            </w:r>
            <w:r>
              <w:br/>
            </w:r>
            <w:r>
              <w:rPr>
                <w:rFonts w:ascii="SimSun" w:hAnsi="SimSun"/>
                <w:b w:val="false"/>
                <w:i w:val="false"/>
                <w:color w:val="000000"/>
                <w:sz w:val="21"/>
              </w:rPr>
              <w:t>Organizational Behavior</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POLI30031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当代中国公共行政</w:t>
            </w:r>
            <w:r>
              <w:br/>
            </w:r>
            <w:r>
              <w:br/>
            </w:r>
            <w:r>
              <w:rPr>
                <w:rFonts w:ascii="SimSun" w:hAnsi="SimSun"/>
                <w:b w:val="false"/>
                <w:i w:val="false"/>
                <w:color w:val="000000"/>
                <w:sz w:val="21"/>
              </w:rPr>
              <w:t>Contemporary Chinese 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POLI30047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当代中国公共政策</w:t>
            </w:r>
            <w:r>
              <w:br/>
            </w:r>
            <w:r>
              <w:br/>
            </w:r>
            <w:r>
              <w:rPr>
                <w:rFonts w:ascii="SimSun" w:hAnsi="SimSun"/>
                <w:b w:val="false"/>
                <w:i w:val="false"/>
                <w:color w:val="000000"/>
                <w:sz w:val="21"/>
              </w:rPr>
              <w:t>Contemporary Chinese Public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MANA20003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公共管理伦理</w:t>
            </w:r>
            <w:r>
              <w:br/>
            </w:r>
            <w:r>
              <w:br/>
            </w:r>
            <w:r>
              <w:rPr>
                <w:rFonts w:ascii="SimSun" w:hAnsi="SimSun"/>
                <w:b w:val="false"/>
                <w:i w:val="false"/>
                <w:color w:val="000000"/>
                <w:sz w:val="21"/>
              </w:rPr>
              <w:t>Public Administration Ethics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POLI30058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公共事业管理</w:t>
            </w:r>
            <w:r>
              <w:br/>
            </w:r>
            <w:r>
              <w:br/>
            </w:r>
            <w:r>
              <w:rPr>
                <w:rFonts w:ascii="SimSun" w:hAnsi="SimSun"/>
                <w:b w:val="false"/>
                <w:i w:val="false"/>
                <w:color w:val="000000"/>
                <w:sz w:val="21"/>
              </w:rPr>
              <w:t>Management in Public Sector</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POLI20031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社会科学研究方法</w:t>
            </w:r>
            <w:r>
              <w:br/>
            </w:r>
            <w:r>
              <w:br/>
            </w:r>
            <w:r>
              <w:rPr>
                <w:rFonts w:ascii="SimSun" w:hAnsi="SimSun"/>
                <w:b w:val="false"/>
                <w:i w:val="false"/>
                <w:color w:val="000000"/>
                <w:sz w:val="21"/>
              </w:rPr>
              <w:t>Research Methods of the Social Sciences</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POLI20016</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(二)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包括本硕实务实践衔接课程包、硕士实务实践高阶课程模块，按路径要求修读课程。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专业进阶I</w:t>
      </w:r>
      <w:r>
        <w:rPr>
          <w:rFonts w:ascii="SimSun" w:hAnsi="SimSun"/>
          <w:b/>
          <w:i w:val="false"/>
          <w:color w:val="000000"/>
          <w:sz w:val="21"/>
        </w:rPr>
        <w:t>（25学分,本科要求10学分）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I.本硕实务实践衔接课程包（25学分）。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公共管理</w:t>
            </w:r>
            <w:r>
              <w:br/>
            </w:r>
            <w:r>
              <w:br/>
            </w:r>
            <w:r>
              <w:rPr>
                <w:rFonts w:ascii="SimSun" w:hAnsi="SimSun"/>
                <w:b w:val="false"/>
                <w:i w:val="false"/>
                <w:color w:val="000000"/>
                <w:sz w:val="21"/>
              </w:rPr>
              <w:t>Public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MANA20002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公共政策分析</w:t>
            </w:r>
            <w:r>
              <w:br/>
            </w:r>
            <w:r>
              <w:br/>
            </w:r>
            <w:r>
              <w:rPr>
                <w:rFonts w:ascii="SimSun" w:hAnsi="SimSun"/>
                <w:b w:val="false"/>
                <w:i w:val="false"/>
                <w:color w:val="000000"/>
                <w:sz w:val="21"/>
              </w:rPr>
              <w:t>Public Policy Analysis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政府财政与预算</w:t>
            </w:r>
            <w:r>
              <w:br/>
            </w:r>
            <w:r>
              <w:br/>
            </w:r>
            <w:r>
              <w:rPr>
                <w:rFonts w:ascii="SimSun" w:hAnsi="SimSun"/>
                <w:b w:val="false"/>
                <w:i w:val="false"/>
                <w:color w:val="000000"/>
                <w:sz w:val="21"/>
              </w:rPr>
              <w:t>Public Finance and Budgeting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全球公共政策</w:t>
            </w:r>
            <w:r>
              <w:br/>
            </w:r>
            <w:r>
              <w:br/>
            </w:r>
            <w:r>
              <w:rPr>
                <w:rFonts w:ascii="SimSun" w:hAnsi="SimSun"/>
                <w:b w:val="false"/>
                <w:i w:val="false"/>
                <w:color w:val="000000"/>
                <w:sz w:val="21"/>
              </w:rPr>
              <w:t>Global Public Policy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GEEC20011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应急管理</w:t>
            </w:r>
            <w:r>
              <w:br/>
            </w:r>
            <w:r>
              <w:br/>
            </w:r>
            <w:r>
              <w:rPr>
                <w:rFonts w:ascii="SimSun" w:hAnsi="SimSun"/>
                <w:b w:val="false"/>
                <w:i w:val="false"/>
                <w:color w:val="000000"/>
                <w:sz w:val="21"/>
              </w:rPr>
              <w:t>Emergency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MANA70005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政府运行保障管理</w:t>
            </w:r>
            <w:r>
              <w:br/>
            </w:r>
            <w:r>
              <w:br/>
            </w:r>
            <w:r>
              <w:rPr>
                <w:rFonts w:ascii="SimSun" w:hAnsi="SimSun"/>
                <w:b w:val="false"/>
                <w:i w:val="false"/>
                <w:color w:val="000000"/>
                <w:sz w:val="21"/>
              </w:rPr>
              <w:t>Government Operation and Supply Chain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3,4</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政策调研与写作</w:t>
            </w:r>
            <w:r>
              <w:br/>
            </w:r>
            <w:r>
              <w:br/>
            </w:r>
            <w:r>
              <w:rPr>
                <w:rFonts w:ascii="SimSun" w:hAnsi="SimSun"/>
                <w:b w:val="false"/>
                <w:i w:val="false"/>
                <w:color w:val="000000"/>
                <w:sz w:val="21"/>
              </w:rPr>
              <w:t>Practical Guide to Survey Research and Public Policy Papers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GEXZ10024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政策推演与模拟</w:t>
            </w:r>
            <w:r>
              <w:br/>
            </w:r>
            <w:r>
              <w:br/>
            </w:r>
            <w:r>
              <w:rPr>
                <w:rFonts w:ascii="SimSun" w:hAnsi="SimSun"/>
                <w:b w:val="false"/>
                <w:i w:val="false"/>
                <w:color w:val="000000"/>
                <w:sz w:val="21"/>
              </w:rPr>
              <w:t>Policy Simulation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POLI30011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行政与外交文书</w:t>
            </w:r>
            <w:r>
              <w:br/>
            </w:r>
            <w:r>
              <w:br/>
            </w:r>
            <w:r>
              <w:rPr>
                <w:rFonts w:ascii="SimSun" w:hAnsi="SimSun"/>
                <w:b w:val="false"/>
                <w:i w:val="false"/>
                <w:color w:val="000000"/>
                <w:sz w:val="21"/>
              </w:rPr>
              <w:t>Administrative and Diplomatic Document Writing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POLI20010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国际公共行政</w:t>
            </w:r>
            <w:r>
              <w:br/>
            </w:r>
            <w:r>
              <w:br/>
            </w:r>
            <w:r>
              <w:rPr>
                <w:rFonts w:ascii="SimSun" w:hAnsi="SimSun"/>
                <w:b w:val="false"/>
                <w:i w:val="false"/>
                <w:color w:val="000000"/>
                <w:sz w:val="21"/>
              </w:rPr>
              <w:t>International 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AI赋能的政务服务再造</w:t>
            </w:r>
            <w:r>
              <w:br/>
            </w:r>
            <w:r>
              <w:br/>
            </w:r>
            <w:r>
              <w:rPr>
                <w:rFonts w:ascii="SimSun" w:hAnsi="SimSun"/>
                <w:b w:val="false"/>
                <w:i w:val="false"/>
                <w:color w:val="000000"/>
                <w:sz w:val="21"/>
              </w:rPr>
              <w:t>AI-empowered Reengineering of Government Services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AIT531018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城乡治理理论与实践</w:t>
            </w:r>
            <w:r>
              <w:br/>
            </w:r>
            <w:r>
              <w:br/>
            </w:r>
            <w:r>
              <w:rPr>
                <w:rFonts w:ascii="SimSun" w:hAnsi="SimSun"/>
                <w:b w:val="false"/>
                <w:i w:val="false"/>
                <w:color w:val="000000"/>
                <w:sz w:val="21"/>
              </w:rPr>
              <w:t>Theories and Practice of Rural-urban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MANA20001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w:t>
            </w:r>
            <w:r>
              <w:br/>
            </w:r>
            <w:r>
              <w:br/>
            </w:r>
            <w:r>
              <w:rPr>
                <w:rFonts w:ascii="SimSun" w:hAnsi="SimSun"/>
                <w:b w:val="false"/>
                <w:i w:val="false"/>
                <w:color w:val="000000"/>
                <w:sz w:val="21"/>
              </w:rPr>
              <w:t>Economics of Development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地理信息系统与空间分析</w:t>
            </w:r>
            <w:r>
              <w:br/>
            </w:r>
            <w:r>
              <w:br/>
            </w:r>
            <w:r>
              <w:rPr>
                <w:rFonts w:ascii="SimSun" w:hAnsi="SimSun"/>
                <w:b w:val="false"/>
                <w:i w:val="false"/>
                <w:color w:val="000000"/>
                <w:sz w:val="21"/>
              </w:rPr>
              <w:t>Geographic Information System and Spatial Analysis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POLI30061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港台政治与行政</w:t>
            </w:r>
            <w:r>
              <w:br/>
            </w:r>
            <w:r>
              <w:br/>
            </w:r>
            <w:r>
              <w:rPr>
                <w:rFonts w:ascii="SimSun" w:hAnsi="SimSun"/>
                <w:b w:val="false"/>
                <w:i w:val="false"/>
                <w:color w:val="000000"/>
                <w:sz w:val="21"/>
              </w:rPr>
              <w:t>Politics and Administration in Taiwan and Hong Kong</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GEEC30013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7,8</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政府监管理论与实践</w:t>
            </w:r>
            <w:r>
              <w:br/>
            </w:r>
            <w:r>
              <w:br/>
            </w:r>
            <w:r>
              <w:rPr>
                <w:rFonts w:ascii="SimSun" w:hAnsi="SimSun"/>
                <w:b w:val="false"/>
                <w:i w:val="false"/>
                <w:color w:val="000000"/>
                <w:sz w:val="21"/>
              </w:rPr>
              <w:t>Theory and Practice of Government Regulation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MANA70007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运筹学</w:t>
            </w:r>
            <w:r>
              <w:br/>
            </w:r>
            <w:r>
              <w:br/>
            </w:r>
            <w:r>
              <w:rPr>
                <w:rFonts w:ascii="SimSun" w:hAnsi="SimSun"/>
                <w:b w:val="false"/>
                <w:i w:val="false"/>
                <w:color w:val="000000"/>
                <w:sz w:val="21"/>
              </w:rPr>
              <w:t>Operations  Research</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田野调查方法</w:t>
            </w:r>
            <w:r>
              <w:br/>
            </w:r>
            <w:r>
              <w:br/>
            </w:r>
            <w:r>
              <w:rPr>
                <w:rFonts w:ascii="SimSun" w:hAnsi="SimSun"/>
                <w:b w:val="false"/>
                <w:i w:val="false"/>
                <w:color w:val="000000"/>
                <w:sz w:val="21"/>
              </w:rPr>
              <w:t>Fieldwork</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ESE50034</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专业进阶II</w:t>
      </w:r>
      <w:r>
        <w:rPr>
          <w:rFonts w:ascii="SimSun" w:hAnsi="SimSun"/>
          <w:b/>
          <w:i w:val="false"/>
          <w:color w:val="000000"/>
          <w:sz w:val="21"/>
        </w:rPr>
        <w:t>（10学分）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II.硕士实务实践高阶课程模块（10学分）
      </w:t>
      </w:r>
    </w:p>
    <w:tbl>
      <w:tblPr>
        <w:tblW w:w="0" w:type="auto"/>
        <w:tblCellSpacing w:w="0" w:type="auto"/>
        <w:tblBorders>
          <w:top w:val="none"/>
          <w:left w:val="none"/>
          <w:bottom w:val="none"/>
          <w:right w:val="none"/>
          <w:insideH w:val="none"/>
          <w:insideV w:val="none"/>
        </w:tblBorders>
      </w:tblPr>
      <w:tblGrid>
        <w:gridCol w:w="3186"/>
        <w:gridCol w:w="796"/>
        <w:gridCol w:w="796"/>
        <w:gridCol w:w="1115"/>
        <w:gridCol w:w="1846"/>
        <w:gridCol w:w="796"/>
        <w:gridCol w:w="796"/>
        <w:gridCol w:w="796"/>
        <w:gridCol w:w="796"/>
        <w:gridCol w:w="1116"/>
        <w:gridCol w:w="1595"/>
      </w:tblGrid>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战略研究与政策分析</w:t>
            </w:r>
            <w:r>
              <w:br/>
            </w:r>
            <w:r>
              <w:br/>
            </w:r>
            <w:r>
              <w:rPr>
                <w:rFonts w:ascii="SimSun" w:hAnsi="SimSun"/>
                <w:b w:val="false"/>
                <w:i w:val="false"/>
                <w:color w:val="000000"/>
                <w:sz w:val="21"/>
              </w:rPr>
              <w:t>Strategic Studies and Policy Analysis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POLI60013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公共行政的艺术与实践</w:t>
            </w:r>
            <w:r>
              <w:br/>
            </w:r>
            <w:r>
              <w:br/>
            </w:r>
            <w:r>
              <w:rPr>
                <w:rFonts w:ascii="SimSun" w:hAnsi="SimSun"/>
                <w:b w:val="false"/>
                <w:i w:val="false"/>
                <w:color w:val="000000"/>
                <w:sz w:val="21"/>
              </w:rPr>
              <w:t>The Art and Practice of Public Administration</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MANA70017</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数字时代的政府治理</w:t>
            </w:r>
            <w:r>
              <w:br/>
            </w:r>
            <w:r>
              <w:br/>
            </w:r>
            <w:r>
              <w:rPr>
                <w:rFonts w:ascii="SimSun" w:hAnsi="SimSun"/>
                <w:b w:val="false"/>
                <w:i w:val="false"/>
                <w:color w:val="000000"/>
                <w:sz w:val="21"/>
              </w:rPr>
              <w:t>Governance in the Digital Era</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MANA50005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风险分析与评估</w:t>
            </w:r>
            <w:r>
              <w:br/>
            </w:r>
            <w:r>
              <w:br/>
            </w:r>
            <w:r>
              <w:rPr>
                <w:rFonts w:ascii="SimSun" w:hAnsi="SimSun"/>
                <w:b w:val="false"/>
                <w:i w:val="false"/>
                <w:color w:val="000000"/>
                <w:sz w:val="21"/>
              </w:rPr>
              <w:t>Risk Analysis and Assessment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MANA70006</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国有资产管理研究</w:t>
            </w:r>
            <w:r>
              <w:br/>
            </w:r>
            <w:r>
              <w:br/>
            </w:r>
            <w:r>
              <w:rPr>
                <w:rFonts w:ascii="SimSun" w:hAnsi="SimSun"/>
                <w:b w:val="false"/>
                <w:i w:val="false"/>
                <w:color w:val="000000"/>
                <w:sz w:val="21"/>
              </w:rPr>
              <w:t>State-owned Assets Management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MANA60065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公共机构节能管理</w:t>
            </w:r>
            <w:r>
              <w:br/>
            </w:r>
            <w:r>
              <w:br/>
            </w:r>
            <w:r>
              <w:rPr>
                <w:rFonts w:ascii="SimSun" w:hAnsi="SimSun"/>
                <w:b w:val="false"/>
                <w:i w:val="false"/>
                <w:color w:val="000000"/>
                <w:sz w:val="21"/>
              </w:rPr>
              <w:t>Energy conservation management in public institutions</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MANA60005</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政府采购</w:t>
            </w:r>
            <w:r>
              <w:br/>
            </w:r>
            <w:r>
              <w:br/>
            </w:r>
            <w:r>
              <w:rPr>
                <w:rFonts w:ascii="SimSun" w:hAnsi="SimSun"/>
                <w:b w:val="false"/>
                <w:i w:val="false"/>
                <w:color w:val="000000"/>
                <w:sz w:val="21"/>
              </w:rPr>
              <w:t>Public Procurement</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MANA30009</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灾害社会学理论与实践</w:t>
            </w:r>
            <w:r>
              <w:br/>
            </w:r>
            <w:r>
              <w:br/>
            </w:r>
            <w:r>
              <w:rPr>
                <w:rFonts w:ascii="SimSun" w:hAnsi="SimSun"/>
                <w:b w:val="false"/>
                <w:i w:val="false"/>
                <w:color w:val="000000"/>
                <w:sz w:val="21"/>
              </w:rPr>
              <w:t>Disaster Sociology: Theory and Practice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MANA70004</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风险沟通理论与实践</w:t>
            </w:r>
            <w:r>
              <w:br/>
            </w:r>
            <w:r>
              <w:br/>
            </w:r>
            <w:r>
              <w:rPr>
                <w:rFonts w:ascii="SimSun" w:hAnsi="SimSun"/>
                <w:b w:val="false"/>
                <w:i w:val="false"/>
                <w:color w:val="000000"/>
                <w:sz w:val="21"/>
              </w:rPr>
              <w:t>Risk Communication Theory and Practice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POLI60018</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人工智能与国家治理</w:t>
            </w:r>
            <w:r>
              <w:br/>
            </w:r>
            <w:r>
              <w:br/>
            </w:r>
            <w:r>
              <w:rPr>
                <w:rFonts w:ascii="SimSun" w:hAnsi="SimSun"/>
                <w:b w:val="false"/>
                <w:i w:val="false"/>
                <w:color w:val="000000"/>
                <w:sz w:val="21"/>
              </w:rPr>
              <w:t>Artificial Intelligence and National Governance</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AIS310012</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社会科学数据分析</w:t>
            </w:r>
            <w:r>
              <w:br/>
            </w:r>
            <w:r>
              <w:br/>
            </w:r>
            <w:r>
              <w:rPr>
                <w:rFonts w:ascii="SimSun" w:hAnsi="SimSun"/>
                <w:b w:val="false"/>
                <w:i w:val="false"/>
                <w:color w:val="000000"/>
                <w:sz w:val="21"/>
              </w:rPr>
              <w:t>Statistical Analysis in Social Science</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POLI50007</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9,10</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(三) 融合创新能力</w:t>
      </w:r>
      <w:r>
        <w:rPr>
          <w:rFonts w:ascii="SimSun" w:hAnsi="SimSun"/>
          <w:b/>
          <w:i w:val="false"/>
          <w:color w:val="000000"/>
          <w:sz w:val="21"/>
        </w:rPr>
        <w:t>（14学分）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0"/>
        <w:gridCol w:w="807"/>
        <w:gridCol w:w="807"/>
        <w:gridCol w:w="1130"/>
        <w:gridCol w:w="1635"/>
        <w:gridCol w:w="807"/>
        <w:gridCol w:w="807"/>
        <w:gridCol w:w="807"/>
        <w:gridCol w:w="807"/>
        <w:gridCol w:w="1130"/>
        <w:gridCol w:w="1667"/>
      </w:tblGrid>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毕业时，学生可选择将FDUROP结项报告或参与“薪火计划”时在指导教师指导下独立撰写的研究报告或研究论文作为本科毕业论文送审。学院出台相应配套政策，进行审核与学分认定。若结项报告、研究论文为团队成果，学生在申请用于作为本科毕业论文送审时，应取得指导老师以及课题团队成员书面一致同意，且每份报告或论文只适用一次本科毕业论文答辩申请，不得多人重复使用。</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社会实践</w:t>
            </w:r>
            <w:r>
              <w:br/>
            </w:r>
            <w:r>
              <w:br/>
            </w:r>
            <w:r>
              <w:rPr>
                <w:rFonts w:ascii="SimSun" w:hAnsi="SimSun"/>
                <w:b w:val="false"/>
                <w:i w:val="false"/>
                <w:color w:val="000000"/>
                <w:sz w:val="21"/>
              </w:rPr>
              <w:t>Social Practice</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POLI40011</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科研实践Ⅰ</w:t>
            </w:r>
            <w:r>
              <w:br/>
            </w:r>
            <w:r>
              <w:br/>
            </w:r>
            <w:r>
              <w:rPr>
                <w:rFonts w:ascii="SimSun" w:hAnsi="SimSun"/>
                <w:b w:val="false"/>
                <w:i w:val="false"/>
                <w:color w:val="000000"/>
                <w:sz w:val="21"/>
              </w:rPr>
              <w:t>Research PracticeⅠ</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POLI30065</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w:t>
            </w: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其他本科生学术研究计划</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实务实践训练方式之一和实务实践训练方式之二必修2选1
实务实践训练方式之一：学生在本科阶段第三学年末或第四学年初规定时间前以“队长/项目负责人”身份完成一个“中国之治”项目，并以项目调研报告为基础，继续以“队长/项目负责人”身份参加青年全球治理创新设计大赛（YICGG）、澜沧江-湄公河”流域治理与发展青年创新设计大赛（YICMG）、“荣昶学者”全球治理人才培养专项计划、“中国之治”治理案例分析大赛以及复旦大学本科生学科竞赛工作管理办法适用竞赛表所列本学科相关赛事及其他本学院认定的高水平赛事，并进入第二轮。修读认定以项目立项证明材料为准，项目能否设置负责人外成员参照学校政策安排。
实务实践训练方式之二：学生在本科阶段第三学年末或第四学年初规定时间前以“活动组织者”身份至少在1个“中国之治”、“全球之治”或“中国之治”治理案例分析大赛项目组中服务，且服务时长不少于1学年。修读认定以项目组出具的证明材料为准。此外，学生还应以“队长/项目负责人”或“项目团队成员排位前两名（除负责人外）”身份参加青年全球治理创新设计大赛（YICGG）、澜沧江-湄公河”流域治理与发展青年创新设计大赛（YICMG）、“荣昶学者”全球治理人才培养专项计划、“中国之治”治理案例分析大赛以及复旦大学本科生学科竞赛工作管理办法适用竞赛表所列本学科相关赛事及其他本学院认定的高水平赛事，并进入第二轮。学院出台相关政策，为上述竞赛活动的评审工作提供制度保障。
本科毕业论文，可用复芏计划成果为论文主要内容本科毕业时，学生可选择将FDUROP结项报告或参与“薪火计划”时在指导教师指导下独立撰写的研究报告或研究论文作为本科毕业论文送审。学院出台相应配套政策，进行审核与学分认定。若结项报告、研究论文为团队成果，学生在申请用于作为本科毕业论文送审时，应取得指导老师以及课题团队成员书面一致同意，且每份报告或论文只适用一次本科毕业论文答辩申请，不得多人重复使用。</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研究生科研项目</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本硕双导师制实务实践训练体系-硕士研究生阶段要求
硕士阶段将学生参与指导国务学院“中国之治”国情育人项目、“全球之治”世情育人项目、“中国之治”治理案例分析大赛以及相关学科竞赛列入本硕融通轨道学生必修项目。学生在硕士研究生培养阶段为至少一个本科生学科竞赛参赛队伍担任“助导”工作，辅助竞赛队伍指导教师提供全程指导，相关认定以有效参赛证明以及指导教师认可材料为准。</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硕士学位论文开题</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在第8学期完成，详见国务学院论文开题实施细则</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参照学校要求，硕士生在校期间至少听取5次学术报告，并在院系或校级甚至全国性的学术研讨会、学术沙龙或其他公开学术讨论场合作2次学术报告。并作好记录和小结，送交指导老师考核和评分。</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参照学校要求，硕士生在校期间应参加两个星期以上的教学实践或者公共管理实践。并作好记录和小结，送交指导老师考核和评分。</w:t>
            </w:r>
          </w:p>
        </w:tc>
      </w:tr>
      <w:tr>
        <w:trPr>
          <w:trHeight w:val="45" w:hRule="atLeast"/>
        </w:trPr>
        <w:tc>
          <w:tcPr>
            <w:tcW w:w="32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硕士论文中期考核</w:t>
            </w:r>
            <w:r>
              <w:br/>
            </w:r>
            <w:r>
              <w:br/>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在第10学期完成，见国务学院中期考核实施细则</w:t>
            </w:r>
          </w:p>
        </w:tc>
      </w:tr>
      <w:tr>
        <w:trPr>
          <w:trHeight w:val="45" w:hRule="atLeast"/>
        </w:trPr>
        <w:tc>
          <w:tcPr>
            <w:tcW w:w="32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w:t>
            </w:r>
            <w:r>
              <w:br/>
            </w:r>
            <w:r>
              <w:br/>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