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2025管理科学-管理科学与工程本博融通培养方案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管理科学系建于1979年，是我国最早建立的管理科学系之一，也是复旦大学管理学院的发源地。学科于1985年获得国内首批博士学位授予权，1996年建成全国第一个管理科学与工程博士后流动站，2002年完成复旦大学211工程和985工程一期建设，2006年评为国家重点培育学科和上海市重点学科。</w:t>
      </w:r>
    </w:p>
    <w:p>
      <w:pPr>
        <w:spacing w:after="0"/>
        <w:ind w:left="0"/>
        <w:jc w:val="left"/>
      </w:pPr>
      <w:r>
        <w:rPr>
          <w:rFonts w:ascii="SimSun" w:hAnsi="SimSun"/>
          <w:b w:val="false"/>
          <w:i w:val="false"/>
          <w:color w:val="000000"/>
          <w:sz w:val="21"/>
        </w:rPr>
        <w:t xml:space="preserve">   管理科学是指运用科学的方法（如分析、试验、量化等）决定如何最佳地运营和设计各种系统的一门学科，即对经济管理系统中的人力、物力、财力等资源进行统筹安排，为决策者提供有依据的最优方案，以实现最有效的管理，将事情做得更好的科学（Science of Better）。本学科以“瞄准国际水平、重视解决中国实际管理问题、强调多学科交叉融合”为导向，交叉整合人工智能、大数据、供应链管理等知识，在全国高校中率先开设商务人工智能方向，培养掌握管理与智能决策技术的复合型人才。根据美国德克萨斯大学达拉斯分校（UTD）的全球商学院科研统计，本系教师论文发表稳定在全球前50名, 连续多年名列中国大陆第1名，在国际上形成广泛影响力，达到国际一流水平。</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卓研精英班以科研能力培养为核心，致力于培养德智体美劳全面发展的高端科研人才。学生需系统掌握管理科学、信息管理与信息系统、统计学等领域的基本理论与前沿知识，深入学习以大数据和人工智能为核心的商业智能分析技术，重点提升科研思维、学术创新能力和科学研究方法的应用能力。通过系统化的科研训练和实践，学生将掌握管理科学的建模分析与优化方法，具备科学问题识别、模型构建、决策优化与实证检验的能力，能够从事高水平的科学研究。</w:t>
      </w:r>
      <w:r>
        <w:br/>
      </w:r>
      <w:r>
        <w:br/>
      </w:r>
      <w:r>
        <w:rPr>
          <w:rFonts w:ascii="SimSun" w:hAnsi="SimSun"/>
          <w:b w:val="false"/>
          <w:i w:val="false"/>
          <w:color w:val="000000"/>
          <w:sz w:val="21"/>
        </w:rPr>
        <w:t xml:space="preserve">    在培养过程中，本专业注重将理论研究与实践需求紧密结合，聚焦科技创新管理的前沿问题，帮助学生了解全球科技发展动态，提升跨文化科研协作与学术交流能力。通过扎实的科研能力训练和创新实践，本专业培养的博士生将能够在国家管理、经济发展和社会创新领域，通过高质量的学术研究和科技决策，为推动商业智能与管理科学的深度融合贡献重要力量。</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388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388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3年级第2学期 2. 卓博项目/硕博项目夏令营</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笔试科目：英语、专业课一、专业课二</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相对应的科硕培养方案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面试内容：荣誉课程学习情况、综合评价（竞赛、比赛、科研实践情况及本专业科研志趣等内容）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管理科学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793067"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2869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本研融通专业进阶路径：164学分                                                                   </w:t>
      </w:r>
    </w:p>
    <w:p>
      <w:pPr>
        <w:spacing w:after="0"/>
        <w:ind w:left="0"/>
        <w:jc w:val="left"/>
      </w:pPr>
      <w:r>
        <w:rPr>
          <w:rFonts w:ascii="SimSun" w:hAnsi="SimSun"/>
          <w:b w:val="false"/>
          <w:i w:val="false"/>
          <w:color w:val="000000"/>
          <w:sz w:val="21"/>
        </w:rPr>
        <w:t xml:space="preserve">    本路径学生本博期间必须修满教学计划规定的164学分，包括通识教育课程44学分、专业培养课程64学分、专业进阶模41学分、融合创新能力模块15学分的修读。</w:t>
      </w:r>
    </w:p>
    <w:p>
      <w:pPr>
        <w:spacing w:after="0"/>
        <w:ind w:left="0"/>
        <w:jc w:val="left"/>
      </w:pPr>
      <w:r>
        <w:rPr>
          <w:rFonts w:ascii="SimSun" w:hAnsi="SimSun"/>
          <w:b w:val="false"/>
          <w:i w:val="false"/>
          <w:color w:val="000000"/>
          <w:sz w:val="21"/>
        </w:rPr>
        <w:t xml:space="preserve">    其中，本科学段需要完成139学分（含实践学分不低于25学分；含美育学分不少于2学分，其中至少在“美学和艺术史论类”或“艺术鉴赏和评论类”课程中修读1学分，并至少参与一项艺术实践活动；劳动教育不少于32学时，并满足劳动周教育要求），包括通识教育课程44学分、专业培养课程64学分、专业进阶模块修读24学分、融合创新能力模块7学分。                                                                     </w:t>
      </w:r>
    </w:p>
    <w:p>
      <w:pPr>
        <w:spacing w:after="0"/>
        <w:ind w:left="0"/>
        <w:jc w:val="left"/>
      </w:pPr>
      <w:r>
        <w:rPr>
          <w:rFonts w:ascii="SimSun" w:hAnsi="SimSun"/>
          <w:b w:val="false"/>
          <w:i w:val="false"/>
          <w:color w:val="000000"/>
          <w:sz w:val="21"/>
        </w:rPr>
        <w:t xml:space="preserve">2、  本科荣誉项目：165学分                                                                   </w:t>
      </w:r>
    </w:p>
    <w:p>
      <w:pPr>
        <w:spacing w:after="0"/>
        <w:ind w:left="0"/>
        <w:jc w:val="left"/>
      </w:pPr>
      <w:r>
        <w:rPr>
          <w:rFonts w:ascii="SimSun" w:hAnsi="SimSun"/>
          <w:b w:val="false"/>
          <w:i w:val="false"/>
          <w:color w:val="000000"/>
          <w:sz w:val="21"/>
        </w:rPr>
        <w:t xml:space="preserve">   在专业进阶路径基础上，修读荣誉课程不少于8门课。荣誉项目课程设置和修读要求请见管理学院“本科荣誉项目”实施方案。下载地址：https://jwc.fudan.edu.cn/（复旦大学教务处）专业培养-常用文档。                                                                  </w:t>
      </w:r>
    </w:p>
    <w:p>
      <w:pPr>
        <w:spacing w:after="0"/>
        <w:ind w:left="0"/>
        <w:jc w:val="left"/>
      </w:pPr>
      <w:r>
        <w:rPr>
          <w:rFonts w:ascii="SimSun" w:hAnsi="SimSun"/>
          <w:b w:val="false"/>
          <w:i w:val="false"/>
          <w:color w:val="000000"/>
          <w:sz w:val="21"/>
        </w:rPr>
        <w:t xml:space="preserve">3、 跨学科发展路径：179学分                                                               </w:t>
      </w:r>
    </w:p>
    <w:p>
      <w:pPr>
        <w:spacing w:after="0"/>
        <w:ind w:left="0"/>
        <w:jc w:val="left"/>
      </w:pPr>
      <w:r>
        <w:rPr>
          <w:rFonts w:ascii="SimSun" w:hAnsi="SimSun"/>
          <w:b w:val="false"/>
          <w:i w:val="false"/>
          <w:color w:val="000000"/>
          <w:sz w:val="21"/>
        </w:rPr>
        <w:t xml:space="preserve">    在专业进阶路径或荣誉项目基础上，修读1个跨学科学程（微专业）15学分（可在研究生学段修读），具体要求见教务处网站学程实施方案。                                                                  </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4年级结束时，如达到学士学位要求者授予管理学学士学位。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numPr>
          <w:ilvl w:val="0"/>
          <w:numId w:val="2"/>
        </w:numPr>
        <w:spacing w:after="0"/>
        <w:jc w:val="left"/>
      </w:pPr>
      <w:r>
        <w:rPr>
          <w:rFonts w:ascii="SimSun" w:hAnsi="SimSun"/>
          <w:b w:val="false"/>
          <w:i w:val="false"/>
          <w:color w:val="000000"/>
          <w:sz w:val="21"/>
        </w:rPr>
        <w:t>本科阶段退出本博融通计划的学生，需按照对应的本科培养方案修读课程，或在此卓研精英班培养方案基础上补充4学分（课程范围为在对应的普通专业培养方案中所存在的不同的大类基础课、学院平台课、该专业必修课），如达到学士学位要求者授予管理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 xml:space="preserve">1、 达到博士学位要求者授予管理学博士学位。                                                                  </w:t>
      </w:r>
    </w:p>
    <w:p>
      <w:pPr>
        <w:spacing w:after="0"/>
        <w:ind w:left="0"/>
        <w:jc w:val="left"/>
      </w:pPr>
      <w:r>
        <w:rPr>
          <w:rFonts w:ascii="SimSun" w:hAnsi="SimSun"/>
          <w:b w:val="false"/>
          <w:i w:val="false"/>
          <w:color w:val="000000"/>
          <w:sz w:val="21"/>
        </w:rPr>
        <w:t xml:space="preserve">（1）必须已修满培养方案规定的学分，所有修读课程成绩合格，其中研究生学位课程平均绩点不低于2.5。                                                                  </w:t>
      </w:r>
    </w:p>
    <w:p>
      <w:pPr>
        <w:spacing w:after="0"/>
        <w:ind w:left="0"/>
        <w:jc w:val="left"/>
      </w:pPr>
      <w:r>
        <w:rPr>
          <w:rFonts w:ascii="SimSun" w:hAnsi="SimSun"/>
          <w:b w:val="false"/>
          <w:i w:val="false"/>
          <w:color w:val="000000"/>
          <w:sz w:val="21"/>
        </w:rPr>
        <w:t>（2）文科专业学位需符合以下条件：</w:t>
      </w:r>
    </w:p>
    <w:p>
      <w:pPr>
        <w:spacing w:after="0"/>
        <w:ind w:left="0"/>
        <w:jc w:val="left"/>
      </w:pPr>
      <w:r>
        <w:rPr>
          <w:rFonts w:ascii="SimSun" w:hAnsi="SimSun"/>
          <w:b w:val="false"/>
          <w:i w:val="false"/>
          <w:color w:val="000000"/>
          <w:sz w:val="21"/>
        </w:rPr>
        <w:t xml:space="preserve"> 根据《复旦大学管理学院研究生发表学术论文相关规定》，博士研究生至少在《复旦大学管理学院学位与研究生教育期刊指导目录》发表(含录用)2篇B类或1篇A类，与学位论文内容相关的学术论文。此外，进入《复旦大学管理学院学位与研究生教育期刊指导目录》国际 A-及以上期刊、国内A+期刊第二轮审稿人盲审，学位申请人为第一作者或导师一作本人二作，署名为复旦大学，并经导师同意的学术论文，可以视为A类发文用以学位申请。</w:t>
      </w:r>
    </w:p>
    <w:p>
      <w:pPr>
        <w:spacing w:after="0"/>
        <w:ind w:left="0"/>
        <w:jc w:val="left"/>
      </w:pPr>
      <w:r>
        <w:rPr>
          <w:rFonts w:ascii="SimSun" w:hAnsi="SimSun"/>
          <w:b w:val="false"/>
          <w:i w:val="false"/>
          <w:color w:val="000000"/>
          <w:sz w:val="21"/>
        </w:rPr>
        <w:t xml:space="preserve">  (3）“卓博学员”在研究生学段的课程成绩、科研成果、学位论文等方面综合表现优秀的，经院系评估、推荐和学校审核，毕业时由学校授予“卓博学者”称号。</w:t>
      </w:r>
    </w:p>
    <w:p>
      <w:pPr>
        <w:spacing w:after="0"/>
        <w:ind w:left="0"/>
        <w:jc w:val="left"/>
      </w:pPr>
    </w:p>
    <w:p>
      <w:pPr>
        <w:spacing w:after="0"/>
        <w:ind w:left="0"/>
        <w:jc w:val="left"/>
      </w:pPr>
      <w:r>
        <w:rPr>
          <w:rFonts w:ascii="SimSun" w:hAnsi="SimSun"/>
          <w:b w:val="false"/>
          <w:i w:val="false"/>
          <w:color w:val="000000"/>
          <w:sz w:val="21"/>
        </w:rPr>
        <w:t>2、研究生学段主动退出和博士生资格考核不合格退出本博融通计划的学生，需按照本专业本硕融通培养方案修读课程，如达到硕士学位要求者授予管理学硕士学位。</w:t>
      </w:r>
    </w:p>
    <w:p>
      <w:pPr>
        <w:spacing w:after="0"/>
        <w:ind w:left="0"/>
        <w:jc w:val="left"/>
      </w:pPr>
      <w:r>
        <w:rPr>
          <w:rFonts w:ascii="SimSun" w:hAnsi="SimSun"/>
          <w:b w:val="false"/>
          <w:i w:val="false"/>
          <w:color w:val="000000"/>
          <w:sz w:val="21"/>
        </w:rPr>
        <w:t>（1）必须已修满培养方案规定的学分，所有修读课程成绩合格，其中研究生学位课程平均绩点不低于2.5。</w:t>
      </w:r>
    </w:p>
    <w:p>
      <w:pPr>
        <w:spacing w:after="0"/>
        <w:ind w:left="0"/>
        <w:jc w:val="left"/>
      </w:pPr>
      <w:r>
        <w:rPr>
          <w:rFonts w:ascii="SimSun" w:hAnsi="SimSun"/>
          <w:b w:val="false"/>
          <w:i w:val="false"/>
          <w:color w:val="000000"/>
          <w:sz w:val="21"/>
        </w:rPr>
        <w:t xml:space="preserve">（2）鼓励但不要求必须发表学术论文。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928533" cy="2048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28533" cy="2048933"/>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p>
    <w:p>
      <w:pPr>
        <w:spacing w:after="0"/>
        <w:ind w:left="0"/>
        <w:jc w:val="left"/>
      </w:pPr>
      <w:r>
        <w:rPr>
          <w:rFonts w:ascii="SimSun" w:hAnsi="SimSun"/>
          <w:b w:val="false"/>
          <w:i w:val="false"/>
          <w:color w:val="000000"/>
          <w:sz w:val="21"/>
        </w:rPr>
        <w:t xml:space="preserve">       1.课程体系                                                                   </w:t>
      </w:r>
    </w:p>
    <w:p>
      <w:pPr>
        <w:spacing w:after="0"/>
        <w:ind w:left="0"/>
        <w:jc w:val="left"/>
      </w:pPr>
      <w:r>
        <w:rPr>
          <w:rFonts w:ascii="SimSun" w:hAnsi="SimSun"/>
          <w:b w:val="false"/>
          <w:i w:val="false"/>
          <w:color w:val="000000"/>
          <w:sz w:val="21"/>
        </w:rPr>
        <w:t xml:space="preserve">    以10多门高难度课程为基础建立了本研融通的专业核心课程体系，以学科领域为横、课程内容梯度为纵建立了难度逐级提升的本研融通的专业进阶课程体系。鼓励学生修读荣誉课程。                                                                     </w:t>
      </w:r>
    </w:p>
    <w:p>
      <w:pPr>
        <w:spacing w:after="0"/>
        <w:ind w:left="0"/>
        <w:jc w:val="left"/>
      </w:pPr>
      <w:r>
        <w:rPr>
          <w:rFonts w:ascii="SimSun" w:hAnsi="SimSun"/>
          <w:b w:val="false"/>
          <w:i w:val="false"/>
          <w:color w:val="000000"/>
          <w:sz w:val="21"/>
        </w:rPr>
        <w:t xml:space="preserve">    2.科研训练体系                                                                   </w:t>
      </w:r>
    </w:p>
    <w:p>
      <w:pPr>
        <w:spacing w:after="0"/>
        <w:ind w:left="0"/>
        <w:jc w:val="left"/>
      </w:pPr>
      <w:r>
        <w:rPr>
          <w:rFonts w:ascii="SimSun" w:hAnsi="SimSun"/>
          <w:b w:val="false"/>
          <w:i w:val="false"/>
          <w:color w:val="000000"/>
          <w:sz w:val="21"/>
        </w:rPr>
        <w:t xml:space="preserve">    建立螺旋递进的全周期科研训练体系，配备全员导师，鼓励师生共创，通过复芏计划等项目引导学生在“做中学、学中悟、悟中创”。设立无学分讨论班，引导学生早进课题组轮转，培育兴趣。完成1项复芏计划（FDUROP）项目（䇹政、望道、登辉和曦源），激发创新志趣。     </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研究生政治课程2学分，七大模块6学分。七大模块6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24学分（必修管理学院开设的“数学分析AI”、“数学分析AII”、“数学分析AIII”/“普通物理B”（二选一）、“微观经济学*”、“会计学*”和“线性代数I”、“线性代数II””）。课程设置详见大类基础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线性代数Ⅱ</w:t>
            </w:r>
            <w:r>
              <w:br/>
            </w:r>
            <w:r>
              <w:br/>
            </w:r>
            <w:r>
              <w:rPr>
                <w:rFonts w:ascii="SimSun" w:hAnsi="SimSun"/>
                <w:b w:val="false"/>
                <w:i w:val="false"/>
                <w:color w:val="000000"/>
                <w:sz w:val="21"/>
              </w:rPr>
              <w:t>Linear Algebra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（37学分）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2选1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2选1</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2选1</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要求在本专业进阶课程或荣誉课程中修读至少41学分（其中专业进阶I组修读至少15学分，专业进阶II组修读至少9学分,专业进阶III至少17学分）。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至少3学分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至少6学分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凸分析</w:t>
            </w:r>
            <w:r>
              <w:br/>
            </w:r>
            <w:r>
              <w:br/>
            </w:r>
            <w:r>
              <w:rPr>
                <w:rFonts w:ascii="SimSun" w:hAnsi="SimSun"/>
                <w:b w:val="false"/>
                <w:i w:val="false"/>
                <w:color w:val="000000"/>
                <w:sz w:val="21"/>
              </w:rPr>
              <w:t>Convex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MSE50003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非线性最优化</w:t>
            </w:r>
            <w:r>
              <w:br/>
            </w:r>
            <w:r>
              <w:br/>
            </w:r>
            <w:r>
              <w:rPr>
                <w:rFonts w:ascii="SimSun" w:hAnsi="SimSun"/>
                <w:b w:val="false"/>
                <w:i w:val="false"/>
                <w:color w:val="000000"/>
                <w:sz w:val="21"/>
              </w:rPr>
              <w:t>Nonlinear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MSE50002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至少6学分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数据驱动决策</w:t>
            </w:r>
            <w:r>
              <w:br/>
            </w:r>
            <w:r>
              <w:br/>
            </w:r>
            <w:r>
              <w:rPr>
                <w:rFonts w:ascii="SimSun" w:hAnsi="SimSun"/>
                <w:b w:val="false"/>
                <w:i w:val="false"/>
                <w:color w:val="000000"/>
                <w:sz w:val="21"/>
              </w:rPr>
              <w:t>Data-driven modeling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离散事件系统</w:t>
            </w:r>
            <w:r>
              <w:br/>
            </w:r>
            <w:r>
              <w:br/>
            </w:r>
            <w:r>
              <w:rPr>
                <w:rFonts w:ascii="SimSun" w:hAnsi="SimSun"/>
                <w:b w:val="false"/>
                <w:i w:val="false"/>
                <w:color w:val="000000"/>
                <w:sz w:val="21"/>
              </w:rPr>
              <w:t>Discrete-Event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整数规划及应用</w:t>
            </w:r>
            <w:r>
              <w:br/>
            </w:r>
            <w:r>
              <w:br/>
            </w:r>
            <w:r>
              <w:rPr>
                <w:rFonts w:ascii="SimSun" w:hAnsi="SimSun"/>
                <w:b w:val="false"/>
                <w:i w:val="false"/>
                <w:color w:val="000000"/>
                <w:sz w:val="21"/>
              </w:rPr>
              <w:t>Integer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优化与启发式算法</w:t>
            </w:r>
            <w:r>
              <w:br/>
            </w:r>
            <w:r>
              <w:br/>
            </w:r>
            <w:r>
              <w:rPr>
                <w:rFonts w:ascii="SimSun" w:hAnsi="SimSun"/>
                <w:b w:val="false"/>
                <w:i w:val="false"/>
                <w:color w:val="000000"/>
                <w:sz w:val="21"/>
              </w:rPr>
              <w:t>Optimization and Heuristic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 （跨学科融合课）</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进阶II至少9学分，任选。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Real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管理综合课程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专业进阶III   研究生阶段课程</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进阶III至少修读17学分，其中A组至少修读9学分，B组至少修读6学分，C组根据研究方向修读。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除专业进阶I-A组已修过的课程以外，此模块再修3门，9学分。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非线性最优化</w:t>
            </w:r>
            <w:r>
              <w:br/>
            </w:r>
            <w:r>
              <w:br/>
            </w:r>
            <w:r>
              <w:rPr>
                <w:rFonts w:ascii="SimSun" w:hAnsi="SimSun"/>
                <w:b w:val="false"/>
                <w:i w:val="false"/>
                <w:color w:val="000000"/>
                <w:sz w:val="21"/>
              </w:rPr>
              <w:t>Nonlinear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The 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计量经济学I</w:t>
            </w:r>
            <w:r>
              <w:br/>
            </w:r>
            <w:r>
              <w:br/>
            </w:r>
            <w:r>
              <w:rPr>
                <w:rFonts w:ascii="SimSun" w:hAnsi="SimSun"/>
                <w:b w:val="false"/>
                <w:i w:val="false"/>
                <w:color w:val="000000"/>
                <w:sz w:val="21"/>
              </w:rPr>
              <w:t>Econometrics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凸分析</w:t>
            </w:r>
            <w:r>
              <w:br/>
            </w:r>
            <w:r>
              <w:br/>
            </w:r>
            <w:r>
              <w:rPr>
                <w:rFonts w:ascii="SimSun" w:hAnsi="SimSun"/>
                <w:b w:val="false"/>
                <w:i w:val="false"/>
                <w:color w:val="000000"/>
                <w:sz w:val="21"/>
              </w:rPr>
              <w:t>Convex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MSE50003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MSE50002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除专业进阶I-B组已修课程，此模块再修2门，共6学分。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1、管理科学、物流与运营管理方向：离散事件系统、整数规划及应用必选；
       </w:t>
      </w:r>
      <w:r>
        <w:br/>
      </w:r>
      <w:r>
        <w:rPr>
          <w:rFonts w:ascii="SimSun" w:hAnsi="SimSun"/>
          <w:b w:val="false"/>
          <w:i w:val="false"/>
          <w:color w:val="000000"/>
          <w:sz w:val="21"/>
        </w:rPr>
        <w:t xml:space="preserve">
       </w:t>
      </w:r>
      <w:r>
        <w:br/>
      </w:r>
      <w:r>
        <w:rPr>
          <w:rFonts w:ascii="SimSun" w:hAnsi="SimSun"/>
          <w:b w:val="false"/>
          <w:i w:val="false"/>
          <w:color w:val="000000"/>
          <w:sz w:val="21"/>
        </w:rPr>
        <w:t xml:space="preserve">2、商务人工智能方向：数据驱动决策和优化与启发式算法必选。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数据驱动决策</w:t>
            </w:r>
            <w:r>
              <w:br/>
            </w:r>
            <w:r>
              <w:br/>
            </w:r>
            <w:r>
              <w:rPr>
                <w:rFonts w:ascii="SimSun" w:hAnsi="SimSun"/>
                <w:b w:val="false"/>
                <w:i w:val="false"/>
                <w:color w:val="000000"/>
                <w:sz w:val="21"/>
              </w:rPr>
              <w:t>Data-driven modeling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优化与启发式算法</w:t>
            </w:r>
            <w:r>
              <w:br/>
            </w:r>
            <w:r>
              <w:br/>
            </w:r>
            <w:r>
              <w:rPr>
                <w:rFonts w:ascii="SimSun" w:hAnsi="SimSun"/>
                <w:b w:val="false"/>
                <w:i w:val="false"/>
                <w:color w:val="000000"/>
                <w:sz w:val="21"/>
              </w:rPr>
              <w:t>Optimization and Heuristic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离散事件系统</w:t>
            </w:r>
            <w:r>
              <w:br/>
            </w:r>
            <w:r>
              <w:br/>
            </w:r>
            <w:r>
              <w:rPr>
                <w:rFonts w:ascii="SimSun" w:hAnsi="SimSun"/>
                <w:b w:val="false"/>
                <w:i w:val="false"/>
                <w:color w:val="000000"/>
                <w:sz w:val="21"/>
              </w:rPr>
              <w:t>Discrete-Event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整数规划及应用</w:t>
            </w:r>
            <w:r>
              <w:br/>
            </w:r>
            <w:r>
              <w:br/>
            </w:r>
            <w:r>
              <w:rPr>
                <w:rFonts w:ascii="SimSun" w:hAnsi="SimSun"/>
                <w:b w:val="false"/>
                <w:i w:val="false"/>
                <w:color w:val="000000"/>
                <w:sz w:val="21"/>
              </w:rPr>
              <w:t>Integer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动态规划决策与模型</w:t>
            </w:r>
            <w:r>
              <w:br/>
            </w:r>
            <w:r>
              <w:br/>
            </w:r>
            <w:r>
              <w:rPr>
                <w:rFonts w:ascii="SimSun" w:hAnsi="SimSun"/>
                <w:b w:val="false"/>
                <w:i w:val="false"/>
                <w:color w:val="000000"/>
                <w:sz w:val="21"/>
              </w:rPr>
              <w:t>Dynamic Decision Making with Models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MSE60007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根据研究方向修读。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决策分析</w:t>
            </w:r>
            <w:r>
              <w:br/>
            </w:r>
            <w:r>
              <w:br/>
            </w:r>
            <w:r>
              <w:rPr>
                <w:rFonts w:ascii="SimSun" w:hAnsi="SimSun"/>
                <w:b w:val="false"/>
                <w:i w:val="false"/>
                <w:color w:val="000000"/>
                <w:sz w:val="21"/>
              </w:rPr>
              <w:t>Decision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专业选修：管理科学（必选）、物流与运营管理</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现代分析专题</w:t>
            </w:r>
            <w:r>
              <w:br/>
            </w:r>
            <w:r>
              <w:br/>
            </w:r>
            <w:r>
              <w:rPr>
                <w:rFonts w:ascii="SimSun" w:hAnsi="SimSun"/>
                <w:b w:val="false"/>
                <w:i w:val="false"/>
                <w:color w:val="000000"/>
                <w:sz w:val="21"/>
              </w:rPr>
              <w:t>The Advanced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物流与运营管理、管理科学</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生产计划与库存理论</w:t>
            </w:r>
            <w:r>
              <w:br/>
            </w:r>
            <w:r>
              <w:br/>
            </w:r>
            <w:r>
              <w:rPr>
                <w:rFonts w:ascii="SimSun" w:hAnsi="SimSun"/>
                <w:b w:val="false"/>
                <w:i w:val="false"/>
                <w:color w:val="000000"/>
                <w:sz w:val="21"/>
              </w:rPr>
              <w:t>Production and Inventory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物流与运营管理、管理科学</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组合优化</w:t>
            </w:r>
            <w:r>
              <w:br/>
            </w:r>
            <w:r>
              <w:br/>
            </w:r>
            <w:r>
              <w:rPr>
                <w:rFonts w:ascii="SimSun" w:hAnsi="SimSun"/>
                <w:b w:val="false"/>
                <w:i w:val="false"/>
                <w:color w:val="000000"/>
                <w:sz w:val="21"/>
              </w:rPr>
              <w:t>Combinatorial Optimization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物流与运营管理、管理科学</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物流与运营管理（必选）、管理科学</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金融优化</w:t>
            </w:r>
            <w:r>
              <w:br/>
            </w:r>
            <w:r>
              <w:br/>
            </w:r>
            <w:r>
              <w:rPr>
                <w:rFonts w:ascii="SimSun" w:hAnsi="SimSun"/>
                <w:b w:val="false"/>
                <w:i w:val="false"/>
                <w:color w:val="000000"/>
                <w:sz w:val="21"/>
              </w:rPr>
              <w:t>Financial optimization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物流与运营管理、管理科学</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投资组合与衍生产品</w:t>
            </w:r>
            <w:r>
              <w:br/>
            </w:r>
            <w:r>
              <w:br/>
            </w:r>
            <w:r>
              <w:rPr>
                <w:rFonts w:ascii="SimSun" w:hAnsi="SimSun"/>
                <w:b w:val="false"/>
                <w:i w:val="false"/>
                <w:color w:val="000000"/>
                <w:sz w:val="21"/>
              </w:rPr>
              <w:t>Portfolio Theory and Financial Derivatives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物流与运营管理、管理科学</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智能供应链与智慧物流管理</w:t>
            </w:r>
            <w:r>
              <w:br/>
            </w:r>
            <w:r>
              <w:br/>
            </w:r>
            <w:r>
              <w:rPr>
                <w:rFonts w:ascii="SimSun" w:hAnsi="SimSun"/>
                <w:b w:val="false"/>
                <w:i w:val="false"/>
                <w:color w:val="000000"/>
                <w:sz w:val="21"/>
              </w:rPr>
              <w:t>Intelligent Supply Chain and Intelligent Logistics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商务人工智能</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w:t>
            </w:r>
            <w:r>
              <w:br/>
            </w:r>
            <w:r>
              <w:br/>
            </w:r>
            <w:r>
              <w:rPr>
                <w:rFonts w:ascii="SimSun" w:hAnsi="SimSun"/>
                <w:b w:val="false"/>
                <w:i w:val="false"/>
                <w:color w:val="000000"/>
                <w:sz w:val="21"/>
              </w:rPr>
              <w:t>Intelligent Simulation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商务人工智能</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仿真优化及人工智能</w:t>
            </w:r>
            <w:r>
              <w:br/>
            </w:r>
            <w:r>
              <w:br/>
            </w:r>
            <w:r>
              <w:rPr>
                <w:rFonts w:ascii="SimSun" w:hAnsi="SimSun"/>
                <w:b w:val="false"/>
                <w:i w:val="false"/>
                <w:color w:val="000000"/>
                <w:sz w:val="21"/>
              </w:rPr>
              <w:t>Simulation Optimization and AI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商务人工智能</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风险管理</w:t>
            </w:r>
            <w:r>
              <w:br/>
            </w:r>
            <w:r>
              <w:br/>
            </w:r>
            <w:r>
              <w:rPr>
                <w:rFonts w:ascii="SimSun" w:hAnsi="SimSun"/>
                <w:b w:val="false"/>
                <w:i w:val="false"/>
                <w:color w:val="000000"/>
                <w:sz w:val="21"/>
              </w:rPr>
              <w:t>Risk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商务人工智能</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服务与收益管理</w:t>
            </w:r>
            <w:r>
              <w:br/>
            </w:r>
            <w:r>
              <w:br/>
            </w:r>
            <w:r>
              <w:rPr>
                <w:rFonts w:ascii="SimSun" w:hAnsi="SimSun"/>
                <w:b w:val="false"/>
                <w:i w:val="false"/>
                <w:color w:val="000000"/>
                <w:sz w:val="21"/>
              </w:rPr>
              <w:t>Service Operations Management and Revenue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商务人工智能</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社会网络分析与技术</w:t>
            </w:r>
            <w:r>
              <w:br/>
            </w:r>
            <w:r>
              <w:br/>
            </w:r>
            <w:r>
              <w:rPr>
                <w:rFonts w:ascii="SimSun" w:hAnsi="SimSun"/>
                <w:b w:val="false"/>
                <w:i w:val="false"/>
                <w:color w:val="000000"/>
                <w:sz w:val="21"/>
              </w:rPr>
              <w:t>Social network analysis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商务人工智能（和信息管理方向共享）</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Python语言和文本挖掘</w:t>
            </w:r>
            <w:r>
              <w:br/>
            </w:r>
            <w:r>
              <w:br/>
            </w:r>
            <w:r>
              <w:rPr>
                <w:rFonts w:ascii="SimSun" w:hAnsi="SimSun"/>
                <w:b w:val="false"/>
                <w:i w:val="false"/>
                <w:color w:val="000000"/>
                <w:sz w:val="21"/>
              </w:rPr>
              <w:t>Applied text mining in Python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商务人工智能</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人工智能与现代生产管理技术</w:t>
            </w:r>
            <w:r>
              <w:br/>
            </w:r>
            <w:r>
              <w:br/>
            </w:r>
            <w:r>
              <w:rPr>
                <w:rFonts w:ascii="SimSun" w:hAnsi="SimSun"/>
                <w:b w:val="false"/>
                <w:i w:val="false"/>
                <w:color w:val="000000"/>
                <w:sz w:val="21"/>
              </w:rPr>
              <w:t>AI and modern manufacturing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MSE70017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商务人工智能</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修读荣誉课程不少于8门课。荣誉项目课程设置和修读要求请见管理学院“本科荣誉项目”实施方案。下载地址：https://jwc.fudan.edu.cn/（复旦大学教务处）专业培养-常用文档。研究生阶段须完成进阶III (17学分）。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在专业进阶路径I和II的基础上或荣誉项目基础上，修读1个跨学科学程（微专业）15学分（可在研究生学段修读），具体要求见教务处网站学程实施方案。研究生阶段须完成进阶III (17学分）。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在专业进阶路径I和II的基础上或荣誉项目基础上，修读1个创新创业15学分（可在研究生学段修读），具体要求见教务处网站学程实施方案。研究生阶段须完成进阶III (17学分）。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1.全周期的科研训练体系，循环渐进，在解决复杂问题的过程中，激发批判性思维和科研潜力。完成1项复芏计划（FDUROP）项目（䇹政、望道、登辉和曦源），激发创新志趣。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2.多渠道支持并资助学生参加国内国际高水平学术交流，原则上应到具有世界一流水平高校进行一年左右的学习、研究或联合培养。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3.全员参加“朝阳行动”，教授带队，学以致用，培养高度的社会责任感。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管理科学学术前沿讲座</w:t>
            </w:r>
            <w:r>
              <w:br/>
            </w:r>
            <w:r>
              <w:br/>
            </w:r>
            <w:r>
              <w:rPr>
                <w:rFonts w:ascii="SimSun" w:hAnsi="SimSun"/>
                <w:b w:val="false"/>
                <w:i w:val="false"/>
                <w:color w:val="000000"/>
                <w:sz w:val="21"/>
              </w:rPr>
              <w:t>Frontiers of Management Science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第3、4学期，需在各研究方向的无学分讨论班轮转，每次讨论班结束后需一周内提交科研感想报告，并获得相应方向讨论班老师签字确认。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至少修读1门全英语的研究生课程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原则上应到具有世界一流水平的国外高校进行一年的学习、研究或联合培养。需具有参加高水平国际学术会议并作报告的经历。</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要求在转博前承担1次本科课程的助教工作； 要求在转博前完成1次学院规定的扶贫支教工作； 要求在转博后承担1次MBA/专业硕士/硕博课程的助教工作；要求在博士期间进行海外交流、联合培养</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num w:numId="1">
    <w:abstractNumId w:val="1"/>
  </w:num>
  <w:num w:numId="2">
    <w:abstractNumId w:val="2"/>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