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2025哲学-人工智能双学士学位项目培养方案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项目对接国家“新文科”、“新工科”建设的需求，旨在培养德智体美劳全面发展，具有一定的哲学和科学理论素养、系统专业知识、宽阔国际视野，同时兼具人工智能跨学科背景、符合国家建设和社会发展需求的复合型拔尖创新人才。本专业要求学生能够理解和掌握马克思主义哲学、中国哲学和西方哲学的理论和历史，掌握哲学学科的基本研究方法和相应的社会调查能力；在此基础上掌握人工智能与数字媒体的基础理论与实践方法，能够运用人工智能的实践实现“哲学+人工智能”的跨学科交叉融合，能够运用数学、计算机等领域的基础知识，分析、设计各种人工智能算法、软件及系统，能够结合逻辑学、伦理学等相关知识培养跨学科研究的创新意识和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369733"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69733" cy="1320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3217333" cy="1202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17333" cy="1202267"/>
                    </a:xfrm>
                    <a:prstGeom prst="rect">
                      <a:avLst/>
                    </a:prstGeom>
                  </pic:spPr>
                </pic:pic>
              </a:graphicData>
            </a:graphic>
          </wp:inline>
        </w:drawing>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183467" cy="1253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83467" cy="12530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1、专业进阶路径：170学分</w:t>
      </w:r>
      <w:r>
        <w:br/>
      </w:r>
      <w:r>
        <w:br/>
      </w:r>
      <w:r>
        <w:rPr>
          <w:rFonts w:ascii="SimSun" w:hAnsi="SimSun"/>
          <w:b w:val="false"/>
          <w:i w:val="false"/>
          <w:color w:val="000000"/>
          <w:sz w:val="21"/>
        </w:rPr>
        <w:t xml:space="preserve">  本路径学生需要完成170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41学分，专业培养课程99学分，融合创新能力培养7学分，专业进阶模块I 13学分，专业进阶模块II 10学分。</w:t>
      </w:r>
      <w:r>
        <w:br/>
      </w:r>
      <w:r>
        <w:br/>
      </w:r>
      <w:r>
        <w:rPr>
          <w:rFonts w:ascii="SimSun" w:hAnsi="SimSun"/>
          <w:b w:val="false"/>
          <w:i w:val="false"/>
          <w:color w:val="000000"/>
          <w:sz w:val="21"/>
        </w:rPr>
        <w:t>2、本科荣誉项目：170学分</w:t>
      </w:r>
      <w:r>
        <w:br/>
      </w:r>
      <w:r>
        <w:br/>
      </w:r>
      <w:r>
        <w:rPr>
          <w:rFonts w:ascii="SimSun" w:hAnsi="SimSun"/>
          <w:b w:val="false"/>
          <w:i w:val="false"/>
          <w:color w:val="000000"/>
          <w:sz w:val="21"/>
        </w:rPr>
        <w:t xml:space="preserve">  在专业进阶路径基础上，修读荣誉课程不少于5门课。荣誉项目课程设置和修读要求请见哲学学院“本科荣誉项目”实施方案。下载地址：https://jwc.fudan.edu.cn/（复旦大学教务处）专业培养-常用文档。鼓励学生选择荣誉项目。 </w:t>
      </w:r>
      <w:r>
        <w:br/>
      </w:r>
      <w:r>
        <w:br/>
      </w:r>
      <w:r>
        <w:rPr>
          <w:rFonts w:ascii="SimSun" w:hAnsi="SimSun"/>
          <w:b w:val="false"/>
          <w:i w:val="false"/>
          <w:color w:val="000000"/>
          <w:sz w:val="21"/>
        </w:rPr>
        <w:t>3、跨学科学发展路径：170学分</w:t>
      </w:r>
      <w:r>
        <w:br/>
      </w:r>
      <w:r>
        <w:br/>
      </w:r>
      <w:r>
        <w:rPr>
          <w:rFonts w:ascii="SimSun" w:hAnsi="SimSun"/>
          <w:b w:val="false"/>
          <w:i w:val="false"/>
          <w:color w:val="000000"/>
          <w:sz w:val="21"/>
        </w:rPr>
        <w:t xml:space="preserve">  本路径学生需要完成170学分，包括通识教育课程41学分，专业培养课程99学分，融合创新能力培养7学分，专业进阶模块I13学分，专业进阶模块II10学分。</w:t>
      </w:r>
      <w:r>
        <w:br/>
      </w:r>
      <w:r>
        <w:br/>
      </w:r>
      <w:r>
        <w:rPr>
          <w:rFonts w:ascii="SimSun" w:hAnsi="SimSun"/>
          <w:b w:val="false"/>
          <w:i w:val="false"/>
          <w:color w:val="000000"/>
          <w:sz w:val="21"/>
        </w:rPr>
        <w:t>4、创新创业路径：170学分</w:t>
      </w:r>
      <w:r>
        <w:br/>
      </w:r>
      <w:r>
        <w:br/>
      </w:r>
      <w:r>
        <w:rPr>
          <w:rFonts w:ascii="SimSun" w:hAnsi="SimSun"/>
          <w:b w:val="false"/>
          <w:i w:val="false"/>
          <w:color w:val="000000"/>
          <w:sz w:val="21"/>
        </w:rPr>
        <w:t xml:space="preserve">  包括通识教育课程41学分，专业培养课程99学分，融合创新能力培养7学分，专业进阶模块I13学分，专业进阶模块II10学分；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w:t>
      </w:r>
      <w:r>
        <w:br/>
      </w:r>
      <w:r>
        <w:br/>
      </w:r>
      <w:r>
        <w:rPr>
          <w:rFonts w:ascii="SimSun" w:hAnsi="SimSun"/>
          <w:b w:val="false"/>
          <w:i w:val="false"/>
          <w:color w:val="000000"/>
          <w:sz w:val="21"/>
        </w:rPr>
        <w:t>5、哲学+AI双学士学位项目：170学分</w:t>
      </w:r>
      <w:r>
        <w:br/>
      </w:r>
      <w:r>
        <w:br/>
      </w:r>
      <w:r>
        <w:rPr>
          <w:rFonts w:ascii="SimSun" w:hAnsi="SimSun"/>
          <w:b w:val="false"/>
          <w:i w:val="false"/>
          <w:color w:val="000000"/>
          <w:sz w:val="21"/>
        </w:rPr>
        <w:t xml:space="preserve">  本路径学生必须修满教学计划规定的170学分，包括通识教育课程（含通识教育核心课程和专项教育课程）41学分、专业培养课程99学分、多元发展路径课程23学分、融合创新能力课程7学分，总学分不少于170学分（含实践学分不少于43学分；含美育学分不少于2学分，其中至少在“美学和艺术史论类”或“艺术鉴赏和评论类”课程中修读1学分，并至少参与一项艺术实践活动；劳动教育不少于32学时，并满足劳动周教育要求），达到学位要求者授予哲学、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4年级结束时，如达到学士学位要求者授予哲学、工学学士学位。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（3）在此基础上，达到哲学学院“本科荣誉证书”获得条件的授予“本科荣誉证书”，具体要求请见哲学学院“本科荣誉项目”实施方案。</w:t>
      </w:r>
      <w:r>
        <w:br/>
      </w:r>
      <w:r>
        <w:br/>
      </w:r>
      <w:r>
        <w:rPr>
          <w:rFonts w:ascii="SimSun" w:hAnsi="SimSun"/>
          <w:b w:val="false"/>
          <w:i w:val="false"/>
          <w:color w:val="000000"/>
          <w:sz w:val="21"/>
        </w:rPr>
        <w:t>2. 哲学+AI学士双学位项目，如达到哲学-人工智能双学士学位要求者授予哲学-工学双学士学位。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p>
    <w:p>
      <w:pPr>
        <w:spacing w:after="0"/>
        <w:ind w:left="0"/>
        <w:jc w:val="left"/>
      </w:pPr>
      <w:r>
        <w:drawing>
          <wp:inline distT="0" distB="0" distL="0" distR="0">
            <wp:extent cx="3081867" cy="1676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81867" cy="1676400"/>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br/>
      </w:r>
      <w:r>
        <w:br/>
      </w:r>
      <w:r>
        <w:rPr>
          <w:rFonts w:ascii="SimSun" w:hAnsi="SimSun"/>
          <w:b w:val="false"/>
          <w:i w:val="false"/>
          <w:color w:val="000000"/>
          <w:sz w:val="21"/>
        </w:rPr>
        <w:t>（一）通识教育课程：模块“2”（41学分）</w:t>
      </w:r>
      <w:r>
        <w:br/>
      </w:r>
      <w:r>
        <w:br/>
      </w:r>
      <w:r>
        <w:rPr>
          <w:rFonts w:ascii="SimSun" w:hAnsi="SimSun"/>
          <w:b w:val="false"/>
          <w:i w:val="false"/>
          <w:color w:val="000000"/>
          <w:sz w:val="21"/>
        </w:rPr>
        <w:t xml:space="preserve"> </w:t>
      </w:r>
      <w:r>
        <w:br/>
      </w:r>
      <w:r>
        <w:br/>
      </w:r>
      <w:r>
        <w:rPr>
          <w:rFonts w:ascii="SimSun" w:hAnsi="SimSun"/>
          <w:b w:val="false"/>
          <w:i w:val="false"/>
          <w:color w:val="000000"/>
          <w:sz w:val="21"/>
        </w:rPr>
        <w:t xml:space="preserve"> </w:t>
      </w:r>
      <w:r>
        <w:br/>
      </w:r>
      <w:r>
        <w:br/>
      </w:r>
      <w:r>
        <w:rPr>
          <w:rFonts w:ascii="SimSun" w:hAnsi="SimSun"/>
          <w:b w:val="false"/>
          <w:i w:val="false"/>
          <w:color w:val="000000"/>
          <w:sz w:val="21"/>
        </w:rPr>
        <w:t>通识教育课程包括通识教育核心课程和专项教育课程。</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哲学学院所开设的课程代码为PHIL119开头的课程，即修读课程代码为PHIL119开头的课程将不计入七大模块10个学分中，只可认定为任意选修课程学分），“国家安全教育”模块设必修课程“大学生国家安全教育”，课程学分设为1学分，学生须完成在线课程（16学时）和线下学习（4学时）的修读任务。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要求修读11学分，包括大学外语、人工智能教学专项 、体育、军事课程、心理健康教育、实验室安全教育、留学生中国语言与文化素养等课程。课程设置详见专项教育课程和专业修读建议。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要求修读人文类基础课程8学分，“哲学导论”（要求在第一学期修完）、“逻辑学”（要求在第一学期修完）“宗教学导论”（含0.5实践学分）。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含0.5实践学分</w:t>
            </w: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人工智能大类基础课程（17学分）要求修读17学分。大类课程应在一二年级修完。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学生也可选修数院的“数学分析AI、II或BI、II”</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学生也可选修数院的“数学分析AI、II或BI、II”</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要求修74学分（部分课程学分可用荣誉课程学分替换），课程设置如下：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哲学部分必修课程(44学分) 可根据实际情况弹性选择修读学期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数理逻辑</w:t>
            </w:r>
            <w:r>
              <w:br/>
            </w:r>
            <w:r>
              <w:br/>
            </w:r>
            <w:r>
              <w:rPr>
                <w:rFonts w:ascii="SimSun" w:hAnsi="SimSun"/>
                <w:b w:val="false"/>
                <w:i w:val="false"/>
                <w:color w:val="000000"/>
                <w:sz w:val="21"/>
              </w:rPr>
              <w:t>Mathematical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伦理学基础</w:t>
            </w:r>
            <w:r>
              <w:br/>
            </w:r>
            <w:r>
              <w:br/>
            </w:r>
            <w:r>
              <w:rPr>
                <w:rFonts w:ascii="SimSun" w:hAnsi="SimSun"/>
                <w:b w:val="false"/>
                <w:i w:val="false"/>
                <w:color w:val="000000"/>
                <w:sz w:val="21"/>
              </w:rPr>
              <w:t>Introduction to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中国近现代哲学</w:t>
            </w:r>
            <w:r>
              <w:br/>
            </w:r>
            <w:r>
              <w:br/>
            </w:r>
            <w:r>
              <w:rPr>
                <w:rFonts w:ascii="SimSun" w:hAnsi="SimSun"/>
                <w:b w:val="false"/>
                <w:i w:val="false"/>
                <w:color w:val="000000"/>
                <w:sz w:val="21"/>
              </w:rPr>
              <w:t>Chinese Modern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w:t>
            </w:r>
            <w:r>
              <w:br/>
            </w:r>
            <w:r>
              <w:br/>
            </w:r>
            <w:r>
              <w:rPr>
                <w:rFonts w:ascii="SimSun" w:hAnsi="SimSun"/>
                <w:b w:val="false"/>
                <w:i w:val="false"/>
                <w:color w:val="000000"/>
                <w:sz w:val="21"/>
              </w:rPr>
              <w:t>Reading and Writing Philosophically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现代英美哲学</w:t>
            </w:r>
            <w:r>
              <w:br/>
            </w:r>
            <w:r>
              <w:br/>
            </w:r>
            <w:r>
              <w:rPr>
                <w:rFonts w:ascii="SimSun" w:hAnsi="SimSun"/>
                <w:b w:val="false"/>
                <w:i w:val="false"/>
                <w:color w:val="000000"/>
                <w:sz w:val="21"/>
              </w:rPr>
              <w:t>Contemporary Anglo-American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马克思主义哲学史</w:t>
            </w:r>
            <w:r>
              <w:br/>
            </w:r>
            <w:r>
              <w:br/>
            </w:r>
            <w:r>
              <w:rPr>
                <w:rFonts w:ascii="SimSun" w:hAnsi="SimSun"/>
                <w:b w:val="false"/>
                <w:i w:val="false"/>
                <w:color w:val="000000"/>
                <w:sz w:val="21"/>
              </w:rPr>
              <w:t>History of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PHIL30099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w:t>
            </w:r>
            <w:r>
              <w:br/>
            </w:r>
            <w:r>
              <w:br/>
            </w:r>
            <w:r>
              <w:rPr>
                <w:rFonts w:ascii="SimSun" w:hAnsi="SimSun"/>
                <w:b w:val="false"/>
                <w:i w:val="false"/>
                <w:color w:val="000000"/>
                <w:sz w:val="21"/>
              </w:rPr>
              <w:t>Contemporary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西方马克思主义哲学</w:t>
            </w:r>
            <w:r>
              <w:br/>
            </w:r>
            <w:r>
              <w:br/>
            </w:r>
            <w:r>
              <w:rPr>
                <w:rFonts w:ascii="SimSun" w:hAnsi="SimSun"/>
                <w:b w:val="false"/>
                <w:i w:val="false"/>
                <w:color w:val="000000"/>
                <w:sz w:val="21"/>
              </w:rPr>
              <w:t>Western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美学与艺术哲学基础</w:t>
            </w:r>
            <w:r>
              <w:br/>
            </w:r>
            <w:r>
              <w:br/>
            </w:r>
            <w:r>
              <w:rPr>
                <w:rFonts w:ascii="SimSun" w:hAnsi="SimSun"/>
                <w:b w:val="false"/>
                <w:i w:val="false"/>
                <w:color w:val="000000"/>
                <w:sz w:val="21"/>
              </w:rPr>
              <w:t>Introduction to Aesthetics and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科学哲学</w:t>
            </w:r>
            <w:r>
              <w:br/>
            </w:r>
            <w:r>
              <w:br/>
            </w:r>
            <w:r>
              <w:rPr>
                <w:rFonts w:ascii="SimSun" w:hAnsi="SimSun"/>
                <w:b w:val="false"/>
                <w:i w:val="false"/>
                <w:color w:val="000000"/>
                <w:sz w:val="21"/>
              </w:rPr>
              <w:t>Philosophy of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语言哲学</w:t>
            </w:r>
            <w:r>
              <w:br/>
            </w:r>
            <w:r>
              <w:br/>
            </w:r>
            <w:r>
              <w:rPr>
                <w:rFonts w:ascii="SimSun" w:hAnsi="SimSun"/>
                <w:b w:val="false"/>
                <w:i w:val="false"/>
                <w:color w:val="000000"/>
                <w:sz w:val="21"/>
              </w:rPr>
              <w:t>Linguistic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形而上学</w:t>
            </w:r>
            <w:r>
              <w:br/>
            </w:r>
            <w:r>
              <w:br/>
            </w:r>
            <w:r>
              <w:rPr>
                <w:rFonts w:ascii="SimSun" w:hAnsi="SimSun"/>
                <w:b w:val="false"/>
                <w:i w:val="false"/>
                <w:color w:val="000000"/>
                <w:sz w:val="21"/>
              </w:rPr>
              <w:t>Metaphysics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知识论</w:t>
            </w:r>
            <w:r>
              <w:br/>
            </w:r>
            <w:r>
              <w:br/>
            </w:r>
            <w:r>
              <w:rPr>
                <w:rFonts w:ascii="SimSun" w:hAnsi="SimSun"/>
                <w:b w:val="false"/>
                <w:i w:val="false"/>
                <w:color w:val="000000"/>
                <w:sz w:val="21"/>
              </w:rPr>
              <w:t>Epistemology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专业必修课程</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人工智能专业核心教育课程（35学分）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人工智能伦理</w:t>
            </w:r>
            <w:r>
              <w:br/>
            </w:r>
            <w:r>
              <w:br/>
            </w:r>
            <w:r>
              <w:rPr>
                <w:rFonts w:ascii="SimSun" w:hAnsi="SimSun"/>
                <w:b w:val="false"/>
                <w:i w:val="false"/>
                <w:color w:val="000000"/>
                <w:sz w:val="21"/>
              </w:rPr>
              <w:t>The Ethics of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包括专业进阶路径、荣誉项目、跨学科发展路径、哲学+AI双学士学位、创新创业等不同路径，要求在院系专业导师指导下选择1条发展路径，按路径要求修读课程。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修满23学分，要求在本专业进阶课程各模块中按分类要求修读至少23学分。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修满23学分。要求在本专业进阶课程各模块中按分类要求修读至少23学分。   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哲学-人工智能交叉融合进阶课程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哲学-人工智能交叉融合进阶课程(必修)</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智能哲学概论</w:t>
            </w:r>
            <w:r>
              <w:br/>
            </w:r>
            <w:r>
              <w:br/>
            </w:r>
            <w:r>
              <w:rPr>
                <w:rFonts w:ascii="SimSun" w:hAnsi="SimSun"/>
                <w:b w:val="false"/>
                <w:i w:val="false"/>
                <w:color w:val="000000"/>
                <w:sz w:val="21"/>
              </w:rPr>
              <w:t>A Survey of the Philosophy of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哲学-人工智能交叉融合进阶课程(选修)</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模态逻辑</w:t>
            </w:r>
            <w:r>
              <w:br/>
            </w:r>
            <w:r>
              <w:br/>
            </w:r>
            <w:r>
              <w:rPr>
                <w:rFonts w:ascii="SimSun" w:hAnsi="SimSun"/>
                <w:b w:val="false"/>
                <w:i w:val="false"/>
                <w:color w:val="000000"/>
                <w:sz w:val="21"/>
              </w:rPr>
              <w:t>Modal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科学、技术与社会（STS）</w:t>
            </w:r>
            <w:r>
              <w:br/>
            </w:r>
            <w:r>
              <w:br/>
            </w:r>
            <w:r>
              <w:rPr>
                <w:rFonts w:ascii="SimSun" w:hAnsi="SimSun"/>
                <w:b w:val="false"/>
                <w:i w:val="false"/>
                <w:color w:val="000000"/>
                <w:sz w:val="21"/>
              </w:rPr>
              <w:t>Science，Technology and Social(STS)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PHIL30089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模型论导论</w:t>
            </w:r>
            <w:r>
              <w:br/>
            </w:r>
            <w:r>
              <w:br/>
            </w:r>
            <w:r>
              <w:rPr>
                <w:rFonts w:ascii="SimSun" w:hAnsi="SimSun"/>
                <w:b w:val="false"/>
                <w:i w:val="false"/>
                <w:color w:val="000000"/>
                <w:sz w:val="21"/>
              </w:rPr>
              <w:t>Introduction to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w:t>
            </w:r>
            <w:r>
              <w:br/>
            </w:r>
            <w:r>
              <w:br/>
            </w:r>
            <w:r>
              <w:rPr>
                <w:rFonts w:ascii="SimSun" w:hAnsi="SimSun"/>
                <w:b w:val="false"/>
                <w:i w:val="false"/>
                <w:color w:val="000000"/>
                <w:sz w:val="21"/>
              </w:rPr>
              <w:t>Theory of Computability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人工智能的逻辑基础</w:t>
            </w:r>
            <w:r>
              <w:br/>
            </w:r>
            <w:r>
              <w:br/>
            </w:r>
            <w:r>
              <w:rPr>
                <w:rFonts w:ascii="SimSun" w:hAnsi="SimSun"/>
                <w:b w:val="false"/>
                <w:i w:val="false"/>
                <w:color w:val="000000"/>
                <w:sz w:val="21"/>
              </w:rPr>
              <w:t>Logical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人工智能与当代哲学新走向</w:t>
            </w:r>
            <w:r>
              <w:br/>
            </w:r>
            <w:r>
              <w:br/>
            </w:r>
            <w:r>
              <w:rPr>
                <w:rFonts w:ascii="SimSun" w:hAnsi="SimSun"/>
                <w:b w:val="false"/>
                <w:i w:val="false"/>
                <w:color w:val="000000"/>
                <w:sz w:val="21"/>
              </w:rPr>
              <w:t>Artificial Intelligence and the New Trend of Contemporary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人工智能哲学</w:t>
            </w:r>
            <w:r>
              <w:br/>
            </w:r>
            <w:r>
              <w:br/>
            </w:r>
            <w:r>
              <w:rPr>
                <w:rFonts w:ascii="SimSun" w:hAnsi="SimSun"/>
                <w:b w:val="false"/>
                <w:i w:val="false"/>
                <w:color w:val="000000"/>
                <w:sz w:val="21"/>
              </w:rPr>
              <w:t>Philosophy of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国家级一流课程“哲学视野中的人工智能”</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哲学专业进阶</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要求至少修读10学分，以下每组至少选修1门。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历史哲学</w:t>
            </w:r>
            <w:r>
              <w:br/>
            </w:r>
            <w:r>
              <w:br/>
            </w:r>
            <w:r>
              <w:rPr>
                <w:rFonts w:ascii="SimSun" w:hAnsi="SimSun"/>
                <w:b w:val="false"/>
                <w:i w:val="false"/>
                <w:color w:val="000000"/>
                <w:sz w:val="21"/>
              </w:rPr>
              <w:t>Philosophy of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西方马克思学</w:t>
            </w:r>
            <w:r>
              <w:br/>
            </w:r>
            <w:r>
              <w:br/>
            </w:r>
            <w:r>
              <w:rPr>
                <w:rFonts w:ascii="SimSun" w:hAnsi="SimSun"/>
                <w:b w:val="false"/>
                <w:i w:val="false"/>
                <w:color w:val="000000"/>
                <w:sz w:val="21"/>
              </w:rPr>
              <w:t>Western Marxism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价值哲学</w:t>
            </w:r>
            <w:r>
              <w:br/>
            </w:r>
            <w:r>
              <w:br/>
            </w:r>
            <w:r>
              <w:rPr>
                <w:rFonts w:ascii="SimSun" w:hAnsi="SimSun"/>
                <w:b w:val="false"/>
                <w:i w:val="false"/>
                <w:color w:val="000000"/>
                <w:sz w:val="21"/>
              </w:rPr>
              <w:t>Axiology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认识论</w:t>
            </w:r>
            <w:r>
              <w:br/>
            </w:r>
            <w:r>
              <w:br/>
            </w:r>
            <w:r>
              <w:rPr>
                <w:rFonts w:ascii="SimSun" w:hAnsi="SimSun"/>
                <w:b w:val="false"/>
                <w:i w:val="false"/>
                <w:color w:val="000000"/>
                <w:sz w:val="21"/>
              </w:rPr>
              <w:t>Theory of Knowledge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西方马克思主义原著选读</w:t>
            </w:r>
            <w:r>
              <w:br/>
            </w:r>
            <w:r>
              <w:br/>
            </w:r>
            <w:r>
              <w:rPr>
                <w:rFonts w:ascii="SimSun" w:hAnsi="SimSun"/>
                <w:b w:val="false"/>
                <w:i w:val="false"/>
                <w:color w:val="000000"/>
                <w:sz w:val="21"/>
              </w:rPr>
              <w:t>Selected Readings in Western Marxism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社会批判理论</w:t>
            </w:r>
            <w:r>
              <w:br/>
            </w:r>
            <w:r>
              <w:br/>
            </w:r>
            <w:r>
              <w:rPr>
                <w:rFonts w:ascii="SimSun" w:hAnsi="SimSun"/>
                <w:b w:val="false"/>
                <w:i w:val="false"/>
                <w:color w:val="000000"/>
                <w:sz w:val="21"/>
              </w:rPr>
              <w:t>Social Criticism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社会理论</w:t>
            </w:r>
            <w:r>
              <w:br/>
            </w:r>
            <w:r>
              <w:br/>
            </w:r>
            <w:r>
              <w:rPr>
                <w:rFonts w:ascii="SimSun" w:hAnsi="SimSun"/>
                <w:b w:val="false"/>
                <w:i w:val="false"/>
                <w:color w:val="000000"/>
                <w:sz w:val="21"/>
              </w:rPr>
              <w:t>Social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PHIL130207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激进哲学</w:t>
            </w:r>
            <w:r>
              <w:br/>
            </w:r>
            <w:r>
              <w:br/>
            </w:r>
            <w:r>
              <w:rPr>
                <w:rFonts w:ascii="SimSun" w:hAnsi="SimSun"/>
                <w:b w:val="false"/>
                <w:i w:val="false"/>
                <w:color w:val="000000"/>
                <w:sz w:val="21"/>
              </w:rPr>
              <w:t>Radical Philosophy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社会哲学与社会理论</w:t>
            </w:r>
            <w:r>
              <w:br/>
            </w:r>
            <w:r>
              <w:br/>
            </w:r>
            <w:r>
              <w:rPr>
                <w:rFonts w:ascii="SimSun" w:hAnsi="SimSun"/>
                <w:b w:val="false"/>
                <w:i w:val="false"/>
                <w:color w:val="000000"/>
                <w:sz w:val="21"/>
              </w:rPr>
              <w:t>Social Philosophy and Social Theory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康德哲学</w:t>
            </w:r>
            <w:r>
              <w:br/>
            </w:r>
            <w:r>
              <w:br/>
            </w:r>
            <w:r>
              <w:rPr>
                <w:rFonts w:ascii="SimSun" w:hAnsi="SimSun"/>
                <w:b w:val="false"/>
                <w:i w:val="false"/>
                <w:color w:val="000000"/>
                <w:sz w:val="21"/>
              </w:rPr>
              <w:t>Kantian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柏拉图哲学</w:t>
            </w:r>
            <w:r>
              <w:br/>
            </w:r>
            <w:r>
              <w:br/>
            </w:r>
            <w:r>
              <w:rPr>
                <w:rFonts w:ascii="SimSun" w:hAnsi="SimSun"/>
                <w:b w:val="false"/>
                <w:i w:val="false"/>
                <w:color w:val="000000"/>
                <w:sz w:val="21"/>
              </w:rPr>
              <w:t>Plato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亚里士多德哲学</w:t>
            </w:r>
            <w:r>
              <w:br/>
            </w:r>
            <w:r>
              <w:br/>
            </w:r>
            <w:r>
              <w:rPr>
                <w:rFonts w:ascii="SimSun" w:hAnsi="SimSun"/>
                <w:b w:val="false"/>
                <w:i w:val="false"/>
                <w:color w:val="000000"/>
                <w:sz w:val="21"/>
              </w:rPr>
              <w:t>Aristotle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笛卡尔哲学</w:t>
            </w:r>
            <w:r>
              <w:br/>
            </w:r>
            <w:r>
              <w:br/>
            </w:r>
            <w:r>
              <w:rPr>
                <w:rFonts w:ascii="SimSun" w:hAnsi="SimSun"/>
                <w:b w:val="false"/>
                <w:i w:val="false"/>
                <w:color w:val="000000"/>
                <w:sz w:val="21"/>
              </w:rPr>
              <w:t>Descartes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休谟哲学</w:t>
            </w:r>
            <w:r>
              <w:br/>
            </w:r>
            <w:r>
              <w:br/>
            </w:r>
            <w:r>
              <w:rPr>
                <w:rFonts w:ascii="SimSun" w:hAnsi="SimSun"/>
                <w:b w:val="false"/>
                <w:i w:val="false"/>
                <w:color w:val="000000"/>
                <w:sz w:val="21"/>
              </w:rPr>
              <w:t>Hume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卢梭哲学</w:t>
            </w:r>
            <w:r>
              <w:br/>
            </w:r>
            <w:r>
              <w:br/>
            </w:r>
            <w:r>
              <w:rPr>
                <w:rFonts w:ascii="SimSun" w:hAnsi="SimSun"/>
                <w:b w:val="false"/>
                <w:i w:val="false"/>
                <w:color w:val="000000"/>
                <w:sz w:val="21"/>
              </w:rPr>
              <w:t>Rousseau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黑格尔哲学</w:t>
            </w:r>
            <w:r>
              <w:br/>
            </w:r>
            <w:r>
              <w:br/>
            </w:r>
            <w:r>
              <w:rPr>
                <w:rFonts w:ascii="SimSun" w:hAnsi="SimSun"/>
                <w:b w:val="false"/>
                <w:i w:val="false"/>
                <w:color w:val="000000"/>
                <w:sz w:val="21"/>
              </w:rPr>
              <w:t>Philosophy of Hegel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中世纪哲学原著选读</w:t>
            </w:r>
            <w:r>
              <w:br/>
            </w:r>
            <w:r>
              <w:br/>
            </w:r>
            <w:r>
              <w:rPr>
                <w:rFonts w:ascii="SimSun" w:hAnsi="SimSun"/>
                <w:b w:val="false"/>
                <w:i w:val="false"/>
                <w:color w:val="000000"/>
                <w:sz w:val="21"/>
              </w:rPr>
              <w:t>Selected Readings in Medieval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现代法国哲学</w:t>
            </w:r>
            <w:r>
              <w:br/>
            </w:r>
            <w:r>
              <w:br/>
            </w:r>
            <w:r>
              <w:rPr>
                <w:rFonts w:ascii="SimSun" w:hAnsi="SimSun"/>
                <w:b w:val="false"/>
                <w:i w:val="false"/>
                <w:color w:val="000000"/>
                <w:sz w:val="21"/>
              </w:rPr>
              <w:t>Contemporary French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分析哲学原著选读</w:t>
            </w:r>
            <w:r>
              <w:br/>
            </w:r>
            <w:r>
              <w:br/>
            </w:r>
            <w:r>
              <w:rPr>
                <w:rFonts w:ascii="SimSun" w:hAnsi="SimSun"/>
                <w:b w:val="false"/>
                <w:i w:val="false"/>
                <w:color w:val="000000"/>
                <w:sz w:val="21"/>
              </w:rPr>
              <w:t>Selected Readings in Analytical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现代欧陆哲学原著选读</w:t>
            </w:r>
            <w:r>
              <w:br/>
            </w:r>
            <w:r>
              <w:br/>
            </w:r>
            <w:r>
              <w:rPr>
                <w:rFonts w:ascii="SimSun" w:hAnsi="SimSun"/>
                <w:b w:val="false"/>
                <w:i w:val="false"/>
                <w:color w:val="000000"/>
                <w:sz w:val="21"/>
              </w:rPr>
              <w:t>Selected Readings in Modern European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现代德国哲学</w:t>
            </w:r>
            <w:r>
              <w:br/>
            </w:r>
            <w:r>
              <w:br/>
            </w:r>
            <w:r>
              <w:rPr>
                <w:rFonts w:ascii="SimSun" w:hAnsi="SimSun"/>
                <w:b w:val="false"/>
                <w:i w:val="false"/>
                <w:color w:val="000000"/>
                <w:sz w:val="21"/>
              </w:rPr>
              <w:t>Contemporary German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维特根斯坦哲学</w:t>
            </w:r>
            <w:r>
              <w:br/>
            </w:r>
            <w:r>
              <w:br/>
            </w:r>
            <w:r>
              <w:rPr>
                <w:rFonts w:ascii="SimSun" w:hAnsi="SimSun"/>
                <w:b w:val="false"/>
                <w:i w:val="false"/>
                <w:color w:val="000000"/>
                <w:sz w:val="21"/>
              </w:rPr>
              <w:t>Wittgenstein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PHIL30069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海德格尔哲学</w:t>
            </w:r>
            <w:r>
              <w:br/>
            </w:r>
            <w:r>
              <w:br/>
            </w:r>
            <w:r>
              <w:rPr>
                <w:rFonts w:ascii="SimSun" w:hAnsi="SimSun"/>
                <w:b w:val="false"/>
                <w:i w:val="false"/>
                <w:color w:val="000000"/>
                <w:sz w:val="21"/>
              </w:rPr>
              <w:t>Heidegger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古典实用主义哲学</w:t>
            </w:r>
            <w:r>
              <w:br/>
            </w:r>
            <w:r>
              <w:br/>
            </w:r>
            <w:r>
              <w:rPr>
                <w:rFonts w:ascii="SimSun" w:hAnsi="SimSun"/>
                <w:b w:val="false"/>
                <w:i w:val="false"/>
                <w:color w:val="000000"/>
                <w:sz w:val="21"/>
              </w:rPr>
              <w:t>Study of Classic Pragmatism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哲学方法论导论</w:t>
            </w:r>
            <w:r>
              <w:br/>
            </w:r>
            <w:r>
              <w:br/>
            </w:r>
            <w:r>
              <w:rPr>
                <w:rFonts w:ascii="SimSun" w:hAnsi="SimSun"/>
                <w:b w:val="false"/>
                <w:i w:val="false"/>
                <w:color w:val="000000"/>
                <w:sz w:val="21"/>
              </w:rPr>
              <w:t>Introduction to Philosophical Methodology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PHIL30100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D组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政治哲学</w:t>
            </w:r>
            <w:r>
              <w:br/>
            </w:r>
            <w:r>
              <w:br/>
            </w:r>
            <w:r>
              <w:rPr>
                <w:rFonts w:ascii="SimSun" w:hAnsi="SimSun"/>
                <w:b w:val="false"/>
                <w:i w:val="false"/>
                <w:color w:val="000000"/>
                <w:sz w:val="21"/>
              </w:rPr>
              <w:t>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教育哲学</w:t>
            </w:r>
            <w:r>
              <w:br/>
            </w:r>
            <w:r>
              <w:br/>
            </w:r>
            <w:r>
              <w:rPr>
                <w:rFonts w:ascii="SimSun" w:hAnsi="SimSun"/>
                <w:b w:val="false"/>
                <w:i w:val="false"/>
                <w:color w:val="000000"/>
                <w:sz w:val="21"/>
              </w:rPr>
              <w:t>Philosophy of Education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西方伦理学史</w:t>
            </w:r>
            <w:r>
              <w:br/>
            </w:r>
            <w:r>
              <w:br/>
            </w:r>
            <w:r>
              <w:rPr>
                <w:rFonts w:ascii="SimSun" w:hAnsi="SimSun"/>
                <w:b w:val="false"/>
                <w:i w:val="false"/>
                <w:color w:val="000000"/>
                <w:sz w:val="21"/>
              </w:rPr>
              <w:t>Introduction to the History of Western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社会科学哲学</w:t>
            </w:r>
            <w:r>
              <w:br/>
            </w:r>
            <w:r>
              <w:br/>
            </w:r>
            <w:r>
              <w:rPr>
                <w:rFonts w:ascii="SimSun" w:hAnsi="SimSun"/>
                <w:b w:val="false"/>
                <w:i w:val="false"/>
                <w:color w:val="000000"/>
                <w:sz w:val="21"/>
              </w:rPr>
              <w:t>Philosophy of Social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艺术哲学原著选读</w:t>
            </w:r>
            <w:r>
              <w:br/>
            </w:r>
            <w:r>
              <w:br/>
            </w:r>
            <w:r>
              <w:rPr>
                <w:rFonts w:ascii="SimSun" w:hAnsi="SimSun"/>
                <w:b w:val="false"/>
                <w:i w:val="false"/>
                <w:color w:val="000000"/>
                <w:sz w:val="21"/>
              </w:rPr>
              <w:t>Selected Readings in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美学原著选读</w:t>
            </w:r>
            <w:r>
              <w:br/>
            </w:r>
            <w:r>
              <w:br/>
            </w:r>
            <w:r>
              <w:rPr>
                <w:rFonts w:ascii="SimSun" w:hAnsi="SimSun"/>
                <w:b w:val="false"/>
                <w:i w:val="false"/>
                <w:color w:val="000000"/>
                <w:sz w:val="21"/>
              </w:rPr>
              <w:t>Selected Readings in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伦理学原著选读</w:t>
            </w:r>
            <w:r>
              <w:br/>
            </w:r>
            <w:r>
              <w:br/>
            </w:r>
            <w:r>
              <w:rPr>
                <w:rFonts w:ascii="SimSun" w:hAnsi="SimSun"/>
                <w:b w:val="false"/>
                <w:i w:val="false"/>
                <w:color w:val="000000"/>
                <w:sz w:val="21"/>
              </w:rPr>
              <w:t>Selected Readings in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应用伦理学专题</w:t>
            </w:r>
            <w:r>
              <w:br/>
            </w:r>
            <w:r>
              <w:br/>
            </w:r>
            <w:r>
              <w:rPr>
                <w:rFonts w:ascii="SimSun" w:hAnsi="SimSun"/>
                <w:b w:val="false"/>
                <w:i w:val="false"/>
                <w:color w:val="000000"/>
                <w:sz w:val="21"/>
              </w:rPr>
              <w:t>Topics on Applied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神经伦理学</w:t>
            </w:r>
            <w:r>
              <w:br/>
            </w:r>
            <w:r>
              <w:br/>
            </w:r>
            <w:r>
              <w:rPr>
                <w:rFonts w:ascii="SimSun" w:hAnsi="SimSun"/>
                <w:b w:val="false"/>
                <w:i w:val="false"/>
                <w:color w:val="000000"/>
                <w:sz w:val="21"/>
              </w:rPr>
              <w:t>Neuroethics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E组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荣誉项目课程设置和修读要求请见哲学学院本科“荣誉项目”实施方案。下载地址：https://jwc.fudan.edu.cn/（复旦大学教务处）-专业培养-常用文档。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23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23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"1.按照“基础型—综合型—创新型”渐次推进相互衔接的哲学教学体系，在解决复杂问题的过程中培养学生的哲学素养，激发批判性思维和科研潜力。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2.秉持“以学为中心、以学生学习成效与学术综合能力提升为导向”的理念，培养具有优秀哲学素养、宽阔学术视野、出色思维能力的拔尖学术人才。
       </w:t>
      </w:r>
      <w:r>
        <w:br/>
      </w:r>
      <w:r>
        <w:rPr>
          <w:rFonts w:ascii="SimSun" w:hAnsi="SimSun"/>
          <w:b w:val="false"/>
          <w:i w:val="false"/>
          <w:color w:val="000000"/>
          <w:sz w:val="21"/>
        </w:rPr>
        <w:t xml:space="preserve">
       </w:t>
      </w:r>
      <w:r>
        <w:br/>
      </w:r>
      <w:r>
        <w:rPr>
          <w:rFonts w:ascii="SimSun" w:hAnsi="SimSun"/>
          <w:b w:val="false"/>
          <w:i w:val="false"/>
          <w:color w:val="000000"/>
          <w:sz w:val="21"/>
        </w:rPr>
        <w:t xml:space="preserve">3.围绕“复芏计划”展开多种学术项目，支撑具有多学科、全球化视野的“干细胞式”拔尖创新人才的培养。例如结合曦源、望道等学术项目的公开征集课题以及个人学术兴趣申请相关学术项目，获取相关导师的指导，帮助学生入门学术研究。
       </w:t>
      </w:r>
      <w:r>
        <w:br/>
      </w:r>
      <w:r>
        <w:rPr>
          <w:rFonts w:ascii="SimSun" w:hAnsi="SimSun"/>
          <w:b w:val="false"/>
          <w:i w:val="false"/>
          <w:color w:val="000000"/>
          <w:sz w:val="21"/>
        </w:rPr>
        <w:t xml:space="preserve">
       </w:t>
      </w:r>
      <w:r>
        <w:br/>
      </w:r>
      <w:r>
        <w:rPr>
          <w:rFonts w:ascii="SimSun" w:hAnsi="SimSun"/>
          <w:b w:val="false"/>
          <w:i w:val="false"/>
          <w:color w:val="000000"/>
          <w:sz w:val="21"/>
        </w:rPr>
        <w:t xml:space="preserve">4.提供大量读书班和论文研讨会。导师们举办各种主题的读书班，带领学生们深入研读哲学经典著作，帮助掌握阅读哲学原典的方法；学院建立机制保障，学生自发申请各类论文研讨会，互相点评。
       </w:t>
      </w:r>
      <w:r>
        <w:br/>
      </w:r>
      <w:r>
        <w:rPr>
          <w:rFonts w:ascii="SimSun" w:hAnsi="SimSun"/>
          <w:b w:val="false"/>
          <w:i w:val="false"/>
          <w:color w:val="000000"/>
          <w:sz w:val="21"/>
        </w:rPr>
        <w:t xml:space="preserve">
       </w:t>
      </w:r>
      <w:r>
        <w:br/>
      </w:r>
      <w:r>
        <w:rPr>
          <w:rFonts w:ascii="SimSun" w:hAnsi="SimSun"/>
          <w:b w:val="false"/>
          <w:i w:val="false"/>
          <w:color w:val="000000"/>
          <w:sz w:val="21"/>
        </w:rPr>
        <w:t xml:space="preserve">5.多渠道支持学生参加国内国际高水平论坛、会议等学术交流活动。"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