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文物与博物馆学系</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 文物与博物馆学专业本科培养方案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复旦大学文物与博物馆学系是国内创办时间最长、影响最大的文博教学与科研机构之一，是全国文物、博物馆专业学位研究生教育指导委员会秘书处单位，拥有40多年的学科发展史，并下设博物馆学、考古学、文化遗产（包括文物学、文物保护）三大方向。文物与博物馆学专业是国家级一流本科专业建设点，近年来，已形成了“考古发掘研究”“文化遗产保护管理”“博物馆阐释传播利用”的“三位一体”式发展格局。文物与博物馆学系拥有10个教学与科研平台、1个国际级教席、1项国家级考古发掘资质，旗下的复旦大学科技考古研究院拥有近10个实验室，是学校双一流建设规划重点项目。</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按照“宽口径、厚基础、重能力、求创新”的人才培养要求，以“2+X+Y”（2是通识和专业教育，X是多元发展路径，Y为融合创新能力）为途径，培养德智体美劳全面发展、具备理论和实践双重能力的创新复合型文博人才。学生应具有良好的思想道德素质和科学的世界观，具有人文情怀，具备突出的科学素养与创新思维、开阔的国际视野和跨文化环境下的交流与合作能力，能够服务国家重大战略需求。</w:t>
      </w:r>
    </w:p>
    <w:p>
      <w:pPr>
        <w:spacing w:after="0"/>
        <w:ind w:left="0"/>
        <w:jc w:val="left"/>
      </w:pPr>
      <w:r>
        <w:rPr>
          <w:rFonts w:ascii="SimSun" w:hAnsi="SimSun"/>
          <w:b/>
          <w:i w:val="false"/>
          <w:color w:val="000000"/>
          <w:sz w:val="24"/>
        </w:rPr>
        <w:t xml:space="preserve">
       三.    基本要求
      </w:t>
      </w:r>
    </w:p>
    <w:p>
      <w:pPr>
        <w:spacing w:after="0"/>
        <w:ind w:left="0"/>
        <w:jc w:val="left"/>
      </w:pPr>
      <w:r>
        <w:rPr>
          <w:rFonts w:ascii="SimSun" w:hAnsi="SimSun"/>
          <w:b w:val="false"/>
          <w:i w:val="false"/>
          <w:color w:val="000000"/>
          <w:sz w:val="21"/>
        </w:rPr>
        <w:t xml:space="preserve">要求学生努力学习马克思主义的基本理论和基本观点，学习文物学、博物馆学的基本理论和基础知识，受到历史、艺术、文化和科技等综合知识的基本训练。学生必须掌握文物学和博物馆学的基本理论和基本知识；掌握我国主要文物种类和重要文物实例；较熟练地掌握一门外语；具有对人类文化遗产、自然遗产进行管理的能力，熟知博物馆的基本职能和全面的操作管理要求；了解文物修缮、保管的传统方法和现代科技知识；掌握文献检索、资料查询的基本方法和手段。 </w:t>
      </w:r>
    </w:p>
    <w:p>
      <w:pPr>
        <w:spacing w:after="0"/>
        <w:ind w:left="0"/>
        <w:jc w:val="left"/>
      </w:pPr>
      <w:r>
        <w:drawing>
          <wp:inline distT="0" distB="0" distL="0" distR="0">
            <wp:extent cx="3183467" cy="12530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183467" cy="1253067"/>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r>
        <w:rPr>
          <w:rFonts w:ascii="SimSun" w:hAnsi="SimSun"/>
          <w:b w:val="false"/>
          <w:i w:val="false"/>
          <w:color w:val="000000"/>
          <w:sz w:val="21"/>
        </w:rPr>
        <w:t>1.修业年限：4年（类型：本科）</w:t>
      </w:r>
    </w:p>
    <w:p>
      <w:pPr>
        <w:spacing w:after="0"/>
        <w:ind w:left="0"/>
        <w:jc w:val="left"/>
      </w:pPr>
      <w:r>
        <w:rPr>
          <w:rFonts w:ascii="SimSun" w:hAnsi="SimSun"/>
          <w:b w:val="false"/>
          <w:i w:val="false"/>
          <w:color w:val="000000"/>
          <w:sz w:val="21"/>
        </w:rPr>
        <w:t>2. 学位授予说明：</w:t>
      </w:r>
    </w:p>
    <w:p>
      <w:pPr>
        <w:spacing w:after="0"/>
        <w:ind w:left="0"/>
        <w:jc w:val="left"/>
      </w:pPr>
      <w:r>
        <w:drawing>
          <wp:inline distT="0" distB="0" distL="0" distR="0">
            <wp:extent cx="3742267" cy="9990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742267" cy="999067"/>
                    </a:xfrm>
                    <a:prstGeom prst="rect">
                      <a:avLst/>
                    </a:prstGeom>
                  </pic:spPr>
                </pic:pic>
              </a:graphicData>
            </a:graphic>
          </wp:inline>
        </w:drawing>
      </w:r>
    </w:p>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3166533" cy="12530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166533" cy="1253067"/>
                    </a:xfrm>
                    <a:prstGeom prst="rect">
                      <a:avLst/>
                    </a:prstGeom>
                  </pic:spPr>
                </pic:pic>
              </a:graphicData>
            </a:graphic>
          </wp:inline>
        </w:drawing>
      </w:r>
    </w:p>
    <w:p>
      <w:pPr>
        <w:spacing w:after="0"/>
        <w:ind w:left="0"/>
        <w:jc w:val="left"/>
      </w:pPr>
      <w:r>
        <w:rPr>
          <w:rFonts w:ascii="SimSun" w:hAnsi="SimSun"/>
          <w:b w:val="false"/>
          <w:i w:val="false"/>
          <w:color w:val="000000"/>
          <w:sz w:val="21"/>
        </w:rPr>
        <w:t>学生毕业时须满足通识教育课程（含通识教育核心课程和专项教育课程）45学分、专业培养课程42学分、融合创新能力模块17学分和多元发展路径课程的修读要求，总学分不低于134学分（含实践学分不低于21学分；含美育学分不少于2学分，其中至少在“美学和艺术史论类”或“艺术鉴赏和评论类”课程中修读1学分，并至少参与一项艺术实践活动；劳动教育不少于32学时，并满足劳动周教育要求），达到学位要求者授予历史学学士学位。</w:t>
      </w:r>
      <w:r>
        <w:br/>
      </w:r>
      <w:r>
        <w:br/>
      </w:r>
      <w:r>
        <w:rPr>
          <w:rFonts w:ascii="SimSun" w:hAnsi="SimSun"/>
          <w:b w:val="false"/>
          <w:i w:val="false"/>
          <w:color w:val="000000"/>
          <w:sz w:val="21"/>
        </w:rPr>
        <w:t>留学生和港澳台侨学生的通识教育课程修读要求，以及留学生的水平测试要求，参见相应修读说明。</w:t>
      </w:r>
    </w:p>
    <w:p>
      <w:pPr>
        <w:spacing w:after="0"/>
        <w:ind w:left="0"/>
        <w:jc w:val="left"/>
      </w:pP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 xml:space="preserve">4年级结束时，如达到学士学位要求者授予历史学学士学位。  </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（2）以符合学生毕业时所在专业教学培养方案规定的所有课程的有效成绩为准计算平均绩点，且此平均绩点不低于2.0。</w:t>
      </w:r>
    </w:p>
    <w:p>
      <w:pPr>
        <w:spacing w:after="0"/>
        <w:ind w:left="0"/>
        <w:jc w:val="left"/>
      </w:pPr>
      <w:r>
        <w:rPr>
          <w:rFonts w:ascii="SimSun" w:hAnsi="SimSun"/>
          <w:b w:val="false"/>
          <w:i w:val="false"/>
          <w:color w:val="000000"/>
          <w:sz w:val="21"/>
        </w:rPr>
        <w:t>（3）达到文博系“本科荣誉证书”获得条件的授予“本科荣誉证书”，具体要求请见文博系“荣誉项目”实施方案。</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1.课程体系</w:t>
      </w:r>
    </w:p>
    <w:p>
      <w:pPr>
        <w:spacing w:after="0"/>
        <w:ind w:left="0"/>
        <w:jc w:val="left"/>
      </w:pPr>
      <w:r>
        <w:rPr>
          <w:rFonts w:ascii="SimSun" w:hAnsi="SimSun"/>
          <w:b w:val="false"/>
          <w:i w:val="false"/>
          <w:color w:val="000000"/>
          <w:sz w:val="21"/>
        </w:rPr>
        <w:t>文博专业课程与多学科方法并重的课程体系，以博物馆学、文化遗产（包括文物学、文物保护）、考古学各方向的基础课程构成专业核心课程体系，以各学科专业领域为横、课程内容梯度为纵建立了难度逐级提升的专业进阶课程体系。</w:t>
      </w:r>
    </w:p>
    <w:p>
      <w:pPr>
        <w:spacing w:after="0"/>
        <w:ind w:left="0"/>
        <w:jc w:val="left"/>
      </w:pPr>
      <w:r>
        <w:rPr>
          <w:rFonts w:ascii="SimSun" w:hAnsi="SimSun"/>
          <w:b w:val="false"/>
          <w:i w:val="false"/>
          <w:color w:val="000000"/>
          <w:sz w:val="21"/>
        </w:rPr>
        <w:t>2.科研体系</w:t>
      </w:r>
    </w:p>
    <w:p>
      <w:pPr>
        <w:spacing w:after="0"/>
        <w:ind w:left="0"/>
        <w:jc w:val="left"/>
      </w:pPr>
      <w:r>
        <w:rPr>
          <w:rFonts w:ascii="SimSun" w:hAnsi="SimSun"/>
          <w:b w:val="false"/>
          <w:i w:val="false"/>
          <w:color w:val="000000"/>
          <w:sz w:val="21"/>
        </w:rPr>
        <w:t>建立螺旋递进的全周期科研训练体系，给低年级本科生配备学业导师，鼓励师生共创，通过复芏计划（FDUROP）等项目引导学生在“做中学、学中悟、悟中创”。通过文博各方向科研实践实训，引导学生早参加课题，培育学术兴趣，激发创新志趣。</w:t>
      </w:r>
    </w:p>
    <w:p>
      <w:pPr>
        <w:spacing w:after="0"/>
        <w:ind w:left="0"/>
        <w:jc w:val="left"/>
      </w:pP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含思想政治理论课19学分，七大模块课程10学分（每模块最多修读1门课程），大学生国家安全教育1学分。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要求修读15学分， 课程设置详见专项教育课程。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（42学分）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15学分。其中必修课程修满9学分（课程为“中国文学经典”、“中国古代文明”、“哲学导论”、“逻辑学”，其中“哲学导论”、“逻辑学”二选一）；选修课程修满6学分（其中必须修读“考古学导论”）。课程设置详见学科基础课程（人文基础）。
      </w:t>
      </w:r>
    </w:p>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（27学分）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中国古代史</w:t>
            </w:r>
            <w:r>
              <w:br/>
            </w:r>
            <w:r>
              <w:br/>
            </w:r>
            <w:r>
              <w:rPr>
                <w:rFonts w:ascii="SimSun" w:hAnsi="SimSun"/>
                <w:b w:val="false"/>
                <w:i w:val="false"/>
                <w:color w:val="000000"/>
                <w:sz w:val="21"/>
              </w:rPr>
              <w:t>The History of Ancient China</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ARCH20013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文物研究导论</w:t>
            </w:r>
            <w:r>
              <w:br/>
            </w:r>
            <w:r>
              <w:br/>
            </w:r>
            <w:r>
              <w:rPr>
                <w:rFonts w:ascii="SimSun" w:hAnsi="SimSun"/>
                <w:b w:val="false"/>
                <w:i w:val="false"/>
                <w:color w:val="000000"/>
                <w:sz w:val="21"/>
              </w:rPr>
              <w:t>Introduction to the Study of Cultural Relics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CULT20005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文物保护基础</w:t>
            </w:r>
            <w:r>
              <w:br/>
            </w:r>
            <w:r>
              <w:br/>
            </w:r>
            <w:r>
              <w:rPr>
                <w:rFonts w:ascii="SimSun" w:hAnsi="SimSun"/>
                <w:b w:val="false"/>
                <w:i w:val="false"/>
                <w:color w:val="000000"/>
                <w:sz w:val="21"/>
              </w:rPr>
              <w:t>Basics of Cultural Relic Conservation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CULT20001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博物馆学概论</w:t>
            </w:r>
            <w:r>
              <w:br/>
            </w:r>
            <w:r>
              <w:br/>
            </w:r>
            <w:r>
              <w:rPr>
                <w:rFonts w:ascii="SimSun" w:hAnsi="SimSun"/>
                <w:b w:val="false"/>
                <w:i w:val="false"/>
                <w:color w:val="000000"/>
                <w:sz w:val="21"/>
              </w:rPr>
              <w:t>Introduction to Museology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MUSE20001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文化遗产导论</w:t>
            </w:r>
            <w:r>
              <w:br/>
            </w:r>
            <w:r>
              <w:br/>
            </w:r>
            <w:r>
              <w:rPr>
                <w:rFonts w:ascii="SimSun" w:hAnsi="SimSun"/>
                <w:b w:val="false"/>
                <w:i w:val="false"/>
                <w:color w:val="000000"/>
                <w:sz w:val="21"/>
              </w:rPr>
              <w:t>Introduction to Cultural Heritage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CULT20002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科技考古导论</w:t>
            </w:r>
            <w:r>
              <w:br/>
            </w:r>
            <w:r>
              <w:br/>
            </w:r>
            <w:r>
              <w:rPr>
                <w:rFonts w:ascii="SimSun" w:hAnsi="SimSun"/>
                <w:b w:val="false"/>
                <w:i w:val="false"/>
                <w:color w:val="000000"/>
                <w:sz w:val="21"/>
              </w:rPr>
              <w:t>Introduction to Archaeological Science and Technology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ARCH20010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非物质文化遗产导论</w:t>
            </w:r>
            <w:r>
              <w:br/>
            </w:r>
            <w:r>
              <w:br/>
            </w:r>
            <w:r>
              <w:rPr>
                <w:rFonts w:ascii="SimSun" w:hAnsi="SimSun"/>
                <w:b w:val="false"/>
                <w:i w:val="false"/>
                <w:color w:val="000000"/>
                <w:sz w:val="21"/>
              </w:rPr>
              <w:t>Introduction to Intangible Cultural Heritage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CULT20004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博物馆经营管理</w:t>
            </w:r>
            <w:r>
              <w:br/>
            </w:r>
            <w:r>
              <w:br/>
            </w:r>
            <w:r>
              <w:rPr>
                <w:rFonts w:ascii="SimSun" w:hAnsi="SimSun"/>
                <w:b w:val="false"/>
                <w:i w:val="false"/>
                <w:color w:val="000000"/>
                <w:sz w:val="21"/>
              </w:rPr>
              <w:t>Museum Management</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MUSE20002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专业论文写作</w:t>
            </w:r>
            <w:r>
              <w:br/>
            </w:r>
            <w:r>
              <w:br/>
            </w:r>
            <w:r>
              <w:rPr>
                <w:rFonts w:ascii="SimSun" w:hAnsi="SimSun"/>
                <w:b w:val="false"/>
                <w:i w:val="false"/>
                <w:color w:val="000000"/>
                <w:sz w:val="21"/>
              </w:rPr>
              <w:t>Academic Thesis Writing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ARCH20009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国际文化遗产保护概论</w:t>
            </w:r>
            <w:r>
              <w:br/>
            </w:r>
            <w:r>
              <w:br/>
            </w:r>
            <w:r>
              <w:rPr>
                <w:rFonts w:ascii="SimSun" w:hAnsi="SimSun"/>
                <w:b w:val="false"/>
                <w:i w:val="false"/>
                <w:color w:val="000000"/>
                <w:sz w:val="21"/>
              </w:rPr>
              <w:t>Introduction to Cultural Heritage Conservation with an International Outlook</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CULT20006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博物馆职业伦理与法规</w:t>
            </w:r>
            <w:r>
              <w:br/>
            </w:r>
            <w:r>
              <w:br/>
            </w:r>
            <w:r>
              <w:rPr>
                <w:rFonts w:ascii="SimSun" w:hAnsi="SimSun"/>
                <w:b w:val="false"/>
                <w:i w:val="false"/>
                <w:color w:val="000000"/>
                <w:sz w:val="21"/>
              </w:rPr>
              <w:t>Museum Ethics and Legislation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MUSE20003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专业英语</w:t>
            </w:r>
            <w:r>
              <w:br/>
            </w:r>
            <w:r>
              <w:br/>
            </w:r>
            <w:r>
              <w:rPr>
                <w:rFonts w:ascii="SimSun" w:hAnsi="SimSun"/>
                <w:b w:val="false"/>
                <w:i w:val="false"/>
                <w:color w:val="000000"/>
                <w:sz w:val="21"/>
              </w:rPr>
              <w:t>Professional English</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ARCH30010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0.9</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包括专业进阶（含荣誉项目）、跨学科发展（含辅修学士学位项目）和创新创业等不同路径，要求在院系专业导师指导下选择一条发展路径，按路径要求修读课程。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修满30学分。要求在本专业进阶课程或荣誉课程中修读（其中专业进阶I和专业进阶II分别修读15学分）。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专业进阶模块I</w:t>
      </w:r>
      <w:r>
        <w:rPr>
          <w:rFonts w:ascii="SimSun" w:hAnsi="SimSun"/>
          <w:b/>
          <w:i w:val="false"/>
          <w:color w:val="000000"/>
          <w:sz w:val="21"/>
        </w:rPr>
        <w:t>（15学分）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2035"/>
        <w:gridCol w:w="2722"/>
        <w:gridCol w:w="679"/>
        <w:gridCol w:w="680"/>
        <w:gridCol w:w="951"/>
        <w:gridCol w:w="1538"/>
        <w:gridCol w:w="680"/>
        <w:gridCol w:w="680"/>
        <w:gridCol w:w="680"/>
        <w:gridCol w:w="679"/>
        <w:gridCol w:w="951"/>
        <w:gridCol w:w="1359"/>
      </w:tblGrid>
      <w:tr>
        <w:trPr>
          <w:trHeight w:val="45" w:hRule="atLeast"/>
        </w:trPr>
        <w:tc>
          <w:tcPr>
            <w:tcW w:w="20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课程模块</w:t>
            </w: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35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2035"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博物馆学</w:t>
            </w: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博物馆藏品管理</w:t>
            </w:r>
            <w:r>
              <w:br/>
            </w:r>
            <w:r>
              <w:br/>
            </w:r>
            <w:r>
              <w:rPr>
                <w:rFonts w:ascii="SimSun" w:hAnsi="SimSun"/>
                <w:b w:val="false"/>
                <w:i w:val="false"/>
                <w:color w:val="000000"/>
                <w:sz w:val="21"/>
              </w:rPr>
              <w:t>Management of Museum Collections</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MUSE30001</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展览形式设计</w:t>
            </w:r>
            <w:r>
              <w:br/>
            </w:r>
            <w:r>
              <w:br/>
            </w:r>
            <w:r>
              <w:rPr>
                <w:rFonts w:ascii="SimSun" w:hAnsi="SimSun"/>
                <w:b w:val="false"/>
                <w:i w:val="false"/>
                <w:color w:val="000000"/>
                <w:sz w:val="21"/>
              </w:rPr>
              <w:t>Formal Design of Museum Display</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MUSE30002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展览内容策划</w:t>
            </w:r>
            <w:r>
              <w:br/>
            </w:r>
            <w:r>
              <w:br/>
            </w:r>
            <w:r>
              <w:rPr>
                <w:rFonts w:ascii="SimSun" w:hAnsi="SimSun"/>
                <w:b w:val="false"/>
                <w:i w:val="false"/>
                <w:color w:val="000000"/>
                <w:sz w:val="21"/>
              </w:rPr>
              <w:t>Exhibition Content Planning</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MUSE30003</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博物馆教育</w:t>
            </w:r>
            <w:r>
              <w:br/>
            </w:r>
            <w:r>
              <w:br/>
            </w:r>
            <w:r>
              <w:rPr>
                <w:rFonts w:ascii="SimSun" w:hAnsi="SimSun"/>
                <w:b w:val="false"/>
                <w:i w:val="false"/>
                <w:color w:val="000000"/>
                <w:sz w:val="21"/>
              </w:rPr>
              <w:t>Museum Education</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MUSE30004</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博物馆国际交流与合作</w:t>
            </w:r>
            <w:r>
              <w:br/>
            </w:r>
            <w:r>
              <w:br/>
            </w:r>
            <w:r>
              <w:rPr>
                <w:rFonts w:ascii="SimSun" w:hAnsi="SimSun"/>
                <w:b w:val="false"/>
                <w:i w:val="false"/>
                <w:color w:val="000000"/>
                <w:sz w:val="21"/>
              </w:rPr>
              <w:t>The International Work of Museums</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MUSE30005</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35"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文物学</w:t>
            </w: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中国绘画史</w:t>
            </w:r>
            <w:r>
              <w:br/>
            </w:r>
            <w:r>
              <w:br/>
            </w:r>
            <w:r>
              <w:rPr>
                <w:rFonts w:ascii="SimSun" w:hAnsi="SimSun"/>
                <w:b w:val="false"/>
                <w:i w:val="false"/>
                <w:color w:val="000000"/>
                <w:sz w:val="21"/>
              </w:rPr>
              <w:t>History of Chinese Paintings</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CULT30004</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中国青铜器</w:t>
            </w:r>
            <w:r>
              <w:br/>
            </w:r>
            <w:r>
              <w:br/>
            </w:r>
            <w:r>
              <w:rPr>
                <w:rFonts w:ascii="SimSun" w:hAnsi="SimSun"/>
                <w:b w:val="false"/>
                <w:i w:val="false"/>
                <w:color w:val="000000"/>
                <w:sz w:val="21"/>
              </w:rPr>
              <w:t>Chinese Bronzeware</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CULT30005</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中国陶瓷史</w:t>
            </w:r>
            <w:r>
              <w:br/>
            </w:r>
            <w:r>
              <w:br/>
            </w:r>
            <w:r>
              <w:rPr>
                <w:rFonts w:ascii="SimSun" w:hAnsi="SimSun"/>
                <w:b w:val="false"/>
                <w:i w:val="false"/>
                <w:color w:val="000000"/>
                <w:sz w:val="21"/>
              </w:rPr>
              <w:t>History of Chinese Ceramics</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CULT30006</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中国玉器</w:t>
            </w:r>
            <w:r>
              <w:br/>
            </w:r>
            <w:r>
              <w:br/>
            </w:r>
            <w:r>
              <w:rPr>
                <w:rFonts w:ascii="SimSun" w:hAnsi="SimSun"/>
                <w:b w:val="false"/>
                <w:i w:val="false"/>
                <w:color w:val="000000"/>
                <w:sz w:val="21"/>
              </w:rPr>
              <w:t>Chinese Jadeware</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CULT30003</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中国钱币学</w:t>
            </w:r>
            <w:r>
              <w:br/>
            </w:r>
            <w:r>
              <w:br/>
            </w:r>
            <w:r>
              <w:rPr>
                <w:rFonts w:ascii="SimSun" w:hAnsi="SimSun"/>
                <w:b w:val="false"/>
                <w:i w:val="false"/>
                <w:color w:val="000000"/>
                <w:sz w:val="21"/>
              </w:rPr>
              <w:t>China's Numismatics</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CULT30008</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中国美术考古</w:t>
            </w:r>
            <w:r>
              <w:br/>
            </w:r>
            <w:r>
              <w:br/>
            </w:r>
            <w:r>
              <w:rPr>
                <w:rFonts w:ascii="SimSun" w:hAnsi="SimSun"/>
                <w:b w:val="false"/>
                <w:i w:val="false"/>
                <w:color w:val="000000"/>
                <w:sz w:val="21"/>
              </w:rPr>
              <w:t>Chinese Art and Archaeology</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CULT30011</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35"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文化遗产</w:t>
            </w: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文化遗产管理与法规</w:t>
            </w:r>
            <w:r>
              <w:br/>
            </w:r>
            <w:r>
              <w:br/>
            </w:r>
            <w:r>
              <w:rPr>
                <w:rFonts w:ascii="SimSun" w:hAnsi="SimSun"/>
                <w:b w:val="false"/>
                <w:i w:val="false"/>
                <w:color w:val="000000"/>
                <w:sz w:val="21"/>
              </w:rPr>
              <w:t>Management and Regulation of Cultural Heritage</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CULT30001</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文化遗产类型</w:t>
            </w:r>
            <w:r>
              <w:br/>
            </w:r>
            <w:r>
              <w:br/>
            </w:r>
            <w:r>
              <w:rPr>
                <w:rFonts w:ascii="SimSun" w:hAnsi="SimSun"/>
                <w:b w:val="false"/>
                <w:i w:val="false"/>
                <w:color w:val="000000"/>
                <w:sz w:val="21"/>
              </w:rPr>
              <w:t>Introduction to Cultural Heritage Category</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CULT30017</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35"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文物保护</w:t>
            </w: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文物保护技术</w:t>
            </w:r>
            <w:r>
              <w:br/>
            </w:r>
            <w:r>
              <w:br/>
            </w:r>
            <w:r>
              <w:rPr>
                <w:rFonts w:ascii="SimSun" w:hAnsi="SimSun"/>
                <w:b w:val="false"/>
                <w:i w:val="false"/>
                <w:color w:val="000000"/>
                <w:sz w:val="21"/>
              </w:rPr>
              <w:t>Techniques of Cultural Relics Conservation</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CULT30002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文物分析技术</w:t>
            </w:r>
            <w:r>
              <w:br/>
            </w:r>
            <w:r>
              <w:br/>
            </w:r>
            <w:r>
              <w:rPr>
                <w:rFonts w:ascii="SimSun" w:hAnsi="SimSun"/>
                <w:b w:val="false"/>
                <w:i w:val="false"/>
                <w:color w:val="000000"/>
                <w:sz w:val="21"/>
              </w:rPr>
              <w:t>Analyzing Techniques of Cultural Relics</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CULT30010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文物修复</w:t>
            </w:r>
            <w:r>
              <w:br/>
            </w:r>
            <w:r>
              <w:br/>
            </w:r>
            <w:r>
              <w:rPr>
                <w:rFonts w:ascii="SimSun" w:hAnsi="SimSun"/>
                <w:b w:val="false"/>
                <w:i w:val="false"/>
                <w:color w:val="000000"/>
                <w:sz w:val="21"/>
              </w:rPr>
              <w:t>Restoration of Cultural Relics</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CULT30019</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35"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考古学</w:t>
            </w: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旧石器时代考古</w:t>
            </w:r>
            <w:r>
              <w:br/>
            </w:r>
            <w:r>
              <w:br/>
            </w:r>
            <w:r>
              <w:rPr>
                <w:rFonts w:ascii="SimSun" w:hAnsi="SimSun"/>
                <w:b w:val="false"/>
                <w:i w:val="false"/>
                <w:color w:val="000000"/>
                <w:sz w:val="21"/>
              </w:rPr>
              <w:t>Paleolithic Archaeology</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ARCH20006</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新石器时代考古</w:t>
            </w:r>
            <w:r>
              <w:br/>
            </w:r>
            <w:r>
              <w:br/>
            </w:r>
            <w:r>
              <w:rPr>
                <w:rFonts w:ascii="SimSun" w:hAnsi="SimSun"/>
                <w:b w:val="false"/>
                <w:i w:val="false"/>
                <w:color w:val="000000"/>
                <w:sz w:val="21"/>
              </w:rPr>
              <w:t>Neolithic Archaeology</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ARCH20007</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夏商周考古</w:t>
            </w:r>
            <w:r>
              <w:br/>
            </w:r>
            <w:r>
              <w:br/>
            </w:r>
            <w:r>
              <w:rPr>
                <w:rFonts w:ascii="SimSun" w:hAnsi="SimSun"/>
                <w:b w:val="false"/>
                <w:i w:val="false"/>
                <w:color w:val="000000"/>
                <w:sz w:val="21"/>
              </w:rPr>
              <w:t>Archaeology of Xia, Shang and Zhou Dynasties</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ARCH20005</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汉唐考古</w:t>
            </w:r>
            <w:r>
              <w:br/>
            </w:r>
            <w:r>
              <w:br/>
            </w:r>
            <w:r>
              <w:rPr>
                <w:rFonts w:ascii="SimSun" w:hAnsi="SimSun"/>
                <w:b w:val="false"/>
                <w:i w:val="false"/>
                <w:color w:val="000000"/>
                <w:sz w:val="21"/>
              </w:rPr>
              <w:t>Archaeology of Han and Tang Dynasties</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ARCH20002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宋元明考古</w:t>
            </w:r>
            <w:r>
              <w:br/>
            </w:r>
            <w:r>
              <w:br/>
            </w:r>
            <w:r>
              <w:rPr>
                <w:rFonts w:ascii="SimSun" w:hAnsi="SimSun"/>
                <w:b w:val="false"/>
                <w:i w:val="false"/>
                <w:color w:val="000000"/>
                <w:sz w:val="21"/>
              </w:rPr>
              <w:t>Archaeology of Song, Yuan and Ming Dynasties</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ARCH20004</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田野考古学</w:t>
            </w:r>
            <w:r>
              <w:br/>
            </w:r>
            <w:r>
              <w:br/>
            </w:r>
            <w:r>
              <w:rPr>
                <w:rFonts w:ascii="SimSun" w:hAnsi="SimSun"/>
                <w:b w:val="false"/>
                <w:i w:val="false"/>
                <w:color w:val="000000"/>
                <w:sz w:val="21"/>
              </w:rPr>
              <w:t>Field Archaeology</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ARCH20008</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田野考古技术</w:t>
            </w:r>
            <w:r>
              <w:br/>
            </w:r>
            <w:r>
              <w:br/>
            </w:r>
            <w:r>
              <w:rPr>
                <w:rFonts w:ascii="SimSun" w:hAnsi="SimSun"/>
                <w:b w:val="false"/>
                <w:i w:val="false"/>
                <w:color w:val="000000"/>
                <w:sz w:val="21"/>
              </w:rPr>
              <w:t>Field Archaeological Skills</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ARCH20017</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世界考古概论</w:t>
            </w:r>
            <w:r>
              <w:br/>
            </w:r>
            <w:r>
              <w:br/>
            </w:r>
            <w:r>
              <w:rPr>
                <w:rFonts w:ascii="SimSun" w:hAnsi="SimSun"/>
                <w:b w:val="false"/>
                <w:i w:val="false"/>
                <w:color w:val="000000"/>
                <w:sz w:val="21"/>
              </w:rPr>
              <w:t>Introduction to World Archaeology</w:t>
            </w:r>
          </w:p>
        </w:tc>
        <w:tc>
          <w:tcPr>
            <w:tcW w:w="67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5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3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ARCH30001</w:t>
            </w:r>
          </w:p>
        </w:tc>
        <w:tc>
          <w:tcPr>
            <w:tcW w:w="68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68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67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5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专业进阶模块II</w:t>
      </w:r>
      <w:r>
        <w:rPr>
          <w:rFonts w:ascii="SimSun" w:hAnsi="SimSun"/>
          <w:b/>
          <w:i w:val="false"/>
          <w:color w:val="000000"/>
          <w:sz w:val="21"/>
        </w:rPr>
        <w:t>（15学分）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2035"/>
        <w:gridCol w:w="2724"/>
        <w:gridCol w:w="679"/>
        <w:gridCol w:w="680"/>
        <w:gridCol w:w="951"/>
        <w:gridCol w:w="1538"/>
        <w:gridCol w:w="680"/>
        <w:gridCol w:w="679"/>
        <w:gridCol w:w="680"/>
        <w:gridCol w:w="679"/>
        <w:gridCol w:w="951"/>
        <w:gridCol w:w="1358"/>
      </w:tblGrid>
      <w:tr>
        <w:trPr>
          <w:trHeight w:val="45" w:hRule="atLeast"/>
        </w:trPr>
        <w:tc>
          <w:tcPr>
            <w:tcW w:w="20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课程模块</w:t>
            </w: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35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2035"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博物馆学</w:t>
            </w: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儿童博物馆概论</w:t>
            </w:r>
            <w:r>
              <w:br/>
            </w:r>
            <w:r>
              <w:br/>
            </w:r>
            <w:r>
              <w:rPr>
                <w:rFonts w:ascii="SimSun" w:hAnsi="SimSun"/>
                <w:b w:val="false"/>
                <w:i w:val="false"/>
                <w:color w:val="000000"/>
                <w:sz w:val="21"/>
              </w:rPr>
              <w:t>Introduction to Children’s Museum</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MUSE30006</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博物馆展览说明文字研究</w:t>
            </w:r>
            <w:r>
              <w:br/>
            </w:r>
            <w:r>
              <w:br/>
            </w:r>
            <w:r>
              <w:rPr>
                <w:rFonts w:ascii="SimSun" w:hAnsi="SimSun"/>
                <w:b w:val="false"/>
                <w:i w:val="false"/>
                <w:color w:val="000000"/>
                <w:sz w:val="21"/>
              </w:rPr>
              <w:t>Introduction to Exhibit Labels</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MUSE30007</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自然博物馆理论与实务</w:t>
            </w:r>
            <w:r>
              <w:br/>
            </w:r>
            <w:r>
              <w:br/>
            </w:r>
            <w:r>
              <w:rPr>
                <w:rFonts w:ascii="SimSun" w:hAnsi="SimSun"/>
                <w:b w:val="false"/>
                <w:i w:val="false"/>
                <w:color w:val="000000"/>
                <w:sz w:val="21"/>
              </w:rPr>
              <w:t>The Natural History Museum in Theory and Practice</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MUSE30008</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35"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文物学</w:t>
            </w: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中国墓葬艺术导论</w:t>
            </w:r>
            <w:r>
              <w:br/>
            </w:r>
            <w:r>
              <w:br/>
            </w:r>
            <w:r>
              <w:rPr>
                <w:rFonts w:ascii="SimSun" w:hAnsi="SimSun"/>
                <w:b w:val="false"/>
                <w:i w:val="false"/>
                <w:color w:val="000000"/>
                <w:sz w:val="21"/>
              </w:rPr>
              <w:t>History of Chinese Funerary Art</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CULT30015</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中国古典园林史</w:t>
            </w:r>
            <w:r>
              <w:br/>
            </w:r>
            <w:r>
              <w:br/>
            </w:r>
            <w:r>
              <w:rPr>
                <w:rFonts w:ascii="SimSun" w:hAnsi="SimSun"/>
                <w:b w:val="false"/>
                <w:i w:val="false"/>
                <w:color w:val="000000"/>
                <w:sz w:val="21"/>
              </w:rPr>
              <w:t>Development History of Traditional Chinese Gardens</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CULT30016</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中国古代青瓷</w:t>
            </w:r>
            <w:r>
              <w:br/>
            </w:r>
            <w:r>
              <w:br/>
            </w:r>
            <w:r>
              <w:rPr>
                <w:rFonts w:ascii="SimSun" w:hAnsi="SimSun"/>
                <w:b w:val="false"/>
                <w:i w:val="false"/>
                <w:color w:val="000000"/>
                <w:sz w:val="21"/>
              </w:rPr>
              <w:t>Ancient Chinese Celadon</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CULT30020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中国漆器史</w:t>
            </w:r>
            <w:r>
              <w:br/>
            </w:r>
            <w:r>
              <w:br/>
            </w:r>
            <w:r>
              <w:rPr>
                <w:rFonts w:ascii="SimSun" w:hAnsi="SimSun"/>
                <w:b w:val="false"/>
                <w:i w:val="false"/>
                <w:color w:val="000000"/>
                <w:sz w:val="21"/>
              </w:rPr>
              <w:t>History of Chinese Lacquerware</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CULT30012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35"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文化遗产</w:t>
            </w: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中国古代建筑史</w:t>
            </w:r>
            <w:r>
              <w:br/>
            </w:r>
            <w:r>
              <w:br/>
            </w:r>
            <w:r>
              <w:rPr>
                <w:rFonts w:ascii="SimSun" w:hAnsi="SimSun"/>
                <w:b w:val="false"/>
                <w:i w:val="false"/>
                <w:color w:val="000000"/>
                <w:sz w:val="21"/>
              </w:rPr>
              <w:t>History of Architectural Development in Ancient China</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CULT30007</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世界建筑艺术概论</w:t>
            </w:r>
            <w:r>
              <w:br/>
            </w:r>
            <w:r>
              <w:br/>
            </w:r>
            <w:r>
              <w:rPr>
                <w:rFonts w:ascii="SimSun" w:hAnsi="SimSun"/>
                <w:b w:val="false"/>
                <w:i w:val="false"/>
                <w:color w:val="000000"/>
                <w:sz w:val="21"/>
              </w:rPr>
              <w:t>Introduction to Architectural Art in the World</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CULT30018</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世界遗产概论</w:t>
            </w:r>
            <w:r>
              <w:br/>
            </w:r>
            <w:r>
              <w:br/>
            </w:r>
            <w:r>
              <w:rPr>
                <w:rFonts w:ascii="SimSun" w:hAnsi="SimSun"/>
                <w:b w:val="false"/>
                <w:i w:val="false"/>
                <w:color w:val="000000"/>
                <w:sz w:val="21"/>
              </w:rPr>
              <w:t>Introduction to World Heritage</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CULT30021</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文物保护</w:t>
            </w: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中国科技史概论</w:t>
            </w:r>
            <w:r>
              <w:br/>
            </w:r>
            <w:r>
              <w:br/>
            </w:r>
            <w:r>
              <w:rPr>
                <w:rFonts w:ascii="SimSun" w:hAnsi="SimSun"/>
                <w:b w:val="false"/>
                <w:i w:val="false"/>
                <w:color w:val="000000"/>
                <w:sz w:val="21"/>
              </w:rPr>
              <w:t>Introduction to History of Science and Technology in China</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CULT30009</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35"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考古学</w:t>
            </w: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考古学思想史</w:t>
            </w:r>
            <w:r>
              <w:br/>
            </w:r>
            <w:r>
              <w:br/>
            </w:r>
            <w:r>
              <w:rPr>
                <w:rFonts w:ascii="SimSun" w:hAnsi="SimSun"/>
                <w:b w:val="false"/>
                <w:i w:val="false"/>
                <w:color w:val="000000"/>
                <w:sz w:val="21"/>
              </w:rPr>
              <w:t>History of Archaeological Thought</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ARCH30007</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东亚史前考古</w:t>
            </w:r>
            <w:r>
              <w:br/>
            </w:r>
            <w:r>
              <w:br/>
            </w:r>
            <w:r>
              <w:rPr>
                <w:rFonts w:ascii="SimSun" w:hAnsi="SimSun"/>
                <w:b w:val="false"/>
                <w:i w:val="false"/>
                <w:color w:val="000000"/>
                <w:sz w:val="21"/>
              </w:rPr>
              <w:t>Prehistory in East Asia</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ARCH30009</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动物考古学</w:t>
            </w:r>
            <w:r>
              <w:br/>
            </w:r>
            <w:r>
              <w:br/>
            </w:r>
            <w:r>
              <w:rPr>
                <w:rFonts w:ascii="SimSun" w:hAnsi="SimSun"/>
                <w:b w:val="false"/>
                <w:i w:val="false"/>
                <w:color w:val="000000"/>
                <w:sz w:val="21"/>
              </w:rPr>
              <w:t>Zooarchaeology</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ARCH30011</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植物考古学</w:t>
            </w:r>
            <w:r>
              <w:br/>
            </w:r>
            <w:r>
              <w:br/>
            </w:r>
            <w:r>
              <w:rPr>
                <w:rFonts w:ascii="SimSun" w:hAnsi="SimSun"/>
                <w:b w:val="false"/>
                <w:i w:val="false"/>
                <w:color w:val="000000"/>
                <w:sz w:val="21"/>
              </w:rPr>
              <w:t>Palaeoethnobotany</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ARCH30012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陶瓷考古</w:t>
            </w:r>
            <w:r>
              <w:br/>
            </w:r>
            <w:r>
              <w:br/>
            </w:r>
            <w:r>
              <w:rPr>
                <w:rFonts w:ascii="SimSun" w:hAnsi="SimSun"/>
                <w:b w:val="false"/>
                <w:i w:val="false"/>
                <w:color w:val="000000"/>
                <w:sz w:val="21"/>
              </w:rPr>
              <w:t>Ceramic Archaeology</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ARCH30013</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海上丝绸之路考古概论</w:t>
            </w:r>
            <w:r>
              <w:br/>
            </w:r>
            <w:r>
              <w:br/>
            </w:r>
            <w:r>
              <w:rPr>
                <w:rFonts w:ascii="SimSun" w:hAnsi="SimSun"/>
                <w:b w:val="false"/>
                <w:i w:val="false"/>
                <w:color w:val="000000"/>
                <w:sz w:val="21"/>
              </w:rPr>
              <w:t>Introduction to Maritime Silkroad Archaeology</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ARCH40005</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水下考古学导论</w:t>
            </w:r>
            <w:r>
              <w:br/>
            </w:r>
            <w:r>
              <w:br/>
            </w:r>
            <w:r>
              <w:rPr>
                <w:rFonts w:ascii="SimSun" w:hAnsi="SimSun"/>
                <w:b w:val="false"/>
                <w:i w:val="false"/>
                <w:color w:val="000000"/>
                <w:sz w:val="21"/>
              </w:rPr>
              <w:t>Introduction to Underwater Archaeology</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ARCH40006</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饮食考古</w:t>
            </w:r>
            <w:r>
              <w:br/>
            </w:r>
            <w:r>
              <w:br/>
            </w:r>
            <w:r>
              <w:rPr>
                <w:rFonts w:ascii="SimSun" w:hAnsi="SimSun"/>
                <w:b w:val="false"/>
                <w:i w:val="false"/>
                <w:color w:val="000000"/>
                <w:sz w:val="21"/>
              </w:rPr>
              <w:t>Archaeology of Food</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ARCH30014</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分子考古学</w:t>
            </w:r>
            <w:r>
              <w:br/>
            </w:r>
            <w:r>
              <w:br/>
            </w:r>
            <w:r>
              <w:rPr>
                <w:rFonts w:ascii="SimSun" w:hAnsi="SimSun"/>
                <w:b w:val="false"/>
                <w:i w:val="false"/>
                <w:color w:val="000000"/>
                <w:sz w:val="21"/>
              </w:rPr>
              <w:t>Molecular Archaeology</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ARCH40007</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体质人类学</w:t>
            </w:r>
            <w:r>
              <w:br/>
            </w:r>
            <w:r>
              <w:br/>
            </w:r>
            <w:r>
              <w:rPr>
                <w:rFonts w:ascii="SimSun" w:hAnsi="SimSun"/>
                <w:b w:val="false"/>
                <w:i w:val="false"/>
                <w:color w:val="000000"/>
                <w:sz w:val="21"/>
              </w:rPr>
              <w:t>Physical Anthropology</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ARCH20001</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同位素考古</w:t>
            </w:r>
            <w:r>
              <w:br/>
            </w:r>
            <w:r>
              <w:br/>
            </w:r>
            <w:r>
              <w:rPr>
                <w:rFonts w:ascii="SimSun" w:hAnsi="SimSun"/>
                <w:b w:val="false"/>
                <w:i w:val="false"/>
                <w:color w:val="000000"/>
                <w:sz w:val="21"/>
              </w:rPr>
              <w:t>Isotope Archaeology</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ARCH50003</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农业考古</w:t>
            </w:r>
            <w:r>
              <w:br/>
            </w:r>
            <w:r>
              <w:br/>
            </w:r>
            <w:r>
              <w:rPr>
                <w:rFonts w:ascii="SimSun" w:hAnsi="SimSun"/>
                <w:b w:val="false"/>
                <w:i w:val="false"/>
                <w:color w:val="000000"/>
                <w:sz w:val="21"/>
              </w:rPr>
              <w:t>Agricultural Archaeology</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ARCH50001</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石窟寺考古</w:t>
            </w:r>
            <w:r>
              <w:br/>
            </w:r>
            <w:r>
              <w:br/>
            </w:r>
            <w:r>
              <w:rPr>
                <w:rFonts w:ascii="SimSun" w:hAnsi="SimSun"/>
                <w:b w:val="false"/>
                <w:i w:val="false"/>
                <w:color w:val="000000"/>
                <w:sz w:val="21"/>
              </w:rPr>
              <w:t>Grotto Archaeology</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ARCH40002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公众考古</w:t>
            </w:r>
            <w:r>
              <w:br/>
            </w:r>
            <w:r>
              <w:br/>
            </w:r>
            <w:r>
              <w:rPr>
                <w:rFonts w:ascii="SimSun" w:hAnsi="SimSun"/>
                <w:b w:val="false"/>
                <w:i w:val="false"/>
                <w:color w:val="000000"/>
                <w:sz w:val="21"/>
              </w:rPr>
              <w:t>Public Archaeology</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ARCH50002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冶金考古</w:t>
            </w:r>
            <w:r>
              <w:br/>
            </w:r>
            <w:r>
              <w:br/>
            </w:r>
            <w:r>
              <w:rPr>
                <w:rFonts w:ascii="SimSun" w:hAnsi="SimSun"/>
                <w:b w:val="false"/>
                <w:i w:val="false"/>
                <w:color w:val="000000"/>
                <w:sz w:val="21"/>
              </w:rPr>
              <w:t>Archaeometallurgy</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ARCH40001</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环境考古学</w:t>
            </w:r>
            <w:r>
              <w:br/>
            </w:r>
            <w:r>
              <w:br/>
            </w:r>
            <w:r>
              <w:rPr>
                <w:rFonts w:ascii="SimSun" w:hAnsi="SimSun"/>
                <w:b w:val="false"/>
                <w:i w:val="false"/>
                <w:color w:val="000000"/>
                <w:sz w:val="21"/>
              </w:rPr>
              <w:t>Environmental Archaeology</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ARCH30003</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古人类学</w:t>
            </w:r>
            <w:r>
              <w:br/>
            </w:r>
            <w:r>
              <w:br/>
            </w:r>
            <w:r>
              <w:rPr>
                <w:rFonts w:ascii="SimSun" w:hAnsi="SimSun"/>
                <w:b w:val="false"/>
                <w:i w:val="false"/>
                <w:color w:val="000000"/>
                <w:sz w:val="21"/>
              </w:rPr>
              <w:t>Paleoanthropology</w:t>
            </w:r>
          </w:p>
        </w:tc>
        <w:tc>
          <w:tcPr>
            <w:tcW w:w="67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3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ARCH30004</w:t>
            </w:r>
          </w:p>
        </w:tc>
        <w:tc>
          <w:tcPr>
            <w:tcW w:w="68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68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67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5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荣誉项目课程设置和修读要求请见文物与博物馆学系本科“荣誉项目”实施方案。下载地址：https://jwc.fudan.edu.cn/（复旦大学教务处）-专业培养-常用文档。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修满30学分。要求修读2个非本专业独立开设的微专业（学程），可选择专业学程或跨学科学程。学分不足部分可在全校所有本科生课程中任意选修。
       </w:t>
      </w:r>
      <w:r>
        <w:br/>
      </w:r>
      <w:r>
        <w:rPr>
          <w:rFonts w:ascii="SimSun" w:hAnsi="SimSun"/>
          <w:b w:val="false"/>
          <w:i w:val="false"/>
          <w:color w:val="000000"/>
          <w:sz w:val="21"/>
        </w:rPr>
        <w:t xml:space="preserve">
       </w:t>
      </w:r>
      <w:r>
        <w:br/>
      </w:r>
      <w:r>
        <w:rPr>
          <w:rFonts w:ascii="SimSun" w:hAnsi="SimSun"/>
          <w:b w:val="false"/>
          <w:i w:val="false"/>
          <w:color w:val="000000"/>
          <w:sz w:val="21"/>
        </w:rPr>
        <w:t xml:space="preserve">微专业（学程）课程详见教务处网页，下载地址：https://jwc.fudan.edu.cn/（复旦大学教务处）-专业培养-常用文档。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30学分。要求修读1个创新创业学院开设的创新创业微专业（学程），以及1个非本专业独立开设的微专业（学程）。修读学分不足部分可在全校所有本科生课程中任意选修。创新创业微专业（学程）课程详见教务处网页，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（55学分）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要求至少修读本专业进阶课程15学分和1个辅修学士学位项目，辅修学士学位应与主修学士学位归属不同的本科专业大类。
       </w:t>
      </w:r>
      <w:r>
        <w:br/>
      </w:r>
      <w:r>
        <w:rPr>
          <w:rFonts w:ascii="SimSun" w:hAnsi="SimSun"/>
          <w:b w:val="false"/>
          <w:i w:val="false"/>
          <w:color w:val="000000"/>
          <w:sz w:val="21"/>
        </w:rPr>
        <w:t xml:space="preserve">
       </w:t>
      </w:r>
      <w:r>
        <w:br/>
      </w:r>
      <w:r>
        <w:rPr>
          <w:rFonts w:ascii="SimSun" w:hAnsi="SimSun"/>
          <w:b w:val="false"/>
          <w:i w:val="false"/>
          <w:color w:val="000000"/>
          <w:sz w:val="21"/>
        </w:rPr>
        <w:t xml:space="preserve">辅修学士学位项目课程设置详见教务处辅修学士学位项目网页，下载地址：https://jwc.fudan.edu.cn/（复旦大学教务处）-专业培养-常用文档。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多元发展路径中，辅修学士学位项目或专业进阶课程模块均可以冲抵微专业（学程），专业培养和多元发展路径共享的课程只计算一次学分。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（17学分）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需完成至少17学分（必修13学分，选修4学分）。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学年论文</w:t>
            </w:r>
            <w:r>
              <w:br/>
            </w:r>
            <w:r>
              <w:br/>
            </w:r>
            <w:r>
              <w:rPr>
                <w:rFonts w:ascii="SimSun" w:hAnsi="SimSun"/>
                <w:b w:val="false"/>
                <w:i w:val="false"/>
                <w:color w:val="000000"/>
                <w:sz w:val="21"/>
              </w:rPr>
              <w:t>Junior Thesis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ARCH30006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ARCH40004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社会实践</w:t>
            </w:r>
            <w:r>
              <w:br/>
            </w:r>
            <w:r>
              <w:br/>
            </w:r>
            <w:r>
              <w:rPr>
                <w:rFonts w:ascii="SimSun" w:hAnsi="SimSun"/>
                <w:b w:val="false"/>
                <w:i w:val="false"/>
                <w:color w:val="000000"/>
                <w:sz w:val="21"/>
              </w:rPr>
              <w:t>Social Practice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ARCH30008</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纸质文物修复</w:t>
            </w:r>
            <w:r>
              <w:br/>
            </w:r>
            <w:r>
              <w:br/>
            </w:r>
            <w:r>
              <w:rPr>
                <w:rFonts w:ascii="SimSun" w:hAnsi="SimSun"/>
                <w:b w:val="false"/>
                <w:i w:val="false"/>
                <w:color w:val="000000"/>
                <w:sz w:val="21"/>
              </w:rPr>
              <w:t>Restoration of Paper</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CULT30013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古陶瓷修复</w:t>
            </w:r>
            <w:r>
              <w:br/>
            </w:r>
            <w:r>
              <w:br/>
            </w:r>
            <w:r>
              <w:rPr>
                <w:rFonts w:ascii="SimSun" w:hAnsi="SimSun"/>
                <w:b w:val="false"/>
                <w:i w:val="false"/>
                <w:color w:val="000000"/>
                <w:sz w:val="21"/>
              </w:rPr>
              <w:t>Restoration of Ancient Ceramics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CULT30014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前沿讲座</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不少于10场，需提交学习报告。</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科研实践I</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文物学科研实践（根据实际由教师招募）</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科研实践II</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文化遗产保护实践（根据实际由教师招募）</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科研实践III</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文物保护实验训练（根据实际由教师招募）</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科研实践Ⅳ</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田野考古提升训练（根据实际由教师招募）</w:t>
            </w: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鼓励学生承担复芏计划（FDUROP）项目，详见复旦大学本科生学术研究资助计划管理办法。</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jpeg" Type="http://schemas.openxmlformats.org/officeDocument/2006/relationships/image" Id="rId5"/>
   <Relationship Target="media/document_image_rId6.jpeg" Type="http://schemas.openxmlformats.org/officeDocument/2006/relationships/image" Id="rId6"/>
   <Relationship Target="media/document_image_rId7.jpe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