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人工智能专业本科培养方案（香农计划适用）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人工智能是指通过计算机系统模拟人类智能的能力，使其能够执行诸如学习、推理、问题求解、感知、决策等任务。复旦大学人工智能专业，响应国家新一代人工智能战略发展和上海科创中心建设需要，紧密对接国家人工智能人才培养的战略规划，聚焦人工智能的基础理论创新和重点关键技术突破，充分依托综合性大学优势，汇聚整合校内优势资源，培养具有扎实的理论基础、关键技术创新和系统设计能力，并了解人工智能应用场景和价值创造机制的多层次复合型高水平的人工智能专门人才，为人工智能领域科技创新突破和产业健康持续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旨在培育具有深厚底蕴与前瞻视野的人工智能领域精英。学生将系统掌握人工智能领域的核心理论、专业知识及实操技能，同时在数理科学、计算机科学等多个维度实现跨领域融合的综合素养。要求学生精通至少一门外语，具备卓越的问题解析、独立研究等能力。通过“2+X+Y”的培养途径，构建起循序渐进、层层深入的学习路径，为学生的成长与发展提供持续且强劲的动力，助力其在人工智能领域稳步迈向顶尖行列。</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488267" cy="1507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88267" cy="1507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修业年限：4年（类型：√本科、□本硕、□本博）</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436"/>
        <w:gridCol w:w="736"/>
        <w:gridCol w:w="2090"/>
        <w:gridCol w:w="2090"/>
        <w:gridCol w:w="2156"/>
        <w:gridCol w:w="1056"/>
        <w:gridCol w:w="2606"/>
        <w:gridCol w:w="2607"/>
        <w:gridCol w:w="1525"/>
        <w:gridCol w:w="1525"/>
        <w:gridCol w:w="1533"/>
      </w:tblGrid>
      <w:tr>
        <w:trPr>
          <w:trHeight w:val="45" w:hRule="atLeast"/>
        </w:trPr>
        <w:tc>
          <w:tcPr>
            <w:tcW w:w="343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3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21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343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3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21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 132 学分数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39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62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24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 7 学分</w:t>
            </w:r>
          </w:p>
        </w:tc>
      </w:tr>
      <w:tr>
        <w:trPr>
          <w:trHeight w:val="370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4961467" cy="846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61467" cy="846667"/>
                    </a:xfrm>
                    <a:prstGeom prst="rect">
                      <a:avLst/>
                    </a:prstGeom>
                  </pic:spPr>
                </pic:pic>
              </a:graphicData>
            </a:graphic>
          </wp:inline>
        </w:drawing>
      </w:r>
    </w:p>
    <w:p>
      <w:pPr>
        <w:spacing w:after="0"/>
        <w:ind w:left="0"/>
        <w:jc w:val="left"/>
      </w:pPr>
      <w:r>
        <w:rPr>
          <w:rFonts w:ascii="SimSun" w:hAnsi="SimSun"/>
          <w:b w:val="false"/>
          <w:i w:val="false"/>
          <w:color w:val="000000"/>
          <w:sz w:val="21"/>
        </w:rPr>
        <w:t>注：其他路径学分见"（三）多元发展路径课程"。</w:t>
      </w:r>
    </w:p>
    <w:p>
      <w:pPr>
        <w:spacing w:after="0"/>
        <w:ind w:left="0"/>
        <w:jc w:val="left"/>
      </w:pPr>
      <w:r>
        <w:rPr>
          <w:rFonts w:ascii="SimSun" w:hAnsi="SimSun"/>
          <w:b w:val="false"/>
          <w:i w:val="false"/>
          <w:color w:val="000000"/>
          <w:sz w:val="21"/>
        </w:rPr>
        <w:t>1、专业进阶路径：132学分</w:t>
      </w:r>
    </w:p>
    <w:p>
      <w:pPr>
        <w:spacing w:after="0"/>
        <w:ind w:left="0"/>
        <w:jc w:val="left"/>
      </w:pPr>
      <w:r>
        <w:rPr>
          <w:rFonts w:ascii="SimSun" w:hAnsi="SimSun"/>
          <w:b w:val="false"/>
          <w:i w:val="false"/>
          <w:color w:val="000000"/>
          <w:sz w:val="21"/>
        </w:rPr>
        <w:t xml:space="preserve">       本路径学生需要完成 132 学分（含实践学分不低于 33 学分；含美育学分不少于2学分，其中至少在“美学和艺术史论类”或“艺术鉴赏和评论类”课程中修读1学分，并至少参与一项艺术实践活动；劳动教育不少于32学时，并满足劳动周教育要求），包括通识教育课程 39 学分、专业培养课程 62 学分、专业进阶模块修读 24 学分、融合创新能力培养 7 学分。</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40301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30133" cy="2167467"/>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专业学生在二年级下学期设置《课题组轮转》，要求学生在3个以上不同课题组开展无学分轮转，通过参加讨论班以及交流讨论等方式了解不同研究方向并考虑自身科研兴趣。学期结束后初步确定导师及课题组。同时，鼓励学生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26 学分，含思想政治理论课 19 学分，七大模块课程6学分(每模块≤1门)，并且不能修读第五模块，其中美育学分不少于2学分，大学生国家安全教育1学分。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4"/>
        <w:gridCol w:w="800"/>
        <w:gridCol w:w="800"/>
        <w:gridCol w:w="1121"/>
        <w:gridCol w:w="1699"/>
        <w:gridCol w:w="800"/>
        <w:gridCol w:w="801"/>
        <w:gridCol w:w="801"/>
        <w:gridCol w:w="801"/>
        <w:gridCol w:w="1122"/>
        <w:gridCol w:w="1685"/>
      </w:tblGrid>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信息论、控制论、系统论基础</w:t>
            </w:r>
            <w:r>
              <w:br/>
            </w:r>
            <w:r>
              <w:br/>
            </w:r>
            <w:r>
              <w:rPr>
                <w:rFonts w:ascii="SimSun" w:hAnsi="SimSun"/>
                <w:b w:val="false"/>
                <w:i w:val="false"/>
                <w:color w:val="000000"/>
                <w:sz w:val="21"/>
              </w:rPr>
              <w:t>Basics of Information Theory, Cybernetics, and Systems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AIE631001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也可修读《Introduction to Artificial Intelligence》</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 Method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也可修读《Machine Learning Systems》</w:t>
            </w:r>
          </w:p>
        </w:tc>
      </w:tr>
      <w:tr>
        <w:trPr>
          <w:trHeight w:val="45" w:hRule="atLeast"/>
        </w:trPr>
        <w:tc>
          <w:tcPr>
            <w:tcW w:w="32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也可修读《人工智能伦理》AIB310001</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多元发展包括专业进阶、荣誉项目、跨学科发展、辅修学士学位、创新创业等路径，要求在学院专业导师指导下选择一条发展路径，按路径要求修读课程。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要求在本专业进阶模块课程中修读至少 30 学分（专业进阶I修读 14 学分，专业进阶II修读 16 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数据科学基础</w:t>
            </w:r>
            <w:r>
              <w:br/>
            </w:r>
            <w:r>
              <w:br/>
            </w:r>
            <w:r>
              <w:rPr>
                <w:rFonts w:ascii="SimSun" w:hAnsi="SimSun"/>
                <w:b w:val="false"/>
                <w:i w:val="false"/>
                <w:color w:val="000000"/>
                <w:sz w:val="21"/>
              </w:rPr>
              <w:t>Introduction to Data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w:t>
            </w:r>
            <w:r>
              <w:br/>
            </w:r>
            <w:r>
              <w:br/>
            </w:r>
            <w:r>
              <w:rPr>
                <w:rFonts w:ascii="SimSun" w:hAnsi="SimSun"/>
                <w:b w:val="false"/>
                <w:i w:val="false"/>
                <w:color w:val="000000"/>
                <w:sz w:val="21"/>
              </w:rPr>
              <w:t>Computer Graphics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专业进阶模块II（修满16学分，其中保密相关课程必须选修至少6学分，本硕贯通学生修读本研课程不少于 9 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类脑智能与人工通用智能</w:t>
            </w:r>
            <w:r>
              <w:br/>
            </w:r>
            <w:r>
              <w:br/>
            </w:r>
            <w:r>
              <w:rPr>
                <w:rFonts w:ascii="SimSun" w:hAnsi="SimSun"/>
                <w:b w:val="false"/>
                <w:i w:val="false"/>
                <w:color w:val="000000"/>
                <w:sz w:val="21"/>
              </w:rPr>
              <w:t>Brain-inspired Intelligence and Artificial General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w:t>
            </w:r>
            <w:r>
              <w:br/>
            </w:r>
            <w:r>
              <w:br/>
            </w:r>
            <w:r>
              <w:rPr>
                <w:rFonts w:ascii="SimSun" w:hAnsi="SimSun"/>
                <w:b w:val="false"/>
                <w:i w:val="false"/>
                <w:color w:val="000000"/>
                <w:sz w:val="21"/>
              </w:rPr>
              <w:t>Data Mining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w:t>
            </w:r>
            <w:r>
              <w:br/>
            </w:r>
            <w:r>
              <w:br/>
            </w:r>
            <w:r>
              <w:rPr>
                <w:rFonts w:ascii="SimSun" w:hAnsi="SimSun"/>
                <w:b w:val="false"/>
                <w:i w:val="false"/>
                <w:color w:val="000000"/>
                <w:sz w:val="21"/>
              </w:rPr>
              <w:t>Digital Image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信息检索导论</w:t>
            </w:r>
            <w:r>
              <w:br/>
            </w:r>
            <w:r>
              <w:br/>
            </w:r>
            <w:r>
              <w:rPr>
                <w:rFonts w:ascii="SimSun" w:hAnsi="SimSun"/>
                <w:b w:val="false"/>
                <w:i w:val="false"/>
                <w:color w:val="000000"/>
                <w:sz w:val="21"/>
              </w:rPr>
              <w:t>Introduction of Information Retrieval</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社会计算导论</w:t>
            </w:r>
            <w:r>
              <w:br/>
            </w:r>
            <w:r>
              <w:br/>
            </w:r>
            <w:r>
              <w:rPr>
                <w:rFonts w:ascii="SimSun" w:hAnsi="SimSun"/>
                <w:b w:val="false"/>
                <w:i w:val="false"/>
                <w:color w:val="000000"/>
                <w:sz w:val="21"/>
              </w:rPr>
              <w:t>Introduction to Social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社交网络挖掘</w:t>
            </w:r>
            <w:r>
              <w:br/>
            </w:r>
            <w:r>
              <w:br/>
            </w:r>
            <w:r>
              <w:rPr>
                <w:rFonts w:ascii="SimSun" w:hAnsi="SimSun"/>
                <w:b w:val="false"/>
                <w:i w:val="false"/>
                <w:color w:val="000000"/>
                <w:sz w:val="21"/>
              </w:rPr>
              <w:t>Social Network Mining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具身智能引论</w:t>
            </w:r>
            <w:r>
              <w:br/>
            </w:r>
            <w:r>
              <w:br/>
            </w:r>
            <w:r>
              <w:rPr>
                <w:rFonts w:ascii="SimSun" w:hAnsi="SimSun"/>
                <w:b w:val="false"/>
                <w:i w:val="false"/>
                <w:color w:val="000000"/>
                <w:sz w:val="21"/>
              </w:rPr>
              <w:t>Introduction to Embodied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人机交互</w:t>
            </w:r>
            <w:r>
              <w:br/>
            </w:r>
            <w:r>
              <w:br/>
            </w:r>
            <w:r>
              <w:rPr>
                <w:rFonts w:ascii="SimSun" w:hAnsi="SimSun"/>
                <w:b w:val="false"/>
                <w:i w:val="false"/>
                <w:color w:val="000000"/>
                <w:sz w:val="21"/>
              </w:rPr>
              <w:t>Human-Computer Interaction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荣誉项目课程设置和修读要求请见本专业本科“荣誉项目”实施方案。下载地址：https://jwc.fudan.edu.cn/（复旦大学教务处）专业培养-常用文档。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要求修读2个非本专业独立开设的学程。学分不足部分可在全校所有本科生课程中任意选修。完成跨学科发展路径的学生，毕业时将获得保密技术（跨学科）毕业证书及学士学位证书。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进阶模块I或1个非本专业独立开设的学程（上述二选一）以及1个创新创业学院开设的创新创业学程，学分不足部分可在全校所有本科生课程中任意选修。完成创新创业路径的学生，毕业时将获得保密技术（创新创业）毕业证书及学士学位证书。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要求至少修读1个本专业进阶模块（I或II)和1个外院系开设的辅修学士学位项目，辅修学士学位应与主修学士学位归属不同的本科专业大类。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毕业时将获得保密技术（跨学科）毕业证书、学士学位证书以及相应的辅修学士学位注记。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（1）第4学期结束，学生需确定选课路径，毕业时将按照所选择的路径对应的修读要求进行严格审核，不满足路径对应的修读要求将审核不通过。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   （2）选择多元发展课程模块和学程时，专业进阶课程模块和辅修学士学位项目可以冲抵学程，专业培养和多元发展路径共享的课程只计算一次学分。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（3）完成1个本专业进阶模块和1个非本专业独立开设的学程的学生，仍被视作选择跨学科发展路径。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