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2025行政管理专业-本科培养方案（普通学生适用）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秉持“宽口径、厚基础、重能力、求创新”的人才培养理念，本专业旨在培养具有政治学、公共行政学、公共政策、应急管理和人工智能等方面的基本理论和专门知识，能在党政机关、企事业单位、国际组织与社会团体等机构，从事政策分析及公共事务管理等工作的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马克思主义基本原理、公共行政学、管理学、经济学、政治学、国际政治学、法学和社会学的基本理论知识；掌握辩证唯物主义和历史唯物主义的基本观点和分析方法；了解有关国家治理、政府治理、社会治理与公共服务以及党政管理法律、制度、方针、政策；熟练掌握一门外语；了解公共行政学、公共政策、应急管理、社会保障、数字治理、全球治理等公共管理学科多个二级学科的发展动态；掌握文献检索、资料查询与调查研究的基本方法和手段，具有较强的科学研究能力和组织领导能力。</w:t>
      </w:r>
    </w:p>
    <w:p>
      <w:pPr>
        <w:spacing w:after="0"/>
        <w:ind w:left="0"/>
        <w:jc w:val="left"/>
      </w:pPr>
      <w:r>
        <w:drawing>
          <wp:inline distT="0" distB="0" distL="0" distR="0">
            <wp:extent cx="5063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811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需要完成139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全球领导力课程模块63学分、本科多元发展模块25学分，满足融合创新能力10学分等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四年级结束时，如达到学士学位要求者授予管理学学士学位。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以3门高难度、大学分的荣誉课程为基础建立本研融通的专业核心课程体系，以学科领域为横、课程内容梯度为纵建立了难度逐级提升的本研融通的专业进阶课程体系。鼓励学生修读荣誉课程。</w:t>
      </w:r>
      <w:r>
        <w:br/>
      </w:r>
      <w:r>
        <w:br/>
      </w:r>
      <w:r>
        <w:rPr>
          <w:rFonts w:ascii="SimSun" w:hAnsi="SimSun"/>
          <w:b w:val="false"/>
          <w:i w:val="false"/>
          <w:color w:val="000000"/>
          <w:sz w:val="21"/>
        </w:rPr>
        <w:t>2.训练体系</w:t>
      </w:r>
      <w:r>
        <w:br/>
      </w:r>
      <w:r>
        <w:br/>
      </w: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 、跨学科发展（含辅修学士学位项目）和创新创业等不同路径，要求在院系专业导师指导下选择一条发展路径，按路径要求修读课程。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政治修辞学</w:t>
            </w:r>
            <w:r>
              <w:br/>
            </w:r>
            <w:r>
              <w:br/>
            </w:r>
            <w:r>
              <w:rPr>
                <w:rFonts w:ascii="SimSun" w:hAnsi="SimSun"/>
                <w:b w:val="false"/>
                <w:i w:val="false"/>
                <w:color w:val="000000"/>
                <w:sz w:val="21"/>
              </w:rPr>
              <w:t>Political Rhetoric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发展政治学</w:t>
            </w:r>
            <w:r>
              <w:br/>
            </w:r>
            <w:r>
              <w:br/>
            </w:r>
            <w:r>
              <w:rPr>
                <w:rFonts w:ascii="SimSun" w:hAnsi="SimSun"/>
                <w:b w:val="false"/>
                <w:i w:val="false"/>
                <w:color w:val="000000"/>
                <w:sz w:val="21"/>
              </w:rPr>
              <w:t>Politics of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西方政治史经典选读</w:t>
            </w:r>
            <w:r>
              <w:br/>
            </w:r>
            <w:r>
              <w:br/>
            </w:r>
            <w:r>
              <w:rPr>
                <w:rFonts w:ascii="SimSun" w:hAnsi="SimSun"/>
                <w:b w:val="false"/>
                <w:i w:val="false"/>
                <w:color w:val="000000"/>
                <w:sz w:val="21"/>
              </w:rPr>
              <w:t>Canons of Western Political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比较政党制度</w:t>
            </w:r>
            <w:r>
              <w:br/>
            </w:r>
            <w:r>
              <w:br/>
            </w:r>
            <w:r>
              <w:rPr>
                <w:rFonts w:ascii="SimSun" w:hAnsi="SimSun"/>
                <w:b w:val="false"/>
                <w:i w:val="false"/>
                <w:color w:val="000000"/>
                <w:sz w:val="21"/>
              </w:rPr>
              <w:t>Comparative Study of Party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比较宪法</w:t>
            </w:r>
            <w:r>
              <w:br/>
            </w:r>
            <w:r>
              <w:br/>
            </w:r>
            <w:r>
              <w:rPr>
                <w:rFonts w:ascii="SimSun" w:hAnsi="SimSun"/>
                <w:b w:val="false"/>
                <w:i w:val="false"/>
                <w:color w:val="000000"/>
                <w:sz w:val="21"/>
              </w:rPr>
              <w:t>Comparative Constitution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比较政治经济分析</w:t>
            </w:r>
            <w:r>
              <w:br/>
            </w:r>
            <w:r>
              <w:br/>
            </w:r>
            <w:r>
              <w:rPr>
                <w:rFonts w:ascii="SimSun" w:hAnsi="SimSun"/>
                <w:b w:val="false"/>
                <w:i w:val="false"/>
                <w:color w:val="000000"/>
                <w:sz w:val="21"/>
              </w:rPr>
              <w:t>Comparative Political Economy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选举政治学</w:t>
            </w:r>
            <w:r>
              <w:br/>
            </w:r>
            <w:r>
              <w:br/>
            </w:r>
            <w:r>
              <w:rPr>
                <w:rFonts w:ascii="SimSun" w:hAnsi="SimSun"/>
                <w:b w:val="false"/>
                <w:i w:val="false"/>
                <w:color w:val="000000"/>
                <w:sz w:val="21"/>
              </w:rPr>
              <w:t>Electoral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政治人类学导论</w:t>
            </w:r>
            <w:r>
              <w:br/>
            </w:r>
            <w:r>
              <w:br/>
            </w:r>
            <w:r>
              <w:rPr>
                <w:rFonts w:ascii="SimSun" w:hAnsi="SimSun"/>
                <w:b w:val="false"/>
                <w:i w:val="false"/>
                <w:color w:val="000000"/>
                <w:sz w:val="21"/>
              </w:rPr>
              <w:t>Introduction to Political Anthropology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政治心理学</w:t>
            </w:r>
            <w:r>
              <w:br/>
            </w:r>
            <w:r>
              <w:br/>
            </w:r>
            <w:r>
              <w:rPr>
                <w:rFonts w:ascii="SimSun" w:hAnsi="SimSun"/>
                <w:b w:val="false"/>
                <w:i w:val="false"/>
                <w:color w:val="000000"/>
                <w:sz w:val="21"/>
              </w:rPr>
              <w:t>Political Psychology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政治传播学</w:t>
            </w:r>
            <w:r>
              <w:br/>
            </w:r>
            <w:r>
              <w:br/>
            </w:r>
            <w:r>
              <w:rPr>
                <w:rFonts w:ascii="SimSun" w:hAnsi="SimSun"/>
                <w:b w:val="false"/>
                <w:i w:val="false"/>
                <w:color w:val="000000"/>
                <w:sz w:val="21"/>
              </w:rPr>
              <w:t>Political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地方政府与治理</w:t>
            </w:r>
            <w:r>
              <w:br/>
            </w:r>
            <w:r>
              <w:br/>
            </w:r>
            <w:r>
              <w:rPr>
                <w:rFonts w:ascii="SimSun" w:hAnsi="SimSun"/>
                <w:b w:val="false"/>
                <w:i w:val="false"/>
                <w:color w:val="000000"/>
                <w:sz w:val="21"/>
              </w:rPr>
              <w:t>Local Government and Local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福利政治</w:t>
            </w:r>
            <w:r>
              <w:br/>
            </w:r>
            <w:r>
              <w:br/>
            </w:r>
            <w:r>
              <w:rPr>
                <w:rFonts w:ascii="SimSun" w:hAnsi="SimSun"/>
                <w:b w:val="false"/>
                <w:i w:val="false"/>
                <w:color w:val="000000"/>
                <w:sz w:val="21"/>
              </w:rPr>
              <w:t>Welfare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II.本科生在本模块需修读0学分。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多元发展路径中，专业进阶课程模块或辅修学士学位项目均可以冲抵学程，专业培养和多元发展路径共享的课程只计算一次学分。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春风化雨训练体系依托学院“春风化雨导师计划”面向本科轨道学生开展自选学术训练或实务训练，具体修读方式可对应参照本博融通、本硕融通轨道本科阶段项目调整后执行。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