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2025通信工程-信息与通信工程本博融通培养方案（领军人才班适用）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1958年成立的复旦大学无线电电子学专业，1998年经调整正式设立，经过近三十年的发展，形成了以数理基础为优势、光电融合为特色，与电子科学、智能计算等深度交叉融合的信息与通信工程领域人才培养品牌。2022年度通信工程专业入选国家一流本科专业建设点（入选教育部“双万计划”）。</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掌握信息与通信工程学科坚实宽广的基础理论和系统深入的专门知识；在与主攻方向密切联系的领域，具备前沿、深入的理论知识体系，扎实的数理基础、较强的研究创新能力和语言表达能力，具备独立从事科学研究的能力，能把握研究方向的最新科技发展动态，高水平综合素质的信息与通信领域的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893733" cy="2015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93733" cy="2015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笔试科目：“统计信号处理”与“现代光通信与光网络”二选一、“数字通信基础”与“机器学习”二选一；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961467" cy="1778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61467" cy="1778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1、专业进阶路径：171学分</w:t>
      </w:r>
    </w:p>
    <w:p>
      <w:pPr>
        <w:spacing w:after="0"/>
        <w:ind w:left="0"/>
        <w:jc w:val="left"/>
      </w:pPr>
      <w:r>
        <w:rPr>
          <w:rFonts w:ascii="SimSun" w:hAnsi="SimSun"/>
          <w:b w:val="false"/>
          <w:i w:val="false"/>
          <w:color w:val="000000"/>
          <w:sz w:val="21"/>
        </w:rPr>
        <w:t xml:space="preserve">  本路径学生本博期间必须修满教学计划规定的171学分，包括通识教育课程44学分、专业培养课程69学分（研究生课程不少于9学分）、专业进阶I修读19学分（研究生课程不少于9学分）、专业进阶II修读15学分（研究生课程不少于10学分）、融合创新能力培养模块24学分的修读。</w:t>
      </w:r>
    </w:p>
    <w:p>
      <w:pPr>
        <w:spacing w:after="0"/>
        <w:ind w:left="0"/>
        <w:jc w:val="left"/>
      </w:pPr>
      <w:r>
        <w:rPr>
          <w:rFonts w:ascii="SimSun" w:hAnsi="SimSun"/>
          <w:b w:val="false"/>
          <w:i w:val="false"/>
          <w:color w:val="000000"/>
          <w:sz w:val="21"/>
        </w:rPr>
        <w:t xml:space="preserve">  其中，本科学段需要完成142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21学分、融合创新能力培养19学分。</w:t>
      </w:r>
    </w:p>
    <w:p>
      <w:pPr>
        <w:spacing w:after="0"/>
        <w:ind w:left="0"/>
        <w:jc w:val="left"/>
      </w:pPr>
      <w:r>
        <w:rPr>
          <w:rFonts w:ascii="SimSun" w:hAnsi="SimSun"/>
          <w:b w:val="false"/>
          <w:i w:val="false"/>
          <w:color w:val="000000"/>
          <w:sz w:val="21"/>
        </w:rPr>
        <w:t>2、荣誉项目：177学分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3、跨学科发展路径：186学分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4、通信工程+AI人工智能双学士学位项目：214学分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在专业进阶路径或荣誉项目基础上，修读人工智能专业项目课程43学分。具体要求见信息学院-通信工程-信息与计算科学（人工智能方向）双学士学位项目培养方案。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本科学段主动退出和转段考核不合格退出本博融通计划的学生，需按照通信工程本科“2+X+Y”培养方案修读课程，如达到学士学位要求者授予工学学士学位。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达到博士学位要求者授予信息与通信工程工学博士学位，基本要求如下：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w:t>
      </w:r>
    </w:p>
    <w:p>
      <w:pPr>
        <w:spacing w:after="0"/>
        <w:ind w:left="0"/>
        <w:jc w:val="left"/>
      </w:pPr>
      <w:r>
        <w:rPr>
          <w:rFonts w:ascii="SimSun" w:hAnsi="SimSun"/>
          <w:b w:val="false"/>
          <w:i w:val="false"/>
          <w:color w:val="000000"/>
          <w:sz w:val="21"/>
        </w:rPr>
        <w:t>（4）完成学位论文，并通过学位论文评阅（包括盲审）要求。</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该成果是学位论文主要内容，且满足以下几种情况之一：</w:t>
      </w:r>
    </w:p>
    <w:p>
      <w:pPr>
        <w:spacing w:after="0"/>
        <w:ind w:left="0"/>
        <w:jc w:val="left"/>
      </w:pPr>
      <w:r>
        <w:rPr>
          <w:rFonts w:ascii="SimSun" w:hAnsi="SimSun"/>
          <w:b w:val="false"/>
          <w:i w:val="false"/>
          <w:color w:val="000000"/>
          <w:sz w:val="21"/>
        </w:rPr>
        <w:t xml:space="preserve">  A.博士期间科研成果达到导师要求，且第一作者第一单位发表或录用论文等符合以下条件之一：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a)1篇1区期刊论文；</w:t>
      </w:r>
    </w:p>
    <w:p>
      <w:pPr>
        <w:spacing w:after="0"/>
        <w:ind w:left="0"/>
        <w:jc w:val="left"/>
      </w:pPr>
      <w:r>
        <w:rPr>
          <w:rFonts w:ascii="SimSun" w:hAnsi="SimSun"/>
          <w:b w:val="false"/>
          <w:i w:val="false"/>
          <w:color w:val="000000"/>
          <w:sz w:val="21"/>
        </w:rPr>
        <w:t xml:space="preserve">    b)1篇A类期刊论文+1篇2-4区期刊论文；</w:t>
      </w:r>
    </w:p>
    <w:p>
      <w:pPr>
        <w:spacing w:after="0"/>
        <w:ind w:left="0"/>
        <w:jc w:val="left"/>
      </w:pPr>
      <w:r>
        <w:rPr>
          <w:rFonts w:ascii="SimSun" w:hAnsi="SimSun"/>
          <w:b w:val="false"/>
          <w:i w:val="false"/>
          <w:color w:val="000000"/>
          <w:sz w:val="21"/>
        </w:rPr>
        <w:t xml:space="preserve">    c)2篇2-3区期刊论文。</w:t>
      </w:r>
    </w:p>
    <w:p>
      <w:pPr>
        <w:spacing w:after="0"/>
        <w:ind w:left="0"/>
        <w:jc w:val="left"/>
      </w:pPr>
      <w:r>
        <w:rPr>
          <w:rFonts w:ascii="SimSun" w:hAnsi="SimSun"/>
          <w:b w:val="false"/>
          <w:i w:val="false"/>
          <w:color w:val="000000"/>
          <w:sz w:val="21"/>
        </w:rPr>
        <w:t xml:space="preserve">  B.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E.博士期间作出其他重要学术成果或重大工程应用等特殊贡献，由导师向学位分委员会提出申请，由学位分委员会进行认定。</w:t>
      </w:r>
    </w:p>
    <w:p>
      <w:pPr>
        <w:spacing w:after="0"/>
        <w:ind w:left="0"/>
        <w:jc w:val="left"/>
      </w:pPr>
      <w:r>
        <w:rPr>
          <w:rFonts w:ascii="SimSun" w:hAnsi="SimSun"/>
          <w:b w:val="false"/>
          <w:i w:val="false"/>
          <w:color w:val="000000"/>
          <w:sz w:val="21"/>
        </w:rPr>
        <w:t xml:space="preserve">  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p>
    <w:p>
      <w:pPr>
        <w:spacing w:after="0"/>
        <w:ind w:left="0"/>
        <w:jc w:val="left"/>
      </w:pPr>
      <w:r>
        <w:rPr>
          <w:rFonts w:ascii="SimSun" w:hAnsi="SimSun"/>
          <w:b w:val="false"/>
          <w:i w:val="false"/>
          <w:color w:val="000000"/>
          <w:sz w:val="21"/>
        </w:rPr>
        <w:t>2. 第二学段主动退出和博士生资格考核不合格退出本博融通计划的学生，如达到信息与通信工程硕士学位要求者授予工学硕士学位，具体要求：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r>
        <w:rPr>
          <w:rFonts w:ascii="SimSun" w:hAnsi="SimSun"/>
          <w:b w:val="false"/>
          <w:i w:val="false"/>
          <w:color w:val="000000"/>
          <w:sz w:val="21"/>
        </w:rPr>
        <w:t>（4）通过学位论文评阅和学位论文答辩，通过学院学位评定委员会和学校学位评定委员会审议。</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信息与通信工程的核心课程为基础建立了本研融通的专业核心课程体系，以学科领域为横、课程内容梯度为纵建立了难度逐级提升的本研融通的专业进阶课程体系。为鼓励学生挑战自我，设立了8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本研融通课程请在研究生课程类别一栏注明：学位课、选修课，该栏空白默认为本科生课程。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15"/>
        <w:gridCol w:w="719"/>
        <w:gridCol w:w="719"/>
        <w:gridCol w:w="702"/>
        <w:gridCol w:w="1649"/>
        <w:gridCol w:w="918"/>
        <w:gridCol w:w="697"/>
        <w:gridCol w:w="724"/>
        <w:gridCol w:w="788"/>
        <w:gridCol w:w="1246"/>
        <w:gridCol w:w="2757"/>
      </w:tblGrid>
      <w:tr>
        <w:trPr>
          <w:trHeight w:val="96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3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9</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学位课</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96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0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835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75"/>
        <w:gridCol w:w="723"/>
        <w:gridCol w:w="724"/>
        <w:gridCol w:w="609"/>
        <w:gridCol w:w="1268"/>
        <w:gridCol w:w="934"/>
        <w:gridCol w:w="709"/>
        <w:gridCol w:w="737"/>
        <w:gridCol w:w="794"/>
        <w:gridCol w:w="1268"/>
        <w:gridCol w:w="2893"/>
      </w:tblGrid>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72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0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6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2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600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要求修读39学分（选修荣誉课程学分数每门加1分），其中研究生基础课9学分。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可选荣誉课程《高频与射频电子学（H）》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电磁场与微波技术</w:t>
            </w:r>
            <w:r>
              <w:br/>
            </w:r>
            <w:r>
              <w:br/>
            </w:r>
            <w:r>
              <w:rPr>
                <w:rFonts w:ascii="SimSun" w:hAnsi="SimSun"/>
                <w:b w:val="false"/>
                <w:i w:val="false"/>
                <w:color w:val="000000"/>
                <w:sz w:val="21"/>
              </w:rPr>
              <w:t>Electromagnetic Wave and Microwave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通信原理B</w:t>
            </w:r>
            <w:r>
              <w:br/>
            </w:r>
            <w:r>
              <w:br/>
            </w:r>
            <w:r>
              <w:rPr>
                <w:rFonts w:ascii="SimSun" w:hAnsi="SimSun"/>
                <w:b w:val="false"/>
                <w:i w:val="false"/>
                <w:color w:val="000000"/>
                <w:sz w:val="21"/>
              </w:rPr>
              <w:t>Principles of Communications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可选荣誉课程《通信原理（H）》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研究生学位基础课（六选三）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研究生学位基础课（六选三）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高等电磁场理论</w:t>
            </w:r>
            <w:r>
              <w:br/>
            </w:r>
            <w:r>
              <w:br/>
            </w:r>
            <w:r>
              <w:rPr>
                <w:rFonts w:ascii="SimSun" w:hAnsi="SimSun"/>
                <w:b w:val="false"/>
                <w:i w:val="false"/>
                <w:color w:val="000000"/>
                <w:sz w:val="21"/>
              </w:rPr>
              <w:t>Advanced Electromagnetic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研究生学位基础课（六选三）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研究生学位基础课（六选三）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研究生学位基础课（六选三）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研究生学位基础课（六选三）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修满34学分。要求在本专业专业进阶模块I修读19学分（研究生课程不少于9学分）、专业进阶模块II修读15学分（研究生课程不少于10学分）。专业进阶模块I若有多修读学分，其可替代专业进阶模块II学分。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（32学分,本科要求21学分）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（19学分,本科要求10学分）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可选荣誉课程《计算机原理与体系结构（H）》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w:t>
            </w:r>
            <w:r>
              <w:br/>
            </w:r>
            <w:r>
              <w:br/>
            </w:r>
            <w:r>
              <w:rPr>
                <w:rFonts w:ascii="SimSun" w:hAnsi="SimSun"/>
                <w:b w:val="false"/>
                <w:i w:val="false"/>
                <w:color w:val="000000"/>
                <w:sz w:val="21"/>
              </w:rPr>
              <w:t>Principles of Optical Fiber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计算机通信与网络</w:t>
            </w:r>
            <w:r>
              <w:br/>
            </w:r>
            <w:r>
              <w:br/>
            </w:r>
            <w:r>
              <w:rPr>
                <w:rFonts w:ascii="SimSun" w:hAnsi="SimSun"/>
                <w:b w:val="false"/>
                <w:i w:val="false"/>
                <w:color w:val="000000"/>
                <w:sz w:val="21"/>
              </w:rPr>
              <w:t>Computer Communication and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现代无线通信</w:t>
            </w:r>
            <w:r>
              <w:br/>
            </w:r>
            <w:r>
              <w:br/>
            </w:r>
            <w:r>
              <w:rPr>
                <w:rFonts w:ascii="SimSun" w:hAnsi="SimSun"/>
                <w:b w:val="false"/>
                <w:i w:val="false"/>
                <w:color w:val="000000"/>
                <w:sz w:val="21"/>
              </w:rPr>
              <w:t>Modern Wireless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现代光通信与光网络</w:t>
            </w:r>
            <w:r>
              <w:br/>
            </w:r>
            <w:r>
              <w:br/>
            </w:r>
            <w:r>
              <w:rPr>
                <w:rFonts w:ascii="SimSun" w:hAnsi="SimSun"/>
                <w:b w:val="false"/>
                <w:i w:val="false"/>
                <w:color w:val="000000"/>
                <w:sz w:val="21"/>
              </w:rPr>
              <w:t>Modern Optical Communication and Optical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现代雷达原理</w:t>
            </w:r>
            <w:r>
              <w:br/>
            </w:r>
            <w:r>
              <w:br/>
            </w:r>
            <w:r>
              <w:rPr>
                <w:rFonts w:ascii="SimSun" w:hAnsi="SimSun"/>
                <w:b w:val="false"/>
                <w:i w:val="false"/>
                <w:color w:val="000000"/>
                <w:sz w:val="21"/>
              </w:rPr>
              <w:t>Principles of Modern Radar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微波遥感理论</w:t>
            </w:r>
            <w:r>
              <w:br/>
            </w:r>
            <w:r>
              <w:br/>
            </w:r>
            <w:r>
              <w:rPr>
                <w:rFonts w:ascii="SimSun" w:hAnsi="SimSun"/>
                <w:b w:val="false"/>
                <w:i w:val="false"/>
                <w:color w:val="000000"/>
                <w:sz w:val="21"/>
              </w:rPr>
              <w:t xml:space="preserve">Microwave Remote Sensing Theory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复杂网络系统理论与应用</w:t>
            </w:r>
            <w:r>
              <w:br/>
            </w:r>
            <w:r>
              <w:br/>
            </w:r>
            <w:r>
              <w:rPr>
                <w:rFonts w:ascii="SimSun" w:hAnsi="SimSun"/>
                <w:b w:val="false"/>
                <w:i w:val="false"/>
                <w:color w:val="000000"/>
                <w:sz w:val="21"/>
              </w:rPr>
              <w:t>Complex network system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计算电磁学</w:t>
            </w:r>
            <w:r>
              <w:br/>
            </w:r>
            <w:r>
              <w:br/>
            </w:r>
            <w:r>
              <w:rPr>
                <w:rFonts w:ascii="SimSun" w:hAnsi="SimSun"/>
                <w:b w:val="false"/>
                <w:i w:val="false"/>
                <w:color w:val="000000"/>
                <w:sz w:val="21"/>
              </w:rPr>
              <w:t>Computational Electromagnetics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信息论与编码</w:t>
            </w:r>
            <w:r>
              <w:br/>
            </w:r>
            <w:r>
              <w:br/>
            </w:r>
            <w:r>
              <w:rPr>
                <w:rFonts w:ascii="SimSun" w:hAnsi="SimSun"/>
                <w:b w:val="false"/>
                <w:i w:val="false"/>
                <w:color w:val="000000"/>
                <w:sz w:val="21"/>
              </w:rPr>
              <w:t>Information Theory and Coding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光纤传输与传感</w:t>
            </w:r>
            <w:r>
              <w:br/>
            </w:r>
            <w:r>
              <w:br/>
            </w:r>
            <w:r>
              <w:rPr>
                <w:rFonts w:ascii="SimSun" w:hAnsi="SimSun"/>
                <w:b w:val="false"/>
                <w:i w:val="false"/>
                <w:color w:val="000000"/>
                <w:sz w:val="21"/>
              </w:rPr>
              <w:t>Optical fiber transmission and sensing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Technologies of Coherent Communication</w:t>
            </w:r>
            <w:r>
              <w:br/>
            </w:r>
            <w:r>
              <w:br/>
            </w:r>
            <w:r>
              <w:rPr>
                <w:rFonts w:ascii="SimSun" w:hAnsi="SimSun"/>
                <w:b w:val="false"/>
                <w:i w:val="false"/>
                <w:color w:val="000000"/>
                <w:sz w:val="21"/>
              </w:rPr>
              <w:t>Technologies of Coherent Communication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EST50036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r>
              <w:rPr>
                <w:rFonts w:ascii="SimSun" w:hAnsi="SimSun"/>
                <w:b w:val="false"/>
                <w:i w:val="false"/>
                <w:color w:val="000000"/>
                <w:sz w:val="21"/>
              </w:rPr>
              <w:t>Frontiers in Information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科技英语</w:t>
            </w:r>
            <w:r>
              <w:br/>
            </w:r>
            <w:r>
              <w:br/>
            </w:r>
            <w:r>
              <w:rPr>
                <w:rFonts w:ascii="SimSun" w:hAnsi="SimSun"/>
                <w:b w:val="false"/>
                <w:i w:val="false"/>
                <w:color w:val="000000"/>
                <w:sz w:val="21"/>
              </w:rPr>
              <w:t>English for Science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计算机仿真与模拟</w:t>
            </w:r>
            <w:r>
              <w:br/>
            </w:r>
            <w:r>
              <w:br/>
            </w:r>
            <w:r>
              <w:rPr>
                <w:rFonts w:ascii="SimSun" w:hAnsi="SimSun"/>
                <w:b w:val="false"/>
                <w:i w:val="false"/>
                <w:color w:val="000000"/>
                <w:sz w:val="21"/>
              </w:rPr>
              <w:t>Computer Simulation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离散数学</w:t>
            </w:r>
            <w:r>
              <w:br/>
            </w:r>
            <w:r>
              <w:br/>
            </w:r>
            <w:r>
              <w:rPr>
                <w:rFonts w:ascii="SimSun" w:hAnsi="SimSun"/>
                <w:b w:val="false"/>
                <w:i w:val="false"/>
                <w:color w:val="000000"/>
                <w:sz w:val="21"/>
              </w:rPr>
              <w:t>Discrete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通信与信息系统实验B</w:t>
            </w:r>
            <w:r>
              <w:br/>
            </w:r>
            <w:r>
              <w:br/>
            </w:r>
            <w:r>
              <w:rPr>
                <w:rFonts w:ascii="SimSun" w:hAnsi="SimSun"/>
                <w:b w:val="false"/>
                <w:i w:val="false"/>
                <w:color w:val="000000"/>
                <w:sz w:val="21"/>
              </w:rPr>
              <w:t>Communication and Information Systems Experiment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微波工程基础</w:t>
            </w:r>
            <w:r>
              <w:br/>
            </w:r>
            <w:r>
              <w:br/>
            </w:r>
            <w:r>
              <w:rPr>
                <w:rFonts w:ascii="SimSun" w:hAnsi="SimSun"/>
                <w:b w:val="false"/>
                <w:i w:val="false"/>
                <w:color w:val="000000"/>
                <w:sz w:val="21"/>
              </w:rPr>
              <w:t>Microwave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天线原理</w:t>
            </w:r>
            <w:r>
              <w:br/>
            </w:r>
            <w:r>
              <w:br/>
            </w:r>
            <w:r>
              <w:rPr>
                <w:rFonts w:ascii="SimSun" w:hAnsi="SimSun"/>
                <w:b w:val="false"/>
                <w:i w:val="false"/>
                <w:color w:val="000000"/>
                <w:sz w:val="21"/>
              </w:rPr>
              <w:t>Antenna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智能硬件创新方法概论与基础实践</w:t>
            </w:r>
            <w:r>
              <w:br/>
            </w:r>
            <w:r>
              <w:br/>
            </w:r>
            <w:r>
              <w:rPr>
                <w:rFonts w:ascii="SimSun" w:hAnsi="SimSun"/>
                <w:b w:val="false"/>
                <w:i w:val="false"/>
                <w:color w:val="000000"/>
                <w:sz w:val="21"/>
              </w:rPr>
              <w:t>Intelligent Hardware Innovation: Introduction and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遥感原理与技术</w:t>
            </w:r>
            <w:r>
              <w:br/>
            </w:r>
            <w:r>
              <w:br/>
            </w:r>
            <w:r>
              <w:rPr>
                <w:rFonts w:ascii="SimSun" w:hAnsi="SimSun"/>
                <w:b w:val="false"/>
                <w:i w:val="false"/>
                <w:color w:val="000000"/>
                <w:sz w:val="21"/>
              </w:rPr>
              <w:t>Remote Sensing Technology and Its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空天信息导论</w:t>
            </w:r>
            <w:r>
              <w:br/>
            </w:r>
            <w:r>
              <w:br/>
            </w:r>
            <w:r>
              <w:rPr>
                <w:rFonts w:ascii="SimSun" w:hAnsi="SimSun"/>
                <w:b w:val="false"/>
                <w:i w:val="false"/>
                <w:color w:val="000000"/>
                <w:sz w:val="21"/>
              </w:rPr>
              <w:t>Introduction of Space Information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无线通信</w:t>
            </w:r>
            <w:r>
              <w:br/>
            </w:r>
            <w:r>
              <w:br/>
            </w:r>
            <w:r>
              <w:rPr>
                <w:rFonts w:ascii="SimSun" w:hAnsi="SimSun"/>
                <w:b w:val="false"/>
                <w:i w:val="false"/>
                <w:color w:val="000000"/>
                <w:sz w:val="21"/>
              </w:rPr>
              <w:t>Wireless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智能通信导论</w:t>
            </w:r>
            <w:r>
              <w:br/>
            </w:r>
            <w:r>
              <w:br/>
            </w:r>
            <w:r>
              <w:rPr>
                <w:rFonts w:ascii="SimSun" w:hAnsi="SimSun"/>
                <w:b w:val="false"/>
                <w:i w:val="false"/>
                <w:color w:val="000000"/>
                <w:sz w:val="21"/>
              </w:rPr>
              <w:t>Introduction to Intelligent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光通信网络基础</w:t>
            </w:r>
            <w:r>
              <w:br/>
            </w:r>
            <w:r>
              <w:br/>
            </w:r>
            <w:r>
              <w:rPr>
                <w:rFonts w:ascii="SimSun" w:hAnsi="SimSun"/>
                <w:b w:val="false"/>
                <w:i w:val="false"/>
                <w:color w:val="000000"/>
                <w:sz w:val="21"/>
              </w:rPr>
              <w:t>Optical Communication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智能光电子导论</w:t>
            </w:r>
            <w:r>
              <w:br/>
            </w:r>
            <w:r>
              <w:br/>
            </w:r>
            <w:r>
              <w:rPr>
                <w:rFonts w:ascii="SimSun" w:hAnsi="SimSun"/>
                <w:b w:val="false"/>
                <w:i w:val="false"/>
                <w:color w:val="000000"/>
                <w:sz w:val="21"/>
              </w:rPr>
              <w:t>Introduction to Intelligent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网络协议与网络安全基础</w:t>
            </w:r>
            <w:r>
              <w:br/>
            </w:r>
            <w:r>
              <w:br/>
            </w:r>
            <w:r>
              <w:rPr>
                <w:rFonts w:ascii="SimSun" w:hAnsi="SimSun"/>
                <w:b w:val="false"/>
                <w:i w:val="false"/>
                <w:color w:val="000000"/>
                <w:sz w:val="21"/>
              </w:rPr>
              <w:t>Fundamentals of Network Protocol and Security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微波理论与天线技术</w:t>
            </w:r>
            <w:r>
              <w:br/>
            </w:r>
            <w:r>
              <w:br/>
            </w:r>
            <w:r>
              <w:rPr>
                <w:rFonts w:ascii="SimSun" w:hAnsi="SimSun"/>
                <w:b w:val="false"/>
                <w:i w:val="false"/>
                <w:color w:val="000000"/>
                <w:sz w:val="21"/>
              </w:rPr>
              <w:t>Microwave Theory and Antenna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量子信息导论</w:t>
            </w:r>
            <w:r>
              <w:br/>
            </w:r>
            <w:r>
              <w:br/>
            </w:r>
            <w:r>
              <w:rPr>
                <w:rFonts w:ascii="SimSun" w:hAnsi="SimSun"/>
                <w:b w:val="false"/>
                <w:i w:val="false"/>
                <w:color w:val="000000"/>
                <w:sz w:val="21"/>
              </w:rPr>
              <w:t>Introduction to Quantum Information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雷达成像和目标识别</w:t>
            </w:r>
            <w:r>
              <w:br/>
            </w:r>
            <w:r>
              <w:br/>
            </w:r>
            <w:r>
              <w:rPr>
                <w:rFonts w:ascii="SimSun" w:hAnsi="SimSun"/>
                <w:b w:val="false"/>
                <w:i w:val="false"/>
                <w:color w:val="000000"/>
                <w:sz w:val="21"/>
              </w:rPr>
              <w:t>Radar Imaging and Target Recognition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图像信息处理理论与方法</w:t>
            </w:r>
            <w:r>
              <w:br/>
            </w:r>
            <w:r>
              <w:br/>
            </w:r>
            <w:r>
              <w:rPr>
                <w:rFonts w:ascii="SimSun" w:hAnsi="SimSun"/>
                <w:b w:val="false"/>
                <w:i w:val="false"/>
                <w:color w:val="000000"/>
                <w:sz w:val="21"/>
              </w:rPr>
              <w:t>Image Information Processing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空间遥感信息理论</w:t>
            </w:r>
            <w:r>
              <w:br/>
            </w:r>
            <w:r>
              <w:br/>
            </w:r>
            <w:r>
              <w:rPr>
                <w:rFonts w:ascii="SimSun" w:hAnsi="SimSun"/>
                <w:b w:val="false"/>
                <w:i w:val="false"/>
                <w:color w:val="000000"/>
                <w:sz w:val="21"/>
              </w:rPr>
              <w:t>Space Remote Sensing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通信系统优化</w:t>
            </w:r>
            <w:r>
              <w:br/>
            </w:r>
            <w:r>
              <w:br/>
            </w:r>
            <w:r>
              <w:rPr>
                <w:rFonts w:ascii="SimSun" w:hAnsi="SimSun"/>
                <w:b w:val="false"/>
                <w:i w:val="false"/>
                <w:color w:val="000000"/>
                <w:sz w:val="21"/>
              </w:rPr>
              <w:t>Optimization of Communication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毫米波与太赫兹通信技术</w:t>
            </w:r>
            <w:r>
              <w:br/>
            </w:r>
            <w:r>
              <w:br/>
            </w:r>
            <w:r>
              <w:rPr>
                <w:rFonts w:ascii="SimSun" w:hAnsi="SimSun"/>
                <w:b w:val="false"/>
                <w:i w:val="false"/>
                <w:color w:val="000000"/>
                <w:sz w:val="21"/>
              </w:rPr>
              <w:t>Millimeter wave and Terahertz communication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量子通信理论与技术</w:t>
            </w:r>
            <w:r>
              <w:br/>
            </w:r>
            <w:r>
              <w:br/>
            </w:r>
            <w:r>
              <w:rPr>
                <w:rFonts w:ascii="SimSun" w:hAnsi="SimSun"/>
                <w:b w:val="false"/>
                <w:i w:val="false"/>
                <w:color w:val="000000"/>
                <w:sz w:val="21"/>
              </w:rPr>
              <w:t>Quantum communication theory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Dynamics on and of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现代通信系统</w:t>
            </w:r>
            <w:r>
              <w:br/>
            </w:r>
            <w:r>
              <w:br/>
            </w:r>
            <w:r>
              <w:rPr>
                <w:rFonts w:ascii="SimSun" w:hAnsi="SimSun"/>
                <w:b w:val="false"/>
                <w:i w:val="false"/>
                <w:color w:val="000000"/>
                <w:sz w:val="21"/>
              </w:rPr>
              <w:t>Modern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网络安全设计</w:t>
            </w:r>
            <w:r>
              <w:br/>
            </w:r>
            <w:r>
              <w:br/>
            </w:r>
            <w:r>
              <w:rPr>
                <w:rFonts w:ascii="SimSun" w:hAnsi="SimSun"/>
                <w:b w:val="false"/>
                <w:i w:val="false"/>
                <w:color w:val="000000"/>
                <w:sz w:val="21"/>
              </w:rPr>
              <w:t>Theory and Design of Network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Lasers and Integrated Photonics for Optical Communications</w:t>
            </w:r>
            <w:r>
              <w:br/>
            </w:r>
            <w:r>
              <w:br/>
            </w:r>
            <w:r>
              <w:rPr>
                <w:rFonts w:ascii="SimSun" w:hAnsi="SimSun"/>
                <w:b w:val="false"/>
                <w:i w:val="false"/>
                <w:color w:val="000000"/>
                <w:sz w:val="21"/>
              </w:rPr>
              <w:t>Lasers and Integrated Photonics for Optical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机器人与自主系统</w:t>
            </w:r>
            <w:r>
              <w:br/>
            </w:r>
            <w:r>
              <w:br/>
            </w:r>
            <w:r>
              <w:rPr>
                <w:rFonts w:ascii="SimSun" w:hAnsi="SimSun"/>
                <w:b w:val="false"/>
                <w:i w:val="false"/>
                <w:color w:val="000000"/>
                <w:sz w:val="21"/>
              </w:rPr>
              <w:t>Robotics and autonomous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通信信号处理中的新方法</w:t>
            </w:r>
            <w:r>
              <w:br/>
            </w:r>
            <w:r>
              <w:br/>
            </w:r>
            <w:r>
              <w:rPr>
                <w:rFonts w:ascii="SimSun" w:hAnsi="SimSun"/>
                <w:b w:val="false"/>
                <w:i w:val="false"/>
                <w:color w:val="000000"/>
                <w:sz w:val="21"/>
              </w:rPr>
              <w:t>New Methods of Communication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非线性光纤光学</w:t>
            </w:r>
            <w:r>
              <w:br/>
            </w:r>
            <w:r>
              <w:br/>
            </w:r>
            <w:r>
              <w:rPr>
                <w:rFonts w:ascii="SimSun" w:hAnsi="SimSun"/>
                <w:b w:val="false"/>
                <w:i w:val="false"/>
                <w:color w:val="000000"/>
                <w:sz w:val="21"/>
              </w:rPr>
              <w:t>Nonlinear fiber optics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修读荣誉课程不低于24学分（不少于6门课），且满足专业进阶模块I修读19学分（研究生课程不少于9学分）、专业进阶模块II修读15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49学分。要求在本专业进阶模块I修读19学分（研究生课程不少于9学分）、专业进阶模块II修读15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49学分。要求在本专业进阶模块I修读19学分（研究生课程不少于9学分）、专业进阶模块II修读15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信息与通信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产业技术前沿介绍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至少2学分）(在“电磁波信息前沿进展”（EST70032），“卫星遥感进展”（EIE50004），“空间通信进展”（ICE50020），“新一代移动通信技术”（ICE70004）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1.研究生学段必须完成2个学期全岗的本科生课程助教工作，指导老师评价为合格方为通过。
2.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