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培养具备扎实且系统的数理基础，精通应用于AI的数学理论与方法，并拥有跨学科知识体系和系统思维能力的人才。能够融汇数学理论，深入分析并设计高效的AI算法，实现对AI技术的创新和改进；在包括数学科学在内的各个领域中，解决复杂的AI理论问题，并具备进一步发展AI技术方法的能力。</w:t>
      </w:r>
    </w:p>
    <w:p>
      <w:pPr>
        <w:spacing w:after="0"/>
        <w:ind w:left="0"/>
        <w:jc w:val="left"/>
      </w:pPr>
      <w:r>
        <w:rPr>
          <w:rFonts w:ascii="SimSun" w:hAnsi="SimSun"/>
          <w:b/>
          <w:i w:val="false"/>
          <w:color w:val="000000"/>
          <w:sz w:val="24"/>
        </w:rPr>
        <w:t xml:space="preserve">
       三.    基本要求
      </w:t>
      </w:r>
    </w:p>
    <w:p>
      <w:pPr>
        <w:spacing w:after="0"/>
        <w:ind w:left="0"/>
        <w:jc w:val="left"/>
      </w:pP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须满足通识教育课程（含通识教育核心课程和专项教育课程）39学分、专业培养课程111学分、融合创新能力培养4学分和多元发展路径课程的修读要求，总学分不低于160学分（含实践学分不低于40学分；含美育学分不少于2学分，其中至少在“美学和艺术史论类”或“艺术鉴赏和评论类”课程中修读1学分，并至少参与一项艺术实践活动；劳动教育不少于32学时，并满足劳动周教育要求），达到学位要求者授予理学和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4年级结束时，如达到学士学位要求者授予理学和工学学士学位。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要求修读26分，含思想政治理论课19学分，七大模块课程6学分（每模块最多修读1门课程，回避科学探索与技术创新模块），国家安全教育1学分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要求修读22学分。大学物理类课程必选8学分，两组选一，多余学分可作任选。
      </w:t>
      </w:r>
    </w:p>
    <w:tbl>
      <w:tblPr>
        <w:tblW w:w="0" w:type="auto"/>
        <w:tblCellSpacing w:w="0" w:type="auto"/>
        <w:tblBorders>
          <w:top w:val="none"/>
          <w:left w:val="none"/>
          <w:bottom w:val="none"/>
          <w:right w:val="none"/>
          <w:insideH w:val="none"/>
          <w:insideV w:val="none"/>
        </w:tblBorders>
      </w:tblPr>
      <w:tblGrid>
        <w:gridCol w:w="2025"/>
        <w:gridCol w:w="2719"/>
        <w:gridCol w:w="676"/>
        <w:gridCol w:w="679"/>
        <w:gridCol w:w="945"/>
        <w:gridCol w:w="1585"/>
        <w:gridCol w:w="679"/>
        <w:gridCol w:w="676"/>
        <w:gridCol w:w="677"/>
        <w:gridCol w:w="677"/>
        <w:gridCol w:w="946"/>
        <w:gridCol w:w="1350"/>
      </w:tblGrid>
      <w:tr>
        <w:trPr>
          <w:trHeight w:val="45" w:hRule="atLeast"/>
        </w:trPr>
        <w:tc>
          <w:tcPr>
            <w:tcW w:w="20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要求修读93学分（部分课程学分可用荣誉课程学分替换）。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双学位融合必修课程</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双学位融合必修课程。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w:t>
            </w:r>
            <w:r>
              <w:br/>
            </w:r>
            <w:r>
              <w:br/>
            </w:r>
            <w:r>
              <w:rPr>
                <w:rFonts w:ascii="SimSun" w:hAnsi="SimSun"/>
                <w:b w:val="false"/>
                <w:i w:val="false"/>
                <w:color w:val="000000"/>
                <w:sz w:val="21"/>
              </w:rPr>
              <w:t>Discrete Mathematics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限定必修课程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在14门课程中选5门，超过5门可以算作专业进阶学分。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抽象代数II</w:t>
            </w:r>
            <w:r>
              <w:br/>
            </w:r>
            <w:r>
              <w:br/>
            </w:r>
            <w:r>
              <w:rPr>
                <w:rFonts w:ascii="SimSun" w:hAnsi="SimSun"/>
                <w:b w:val="false"/>
                <w:i w:val="false"/>
                <w:color w:val="000000"/>
                <w:sz w:val="21"/>
              </w:rPr>
              <w:t>Abstract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数据科学的逼近论基础</w:t>
            </w:r>
            <w:r>
              <w:br/>
            </w:r>
            <w:r>
              <w:br/>
            </w:r>
            <w:r>
              <w:rPr>
                <w:rFonts w:ascii="SimSun" w:hAnsi="SimSun"/>
                <w:b w:val="false"/>
                <w:i w:val="false"/>
                <w:color w:val="000000"/>
                <w:sz w:val="21"/>
              </w:rPr>
              <w:t>Approximation Theory in Data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基础力学</w:t>
            </w:r>
            <w:r>
              <w:br/>
            </w:r>
            <w:r>
              <w:br/>
            </w:r>
            <w:r>
              <w:rPr>
                <w:rFonts w:ascii="SimSun" w:hAnsi="SimSun"/>
                <w:b w:val="false"/>
                <w:i w:val="false"/>
                <w:color w:val="000000"/>
                <w:sz w:val="21"/>
              </w:rPr>
              <w:t>Fundamentals of Mechanics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多元发展包括专业进阶（含荣誉项目）、跨学科发展和创新创业不同路径，要求在院系专业导师指导下选择一条发展路径，按路径要求修读课程。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修满6学分。可在全校所有本科生课程中任意选修。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限跨学科发展、创新创业路径。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专业进阶模块-多元发展</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限跨学科发展、创新创业路径。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人工智能专业进阶课程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荣誉项目课程设置和修读要求请见数学科学学院本科“荣誉项目”实施方案。下载地址：https://jwc.fudan.edu.cn/（复旦大学教务处）-专业培养-常用文档。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多元发展路径中，修完12学分专业进阶课程或1个辅修学士学位项目可以冲抵1个学程，专业培养和多元发展路径共享的课程只计算一次学分。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需承担1项复芏计划，学分可算作专业进阶学分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