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2025电子信息科学与技术-电子信息本硕融通培养方案（产教融合班）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859867" cy="2015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59867" cy="2015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859867" cy="1778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59867" cy="1778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1、专业进阶路径：165学分</w:t>
      </w:r>
    </w:p>
    <w:p>
      <w:pPr>
        <w:spacing w:after="0"/>
        <w:ind w:left="0"/>
        <w:jc w:val="left"/>
      </w:pPr>
      <w:r>
        <w:rPr>
          <w:rFonts w:ascii="SimSun" w:hAnsi="SimSun"/>
          <w:b w:val="false"/>
          <w:i w:val="false"/>
          <w:color w:val="000000"/>
          <w:sz w:val="21"/>
        </w:rPr>
        <w:t xml:space="preserve">  本路径学生本硕期间必须修满教学计划规定的165学分，包括通识教育课程45学分、专业培养课程71学分、专业进阶I修读13学分（研究生课程不少于6学分）、专业进阶II修读11学分（研究生课程不少于7学分）、融合创新能力培养模块25学分的修读。</w:t>
      </w:r>
    </w:p>
    <w:p>
      <w:pPr>
        <w:spacing w:after="0"/>
        <w:ind w:left="0"/>
        <w:jc w:val="left"/>
      </w:pPr>
      <w:r>
        <w:rPr>
          <w:rFonts w:ascii="SimSun" w:hAnsi="SimSun"/>
          <w:b w:val="false"/>
          <w:i w:val="false"/>
          <w:color w:val="000000"/>
          <w:sz w:val="21"/>
        </w:rPr>
        <w:t xml:space="preserve">  其中，本科学段需要完成138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18学分、融合创新能力培养18学分。</w:t>
      </w:r>
    </w:p>
    <w:p>
      <w:pPr>
        <w:spacing w:after="0"/>
        <w:ind w:left="0"/>
        <w:jc w:val="left"/>
      </w:pPr>
      <w:r>
        <w:rPr>
          <w:rFonts w:ascii="SimSun" w:hAnsi="SimSun"/>
          <w:b w:val="false"/>
          <w:i w:val="false"/>
          <w:color w:val="000000"/>
          <w:sz w:val="21"/>
        </w:rPr>
        <w:t xml:space="preserve"> 2、荣誉项目：171学分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3、跨学科发展路径：180学分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4、电子信息科学与技术+AI人工智能双学士学位项目：208学分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在专业进阶路径或荣誉项目基础上，修读人工智能专业项目课程43学分。具体要求见未来信息创新学院-电子信息科学与技术-信息与计算科学（人工智能方向）双学士学位项目培养方案。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达到电子信息全日制专业学位要求者授予电子信息工程硕士学位，学位申请基本要求：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（2）按《信息科学与工程学院研究生培养必修环节工作细则（试行） 》（2019年7月修订）的要求完成必修环节等要求。</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该成果是学位论文主要内容，且满足以下几种情况之一：</w:t>
      </w:r>
    </w:p>
    <w:p>
      <w:pPr>
        <w:spacing w:after="0"/>
        <w:ind w:left="0"/>
        <w:jc w:val="left"/>
      </w:pPr>
      <w:r>
        <w:rPr>
          <w:rFonts w:ascii="SimSun" w:hAnsi="SimSun"/>
          <w:b w:val="false"/>
          <w:i w:val="false"/>
          <w:color w:val="000000"/>
          <w:sz w:val="21"/>
        </w:rPr>
        <w:t xml:space="preserve">  A. 在核心期刊上发表论文1篇；</w:t>
      </w:r>
    </w:p>
    <w:p>
      <w:pPr>
        <w:spacing w:after="0"/>
        <w:ind w:left="0"/>
        <w:jc w:val="left"/>
      </w:pPr>
      <w:r>
        <w:rPr>
          <w:rFonts w:ascii="SimSun" w:hAnsi="SimSun"/>
          <w:b w:val="false"/>
          <w:i w:val="false"/>
          <w:color w:val="000000"/>
          <w:sz w:val="21"/>
        </w:rPr>
        <w:t xml:space="preserve">  B. EI索引刊物（会议）论文1篇；</w:t>
      </w:r>
    </w:p>
    <w:p>
      <w:pPr>
        <w:spacing w:after="0"/>
        <w:ind w:left="0"/>
        <w:jc w:val="left"/>
      </w:pPr>
      <w:r>
        <w:rPr>
          <w:rFonts w:ascii="SimSun" w:hAnsi="SimSun"/>
          <w:b w:val="false"/>
          <w:i w:val="false"/>
          <w:color w:val="000000"/>
          <w:sz w:val="21"/>
        </w:rPr>
        <w:t xml:space="preserve">  C. 有受理号的发明专利1项；</w:t>
      </w:r>
    </w:p>
    <w:p>
      <w:pPr>
        <w:spacing w:after="0"/>
        <w:ind w:left="0"/>
        <w:jc w:val="left"/>
      </w:pPr>
      <w:r>
        <w:rPr>
          <w:rFonts w:ascii="SimSun" w:hAnsi="SimSun"/>
          <w:b w:val="false"/>
          <w:i w:val="false"/>
          <w:color w:val="000000"/>
          <w:sz w:val="21"/>
        </w:rPr>
        <w:t xml:space="preserve">  D. 授权实用新型专利1项；</w:t>
      </w:r>
    </w:p>
    <w:p>
      <w:pPr>
        <w:spacing w:after="0"/>
        <w:ind w:left="0"/>
        <w:jc w:val="left"/>
      </w:pPr>
      <w:r>
        <w:rPr>
          <w:rFonts w:ascii="SimSun" w:hAnsi="SimSun"/>
          <w:b w:val="false"/>
          <w:i w:val="false"/>
          <w:color w:val="000000"/>
          <w:sz w:val="21"/>
        </w:rPr>
        <w:t xml:space="preserve">  E.  软件著作权1项（含登记证书和相关系统演示录屏文件）。    </w:t>
      </w:r>
    </w:p>
    <w:p>
      <w:pPr>
        <w:spacing w:after="0"/>
        <w:ind w:left="0"/>
        <w:jc w:val="left"/>
      </w:pPr>
      <w:r>
        <w:rPr>
          <w:rFonts w:ascii="SimSun" w:hAnsi="SimSun"/>
          <w:b w:val="false"/>
          <w:i w:val="false"/>
          <w:color w:val="000000"/>
          <w:sz w:val="21"/>
        </w:rPr>
        <w:t xml:space="preserve">  对全日制工程硕士，要求论文或专利或软件著作权的第一完成单位为复旦大学，学生为第一作者（或导师第1学生第2）。    </w:t>
      </w:r>
    </w:p>
    <w:p>
      <w:pPr>
        <w:spacing w:after="0"/>
        <w:ind w:left="0"/>
        <w:jc w:val="left"/>
      </w:pPr>
      <w:r>
        <w:rPr>
          <w:rFonts w:ascii="SimSun" w:hAnsi="SimSun"/>
          <w:b w:val="false"/>
          <w:i w:val="false"/>
          <w:color w:val="000000"/>
          <w:sz w:val="21"/>
        </w:rPr>
        <w:t xml:space="preserve">（4）通过学位论文评阅和学位论文答辩。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8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910667" cy="279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10667" cy="2794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通识教育核心课程（29学分）</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本研融通课程请在研究生课程类别一栏注明：学位课、选修课，该栏空白默认为本科生课程。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26"/>
        <w:gridCol w:w="775"/>
        <w:gridCol w:w="759"/>
        <w:gridCol w:w="733"/>
        <w:gridCol w:w="1653"/>
        <w:gridCol w:w="954"/>
        <w:gridCol w:w="808"/>
        <w:gridCol w:w="840"/>
        <w:gridCol w:w="840"/>
        <w:gridCol w:w="1668"/>
        <w:gridCol w:w="1978"/>
      </w:tblGrid>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新时代中国特色社会主义理论与实践</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GEIP40013</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9</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自然辩证法</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GEIP40007</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10</w:t>
            </w:r>
          </w:p>
        </w:tc>
        <w:tc>
          <w:tcPr>
            <w:tcW w:w="16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学位课（三选一）</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自然辨证法概论</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GEIP40008</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马克思主义与社会科学方法论</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GEIP40009</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3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5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62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83"/>
        <w:gridCol w:w="778"/>
        <w:gridCol w:w="762"/>
        <w:gridCol w:w="677"/>
        <w:gridCol w:w="1422"/>
        <w:gridCol w:w="964"/>
        <w:gridCol w:w="817"/>
        <w:gridCol w:w="850"/>
        <w:gridCol w:w="844"/>
        <w:gridCol w:w="1686"/>
        <w:gridCol w:w="2051"/>
      </w:tblGrid>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6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7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42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7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45" w:hRule="atLeast"/>
        </w:trPr>
        <w:tc>
          <w:tcPr>
            <w:tcW w:w="2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6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8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0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（71学分,本科要求60学分）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（41学分,本科要求30学分）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可选荣誉课程《自动控制原理（H）》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 of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学位基础课（五选四）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学位基础课（五选四）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学位基础课（五选四）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集成电路设计</w:t>
            </w:r>
            <w:r>
              <w:br/>
            </w:r>
            <w:r>
              <w:br/>
            </w:r>
            <w:r>
              <w:rPr>
                <w:rFonts w:ascii="SimSun" w:hAnsi="SimSun"/>
                <w:b w:val="false"/>
                <w:i w:val="false"/>
                <w:color w:val="000000"/>
                <w:sz w:val="21"/>
              </w:rPr>
              <w:t>Integrated circuit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EIE70005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学位基础课（五选四）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学位基础课（五选四）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修满24学分。要求在本专业专业进阶模块I修读13学分（研究生课程不少于6学分）、专业进阶模块II修读11学分（研究生课程不少于7学分）。专业进阶模块I若有多修读学分，其可替代专业进阶模块II学分。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（24学分,本科要求18学分）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（13学分,本科要求7学分）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现代信号处理</w:t>
            </w:r>
            <w:r>
              <w:br/>
            </w:r>
            <w:r>
              <w:br/>
            </w:r>
            <w:r>
              <w:rPr>
                <w:rFonts w:ascii="SimSun" w:hAnsi="SimSun"/>
                <w:b w:val="false"/>
                <w:i w:val="false"/>
                <w:color w:val="000000"/>
                <w:sz w:val="21"/>
              </w:rPr>
              <w:t>Advanced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学位专业课（四选二）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机器人与自主系统</w:t>
            </w:r>
            <w:r>
              <w:br/>
            </w:r>
            <w:r>
              <w:br/>
            </w:r>
            <w:r>
              <w:rPr>
                <w:rFonts w:ascii="SimSun" w:hAnsi="SimSun"/>
                <w:b w:val="false"/>
                <w:i w:val="false"/>
                <w:color w:val="000000"/>
                <w:sz w:val="21"/>
              </w:rPr>
              <w:t>Robotics and autonomous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学位专业课（四选二）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智能计算系统</w:t>
            </w:r>
            <w:r>
              <w:br/>
            </w:r>
            <w:r>
              <w:br/>
            </w:r>
            <w:r>
              <w:rPr>
                <w:rFonts w:ascii="SimSun" w:hAnsi="SimSun"/>
                <w:b w:val="false"/>
                <w:i w:val="false"/>
                <w:color w:val="000000"/>
                <w:sz w:val="21"/>
              </w:rPr>
              <w:t>Computing Systems for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学位专业课（四选二）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学位专业课（四选二）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可选荣誉课程《电子系统设计（H）》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网络科学导论</w:t>
            </w:r>
            <w:r>
              <w:br/>
            </w:r>
            <w:r>
              <w:br/>
            </w:r>
            <w:r>
              <w:rPr>
                <w:rFonts w:ascii="SimSun" w:hAnsi="SimSun"/>
                <w:b w:val="false"/>
                <w:i w:val="false"/>
                <w:color w:val="000000"/>
                <w:sz w:val="21"/>
              </w:rPr>
              <w:t>Introduction to Internet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计算机工程</w:t>
            </w:r>
            <w:r>
              <w:br/>
            </w:r>
            <w:r>
              <w:br/>
            </w:r>
            <w:r>
              <w:rPr>
                <w:rFonts w:ascii="SimSun" w:hAnsi="SimSun"/>
                <w:b w:val="false"/>
                <w:i w:val="false"/>
                <w:color w:val="000000"/>
                <w:sz w:val="21"/>
              </w:rPr>
              <w:t>Computer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遥感数字影像分析与解译</w:t>
            </w:r>
            <w:r>
              <w:br/>
            </w:r>
            <w:r>
              <w:br/>
            </w:r>
            <w:r>
              <w:rPr>
                <w:rFonts w:ascii="SimSun" w:hAnsi="SimSun"/>
                <w:b w:val="false"/>
                <w:i w:val="false"/>
                <w:color w:val="000000"/>
                <w:sz w:val="21"/>
              </w:rPr>
              <w:t>Remote Sensing Digital Image Analysis and Interpretation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现代电子测量技术</w:t>
            </w:r>
            <w:r>
              <w:br/>
            </w:r>
            <w:r>
              <w:br/>
            </w:r>
            <w:r>
              <w:rPr>
                <w:rFonts w:ascii="SimSun" w:hAnsi="SimSun"/>
                <w:b w:val="false"/>
                <w:i w:val="false"/>
                <w:color w:val="000000"/>
                <w:sz w:val="21"/>
              </w:rPr>
              <w:t>Advanced Measurement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线性自适应系统理论与控制</w:t>
            </w:r>
            <w:r>
              <w:br/>
            </w:r>
            <w:r>
              <w:br/>
            </w:r>
            <w:r>
              <w:rPr>
                <w:rFonts w:ascii="SimSun" w:hAnsi="SimSun"/>
                <w:b w:val="false"/>
                <w:i w:val="false"/>
                <w:color w:val="000000"/>
                <w:sz w:val="21"/>
              </w:rPr>
              <w:t>Theory and Control for Linear Adaptive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先进工业过程控制讨论班</w:t>
            </w:r>
            <w:r>
              <w:br/>
            </w:r>
            <w:r>
              <w:br/>
            </w:r>
            <w:r>
              <w:rPr>
                <w:rFonts w:ascii="SimSun" w:hAnsi="SimSun"/>
                <w:b w:val="false"/>
                <w:i w:val="false"/>
                <w:color w:val="000000"/>
                <w:sz w:val="21"/>
              </w:rPr>
              <w:t>Advanced Industry Process Control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数字信息处理与传输（讨论班）</w:t>
            </w:r>
            <w:r>
              <w:br/>
            </w:r>
            <w:r>
              <w:br/>
            </w:r>
            <w:r>
              <w:rPr>
                <w:rFonts w:ascii="SimSun" w:hAnsi="SimSun"/>
                <w:b w:val="false"/>
                <w:i w:val="false"/>
                <w:color w:val="000000"/>
                <w:sz w:val="21"/>
              </w:rPr>
              <w:t>Processing and Transmission of Digital Information (Seminars)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雷达成像和目标识别</w:t>
            </w:r>
            <w:r>
              <w:br/>
            </w:r>
            <w:r>
              <w:br/>
            </w:r>
            <w:r>
              <w:rPr>
                <w:rFonts w:ascii="SimSun" w:hAnsi="SimSun"/>
                <w:b w:val="false"/>
                <w:i w:val="false"/>
                <w:color w:val="000000"/>
                <w:sz w:val="21"/>
              </w:rPr>
              <w:t>Radar Imaging and Target Recognition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现代通信系统</w:t>
            </w:r>
            <w:r>
              <w:br/>
            </w:r>
            <w:r>
              <w:br/>
            </w:r>
            <w:r>
              <w:rPr>
                <w:rFonts w:ascii="SimSun" w:hAnsi="SimSun"/>
                <w:b w:val="false"/>
                <w:i w:val="false"/>
                <w:color w:val="000000"/>
                <w:sz w:val="21"/>
              </w:rPr>
              <w:t>Modern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Dynamics on and of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研究生选修课（至少修读7学分）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研究生选修课（至少修读7学分）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荣誉课程不低于24学分（不少于6门课），且满足专业进阶模块I修读13学分（研究生课程不少于6学分）、专业进阶模块II修读11学分（研究生课程不少于7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39学分。要求在本专业进阶模块I修读13学分（研究生课程不少于6学分）、专业进阶模块II修读11学分（研究生课程不少于7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39学分。要求在本专业进阶模块I修读13学分（研究生课程不少于6学分）、专业进阶模块II修读11学分（研究生课程不少于7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全周期的科研训练体系，在1、2年级设立无学分讨论班，引导学生早进课题组轮转，培育兴趣。3年级通过1学期的科研实践训练，完成1项复芏计划（FDUROP）项目（䇹政、望道、登辉和曦源），激发创新志趣。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光电设计竞赛、“挑战杯”全国大学生课外学术科技作品竞赛、中国大学生工程实践与创新能力大赛、全国大学生电子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硕士专业英语</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校内望道、曦源课题或本科电子竞赛、光电竞赛、嵌入式设计竞赛、大学生数学建模竞赛等参加至少一项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第2、3学期，需在各个研究方向的无学分讨论班轮转，学期结束需获得相应方向讨论班老师签字确认。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在第10学期完成，详见信息学院论文开题实施细则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在第11学期完成，见信息学院中期考核实施细则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硕士学位论文预审由院系组织，具体参照《复旦大学博士、硕士学位论文预审办法》及院系相关文件规定执行。</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