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4.png"/>
  <Override ContentType="image/png" PartName="/word/media/document_image_rId5.png"/>
  <Override ContentType="image/png" PartName="/word/media/document_image_rId6.png"/>
  <Override ContentType="image/png" PartName="/word/media/document_image_rId7.png"/>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body>
    <w:p>
      <w:pPr>
        <w:spacing w:after="0"/>
        <w:ind w:left="0"/>
        <w:jc w:val="center"/>
      </w:pPr>
      <w:r>
        <w:rPr>
          <w:rFonts w:ascii="SimSun" w:hAnsi="SimSun"/>
          <w:b w:val="false"/>
          <w:i w:val="false"/>
          <w:color w:val="000000"/>
          <w:sz w:val="21"/>
        </w:rPr>
        <w:t xml:space="preserve">
    </w:t>
      </w:r>
      <w:r>
        <w:drawing>
          <wp:inline distT="0" distB="0" distL="0" distR="0">
            <wp:extent cx="2395525" cy="780225"/>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395525" cy="780225"/>
                    </a:xfrm>
                    <a:prstGeom prst="rect">
                      <a:avLst/>
                    </a:prstGeom>
                  </pic:spPr>
                </pic:pic>
              </a:graphicData>
            </a:graphic>
          </wp:inline>
        </w:drawing>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r>
        <w:rPr>
          <w:rFonts w:ascii="SimSun" w:hAnsi="SimSun"/>
          <w:b/>
          <w:i w:val="false"/>
          <w:color w:val="000000"/>
          <w:sz w:val="44"/>
        </w:rPr>
        <w:t>未来信息创新学院</w:t>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bookmarkStart w:id="0" w:name="print-title"/>
      <w:r>
        <w:rPr>
          <w:rFonts w:ascii="SimSun" w:hAnsi="SimSun"/>
          <w:b/>
          <w:i w:val="false"/>
          <w:color w:val="000000"/>
          <w:sz w:val="44"/>
        </w:rPr>
        <w:t>2025电子信息科学与技术-电子科学与技术本博融通培养方案（香农计划）</w:t>
      </w:r>
      <w:bookmarkEnd w:id="0"/>
      <w:r>
        <w:rPr>
          <w:rFonts w:ascii="SimSun" w:hAnsi="SimSun"/>
          <w:b w:val="false"/>
          <w:i w:val="false"/>
          <w:color w:val="000000"/>
          <w:sz w:val="21"/>
        </w:rPr>
        <w:t xml:space="preserve"> 
   </w:t>
      </w:r>
    </w:p>
    <w:p>
      <w:pPr>
        <w:spacing w:after="0"/>
        <w:ind w:left="0"/>
        <w:jc w:val="left"/>
      </w:pPr>
      <w:r>
        <w:rPr>
          <w:rFonts w:ascii="SimSun" w:hAnsi="SimSun"/>
          <w:b/>
          <w:i w:val="false"/>
          <w:color w:val="000000"/>
          <w:sz w:val="24"/>
        </w:rPr>
        <w:t xml:space="preserve">
       一.    学科专业简介
      </w:t>
      </w:r>
    </w:p>
    <w:p>
      <w:pPr>
        <w:spacing w:after="0"/>
        <w:ind w:left="0"/>
        <w:jc w:val="left"/>
      </w:pPr>
      <w:r>
        <w:rPr>
          <w:rFonts w:ascii="SimSun" w:hAnsi="SimSun"/>
          <w:b w:val="false"/>
          <w:i w:val="false"/>
          <w:color w:val="000000"/>
          <w:sz w:val="21"/>
        </w:rPr>
        <w:t xml:space="preserve">  本专业源于1950年代物理系电子学实验室，试制出国内第一台电子模拟计算机，58年设无线电电子学专业，60年成立无线电电子学系，1993年调整为电子学与信息系统专业，1999年改为电子信息科学与技术专业，2012年改授工学学位。经过六十多年的发展，形成了具有良好数理基础、较强科研能力的电子信息领域人才培养平台，2019年被评为国家级一流本科专业建设点。</w:t>
      </w:r>
    </w:p>
    <w:p>
      <w:pPr>
        <w:spacing w:after="0"/>
        <w:ind w:left="0"/>
        <w:jc w:val="left"/>
      </w:pPr>
      <w:r>
        <w:rPr>
          <w:rFonts w:ascii="SimSun" w:hAnsi="SimSun"/>
          <w:b/>
          <w:i w:val="false"/>
          <w:color w:val="000000"/>
          <w:sz w:val="24"/>
        </w:rPr>
        <w:t xml:space="preserve">
       二.    培养目标
      </w:t>
      </w:r>
    </w:p>
    <w:p>
      <w:pPr>
        <w:spacing w:after="0"/>
        <w:ind w:left="0"/>
        <w:jc w:val="left"/>
      </w:pPr>
      <w:r>
        <w:rPr>
          <w:rFonts w:ascii="SimSun" w:hAnsi="SimSun"/>
          <w:b w:val="false"/>
          <w:i w:val="false"/>
          <w:color w:val="000000"/>
          <w:sz w:val="21"/>
        </w:rPr>
        <w:t xml:space="preserve">  按照“宽口径、厚基础、重能力、求创新”的人才培养要求，以“2+X+Y”（2是通识和专业教育，X是多元发展路径，Y为融合创新能力）为途径，培养具有“通识基础、专业素质、创新思维、实践能力、全球视野、社会责任”综合特质，成为引领未来的社会栋梁与专业精英。通过课堂讲授、学术讲座、科学研究、技术交流、工程实习与社会实践等多层次、多领域、多环节的教学活动，培养学生学会用科学的观点和方法分析问题，把学习知识、观察现象、工程实践与严谨思考紧密结合起来，养成科学思维、辩证思维、系统思维和创新思维。把政治认同、国家意识、道路自信、理论自信、制度自信、文化自信、人格养成等思想政治教育导向融入学业全程教育，加强其家国情怀、科学精神和道德意志品质的培养。具备电子信息科学与技术的基本理论和基本知识，受到严格的科学实验训练和初步的科学研究训练，能在电子信息科学与技术、计算机科学与技术及相关领域和行政部门，从事科学研究、教学、科技开发、产品设计、生产技术或管理工作的电子信息科学与技术高级专门人才。</w:t>
      </w:r>
    </w:p>
    <w:p>
      <w:pPr>
        <w:spacing w:after="0"/>
        <w:ind w:left="0"/>
        <w:jc w:val="left"/>
      </w:pPr>
      <w:r>
        <w:rPr>
          <w:rFonts w:ascii="SimSun" w:hAnsi="SimSun"/>
          <w:b/>
          <w:i w:val="false"/>
          <w:color w:val="000000"/>
          <w:sz w:val="24"/>
        </w:rPr>
        <w:t xml:space="preserve">
       三.    基本要求
      </w:t>
      </w:r>
    </w:p>
    <w:p>
      <w:pPr>
        <w:spacing w:after="0"/>
        <w:ind w:left="0"/>
        <w:jc w:val="left"/>
      </w:pPr>
      <w:r>
        <w:rPr>
          <w:rFonts w:ascii="SimSun" w:hAnsi="SimSun"/>
          <w:b w:val="false"/>
          <w:i w:val="false"/>
          <w:color w:val="000000"/>
          <w:sz w:val="21"/>
        </w:rPr>
        <w:t xml:space="preserve"> </w:t>
      </w:r>
      <w:r>
        <w:drawing>
          <wp:inline distT="0" distB="0" distL="0" distR="0">
            <wp:extent cx="3877733" cy="1574800"/>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3877733" cy="1574800"/>
                    </a:xfrm>
                    <a:prstGeom prst="rect">
                      <a:avLst/>
                    </a:prstGeom>
                  </pic:spPr>
                </pic:pic>
              </a:graphicData>
            </a:graphic>
          </wp:inline>
        </w:drawing>
      </w:r>
    </w:p>
    <w:p>
      <w:pPr>
        <w:spacing w:after="0"/>
        <w:ind w:left="0"/>
        <w:jc w:val="left"/>
      </w:pPr>
      <w:r>
        <w:rPr>
          <w:rFonts w:ascii="SimSun" w:hAnsi="SimSun"/>
          <w:b/>
          <w:i w:val="false"/>
          <w:color w:val="000000"/>
          <w:sz w:val="24"/>
        </w:rPr>
        <w:t xml:space="preserve">
       四.    修业要求
      </w:t>
      </w:r>
    </w:p>
    <w:p>
      <w:pPr>
        <w:spacing w:after="0"/>
        <w:ind w:left="0"/>
        <w:jc w:val="left"/>
      </w:pPr>
    </w:p>
    <w:p>
      <w:pPr>
        <w:spacing w:after="0"/>
        <w:ind w:left="0"/>
        <w:jc w:val="left"/>
      </w:pPr>
      <w:r>
        <w:rPr>
          <w:rFonts w:ascii="SimSun" w:hAnsi="SimSun"/>
          <w:b w:val="false"/>
          <w:i w:val="false"/>
          <w:color w:val="000000"/>
          <w:sz w:val="21"/>
        </w:rPr>
        <w:t>
                  1.修业年限：</w:t>
      </w:r>
      <w:r>
        <w:rPr>
          <w:rFonts w:ascii="SimSun" w:hAnsi="SimSun"/>
          <w:b w:val="false"/>
          <w:i w:val="false"/>
          <w:color w:val="000000"/>
          <w:sz w:val="21"/>
        </w:rPr>
        <w:t>8</w:t>
      </w:r>
      <w:r>
        <w:rPr>
          <w:rFonts w:ascii="SimSun" w:hAnsi="SimSun"/>
          <w:b w:val="false"/>
          <w:i w:val="false"/>
          <w:color w:val="000000"/>
          <w:sz w:val="21"/>
        </w:rPr>
        <w:t xml:space="preserve">年
      </w:t>
      </w:r>
    </w:p>
    <w:p>
      <w:pPr>
        <w:spacing w:after="0"/>
        <w:ind w:left="0"/>
        <w:jc w:val="left"/>
      </w:pPr>
      <w:r>
        <w:rPr>
          <w:rFonts w:ascii="SimSun" w:hAnsi="SimSun"/>
          <w:b w:val="false"/>
          <w:i w:val="false"/>
          <w:color w:val="000000"/>
          <w:sz w:val="21"/>
        </w:rPr>
        <w:t xml:space="preserve">
                  2.学业升段考核要求：
      </w:t>
      </w:r>
    </w:p>
    <w:tbl>
      <w:tblPr>
        <w:tblW w:w="0" w:type="auto"/>
        <w:tblCellSpacing w:w="0" w:type="auto"/>
        <w:tblBorders>
          <w:top w:val="none"/>
          <w:left w:val="none"/>
          <w:bottom w:val="none"/>
          <w:right w:val="none"/>
          <w:insideH w:val="none"/>
          <w:insideV w:val="none"/>
        </w:tblBorders>
      </w:tblPr>
      <w:tblGrid>
        <w:gridCol w:w="3818"/>
        <w:gridCol w:w="3409"/>
        <w:gridCol w:w="2999"/>
        <w:gridCol w:w="3408"/>
      </w:tblGrid>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考核时间</w:t>
            </w:r>
          </w:p>
        </w:tc>
        <w:tc>
          <w:tcPr>
            <w:tcW w:w="29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考核方式</w:t>
            </w:r>
          </w:p>
        </w:tc>
        <w:tc>
          <w:tcPr>
            <w:tcW w:w="340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考核内容</w:t>
            </w: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本科生学段
                    </w:t>
            </w: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3年级结束</w:t>
            </w: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学业成绩为已修读课程的加权平均值；
面试内容：荣誉课程学习情况、综合评价（竞赛、比赛、科研实践情况及物理志趣等内容）</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研究生学段（博士生资格考核）
                    </w:t>
            </w: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5年级结束 (4~6年级期间有2次申请机会)</w:t>
            </w: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笔试科目：“统计信号处理”与“机器学习”
面试内容：已从事的科研活动及取得的科研成果介绍，以及下一步的科研计划</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bl>
    <w:p>
      <w:pPr>
        <w:spacing w:after="0"/>
        <w:ind w:left="0"/>
        <w:jc w:val="left"/>
      </w:pPr>
      <w:r>
        <w:rPr>
          <w:rFonts w:ascii="SimSun" w:hAnsi="SimSun"/>
          <w:b w:val="false"/>
          <w:i w:val="false"/>
          <w:color w:val="000000"/>
          <w:sz w:val="21"/>
        </w:rPr>
        <w:t xml:space="preserve">
                  3.学业退出说明：
      </w:t>
      </w:r>
    </w:p>
    <w:tbl>
      <w:tblPr>
        <w:tblW w:w="0" w:type="auto"/>
        <w:tblCellSpacing w:w="0" w:type="auto"/>
        <w:tblBorders>
          <w:top w:val="none"/>
          <w:left w:val="none"/>
          <w:bottom w:val="none"/>
          <w:right w:val="none"/>
          <w:insideH w:val="none"/>
          <w:insideV w:val="none"/>
        </w:tblBorders>
      </w:tblPr>
      <w:tblGrid>
        <w:gridCol w:w="3818"/>
        <w:gridCol w:w="3409"/>
        <w:gridCol w:w="6407"/>
      </w:tblGrid>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退出形式</w:t>
            </w:r>
          </w:p>
        </w:tc>
        <w:tc>
          <w:tcPr>
            <w:tcW w:w="6407"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退出后修读专业</w:t>
            </w: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本科生学段
                    </w:t>
            </w:r>
          </w:p>
        </w:tc>
        <w:tc>
          <w:tcPr>
            <w:tcW w:w="34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主动退出   </w:t>
            </w:r>
          </w:p>
        </w:tc>
        <w:tc>
          <w:tcPr>
            <w:tcW w:w="6407"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电子信息科学与技术</w:t>
            </w:r>
          </w:p>
        </w:tc>
      </w:tr>
      <w:tr>
        <w:trPr>
          <w:trHeight w:val="45" w:hRule="atLeast"/>
        </w:trPr>
        <w:tc>
          <w:tcPr>
            <w:tcW w:w="0" w:type="auto"/>
            <w:vMerge/>
            <w:tcBorders>
              <w:top w:val="nil"/>
              <w:left w:val="single" w:color="000000" w:sz="8"/>
            </w:tcBorders>
          </w:tcPr>
          <w:p/>
        </w:tc>
        <w:tc>
          <w:tcPr>
            <w:tcW w:w="340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考核不通过退出   </w:t>
            </w:r>
          </w:p>
        </w:tc>
        <w:tc>
          <w:tcPr>
            <w:tcW w:w="0" w:type="auto"/>
            <w:vMerge/>
            <w:tcBorders>
              <w:top w:val="nil"/>
              <w:left w:val="single" w:color="000000" w:sz="8"/>
              <w:right w:val="single" w:color="000000" w:sz="8"/>
            </w:tcBorders>
          </w:tcP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研究生学段（博士生资格考核）
                    </w:t>
            </w:r>
          </w:p>
        </w:tc>
        <w:tc>
          <w:tcPr>
            <w:tcW w:w="34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主动退出   </w:t>
            </w:r>
          </w:p>
        </w:tc>
        <w:tc>
          <w:tcPr>
            <w:tcW w:w="6407"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电子科学与技术</w:t>
            </w:r>
          </w:p>
        </w:tc>
      </w:tr>
      <w:tr>
        <w:trPr>
          <w:trHeight w:val="45" w:hRule="atLeast"/>
        </w:trPr>
        <w:tc>
          <w:tcPr>
            <w:tcW w:w="0" w:type="auto"/>
            <w:vMerge/>
            <w:tcBorders>
              <w:top w:val="nil"/>
              <w:left w:val="single" w:color="000000" w:sz="8"/>
            </w:tcBorders>
          </w:tcPr>
          <w:p/>
        </w:tc>
        <w:tc>
          <w:tcPr>
            <w:tcW w:w="3409"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考核不通过退出   </w:t>
            </w:r>
          </w:p>
        </w:tc>
        <w:tc>
          <w:tcPr>
            <w:tcW w:w="0" w:type="auto"/>
            <w:vMerge/>
            <w:tcBorders>
              <w:top w:val="nil"/>
              <w:left w:val="single" w:color="000000" w:sz="8"/>
              <w:right w:val="single" w:color="000000" w:sz="8"/>
            </w:tcBorders>
          </w:tcPr>
          <w:p/>
        </w:tc>
      </w:tr>
    </w:tbl>
    <w:p>
      <w:pPr>
        <w:spacing w:after="0"/>
        <w:ind w:left="0"/>
        <w:jc w:val="left"/>
      </w:pPr>
      <w:r>
        <w:rPr>
          <w:rFonts w:ascii="SimSun" w:hAnsi="SimSun"/>
          <w:b w:val="false"/>
          <w:i w:val="false"/>
          <w:color w:val="000000"/>
          <w:sz w:val="21"/>
        </w:rPr>
        <w:t xml:space="preserve">
                  4.学业补入说明：
      </w:t>
      </w:r>
    </w:p>
    <w:tbl>
      <w:tblPr>
        <w:tblW w:w="0" w:type="auto"/>
        <w:tblCellSpacing w:w="0" w:type="auto"/>
        <w:tblBorders>
          <w:top w:val="none"/>
          <w:left w:val="none"/>
          <w:bottom w:val="none"/>
          <w:right w:val="none"/>
          <w:insideH w:val="none"/>
          <w:insideV w:val="none"/>
        </w:tblBorders>
      </w:tblPr>
      <w:tblGrid>
        <w:gridCol w:w="3818"/>
        <w:gridCol w:w="3409"/>
        <w:gridCol w:w="2999"/>
        <w:gridCol w:w="3408"/>
      </w:tblGrid>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是否补入</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补入时间</w:t>
            </w:r>
          </w:p>
        </w:tc>
        <w:tc>
          <w:tcPr>
            <w:tcW w:w="29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考核方式</w:t>
            </w:r>
          </w:p>
        </w:tc>
        <w:tc>
          <w:tcPr>
            <w:tcW w:w="340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考核内容</w:t>
            </w: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是   （总额不变，动态进出）</w:t>
            </w: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1、2、3年级结束</w:t>
            </w: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学业成绩为已修读课程的加权平均值；
面试内容：荣誉课程学习情况、综合评价（竞赛、比赛、科研实践情况及物理志趣等内容）</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否   （只出不进）</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
                    </w:t>
            </w:r>
          </w:p>
        </w:tc>
        <w:tc>
          <w:tcPr>
            <w:tcW w:w="29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
                    </w:t>
            </w:r>
          </w:p>
        </w:tc>
        <w:tc>
          <w:tcPr>
            <w:tcW w:w="340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
                    </w:t>
            </w:r>
          </w:p>
        </w:tc>
      </w:tr>
    </w:tbl>
    <w:p>
      <w:pPr>
        <w:spacing w:after="0"/>
        <w:ind w:left="0"/>
        <w:jc w:val="left"/>
      </w:pPr>
      <w:r>
        <w:rPr>
          <w:rFonts w:ascii="SimSun" w:hAnsi="SimSun"/>
          <w:b w:val="false"/>
          <w:i w:val="false"/>
          <w:color w:val="000000"/>
          <w:sz w:val="21"/>
        </w:rPr>
        <w:t xml:space="preserve">
                  5.学位授予说明：
      </w:t>
      </w:r>
    </w:p>
    <w:tbl>
      <w:tblPr>
        <w:tblW w:w="0" w:type="auto"/>
        <w:tblCellSpacing w:w="0" w:type="auto"/>
        <w:tblBorders>
          <w:top w:val="none"/>
          <w:left w:val="none"/>
          <w:bottom w:val="none"/>
          <w:right w:val="none"/>
          <w:insideH w:val="none"/>
          <w:insideV w:val="none"/>
        </w:tblBorders>
      </w:tblPr>
      <w:tblGrid>
        <w:gridCol w:w="1637"/>
        <w:gridCol w:w="2046"/>
        <w:gridCol w:w="1772"/>
        <w:gridCol w:w="1772"/>
        <w:gridCol w:w="1772"/>
        <w:gridCol w:w="954"/>
        <w:gridCol w:w="3681"/>
      </w:tblGrid>
      <w:tr>
        <w:trPr>
          <w:trHeight w:val="45" w:hRule="atLeast"/>
        </w:trPr>
        <w:tc>
          <w:tcPr>
            <w:tcW w:w="16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w:t>
            </w:r>
          </w:p>
        </w:tc>
        <w:tc>
          <w:tcPr>
            <w:tcW w:w="20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时间</w:t>
            </w:r>
          </w:p>
        </w:tc>
        <w:tc>
          <w:tcPr>
            <w:tcW w:w="1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授予学位</w:t>
            </w:r>
          </w:p>
        </w:tc>
        <w:tc>
          <w:tcPr>
            <w:tcW w:w="1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学位类型</w:t>
            </w:r>
          </w:p>
        </w:tc>
        <w:tc>
          <w:tcPr>
            <w:tcW w:w="1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专业名称</w:t>
            </w: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学段审核要求</w:t>
            </w:r>
          </w:p>
        </w:tc>
      </w:tr>
      <w:tr>
        <w:trPr>
          <w:trHeight w:val="45" w:hRule="atLeast"/>
        </w:trPr>
        <w:tc>
          <w:tcPr>
            <w:tcW w:w="1637"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本科生学段
                    </w:t>
            </w:r>
          </w:p>
        </w:tc>
        <w:tc>
          <w:tcPr>
            <w:tcW w:w="2046"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r>
              <w:rPr>
                <w:rFonts w:ascii="SimSun" w:hAnsi="SimSun"/>
                <w:b w:val="false"/>
                <w:i w:val="false"/>
                <w:color w:val="000000"/>
                <w:sz w:val="21"/>
              </w:rPr>
              <w:t xml:space="preserve">年级
                    </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工学学士</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电子信息科学与技术</w:t>
            </w: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按照不少于总学分比例</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按照不少于学分数   </w:t>
            </w:r>
            <w:r>
              <w:rPr>
                <w:rFonts w:ascii="SimSun" w:hAnsi="SimSun"/>
                <w:b w:val="false"/>
                <w:i w:val="false"/>
                <w:color w:val="000000"/>
                <w:sz w:val="21"/>
              </w:rPr>
              <w:t xml:space="preserve"> </w:t>
            </w:r>
            <w:r>
              <w:rPr>
                <w:rFonts w:ascii="SimSun" w:hAnsi="SimSun"/>
                <w:b w:val="false"/>
                <w:i w:val="false"/>
                <w:color w:val="000000"/>
                <w:sz w:val="21"/>
              </w:rPr>
              <w:t>138</w:t>
            </w:r>
          </w:p>
        </w:tc>
      </w:tr>
      <w:tr>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954"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必修课组须通过   </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通识教育课程</w:t>
            </w:r>
            <w:r>
              <w:rPr>
                <w:rFonts w:ascii="SimSun" w:hAnsi="SimSun"/>
                <w:b w:val="false"/>
                <w:i w:val="false"/>
                <w:color w:val="000000"/>
                <w:sz w:val="21"/>
              </w:rPr>
              <w:t xml:space="preserve"> </w:t>
            </w:r>
            <w:r>
              <w:rPr>
                <w:rFonts w:ascii="SimSun" w:hAnsi="SimSun"/>
                <w:b w:val="false"/>
                <w:i w:val="false"/>
                <w:color w:val="000000"/>
                <w:sz w:val="21"/>
              </w:rPr>
              <w:t>42</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专业培养课程</w:t>
            </w:r>
            <w:r>
              <w:rPr>
                <w:rFonts w:ascii="SimSun" w:hAnsi="SimSun"/>
                <w:b w:val="false"/>
                <w:i w:val="false"/>
                <w:color w:val="000000"/>
                <w:sz w:val="21"/>
              </w:rPr>
              <w:t xml:space="preserve"> </w:t>
            </w:r>
            <w:r>
              <w:rPr>
                <w:rFonts w:ascii="SimSun" w:hAnsi="SimSun"/>
                <w:b w:val="false"/>
                <w:i w:val="false"/>
                <w:color w:val="000000"/>
                <w:sz w:val="21"/>
              </w:rPr>
              <w:t>60</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专业进阶模块</w:t>
            </w:r>
            <w:r>
              <w:rPr>
                <w:rFonts w:ascii="SimSun" w:hAnsi="SimSun"/>
                <w:b w:val="false"/>
                <w:i w:val="false"/>
                <w:color w:val="000000"/>
                <w:sz w:val="21"/>
              </w:rPr>
              <w:t xml:space="preserve"> </w:t>
            </w:r>
            <w:r>
              <w:rPr>
                <w:rFonts w:ascii="SimSun" w:hAnsi="SimSun"/>
                <w:b w:val="false"/>
                <w:i w:val="false"/>
                <w:color w:val="000000"/>
                <w:sz w:val="21"/>
              </w:rPr>
              <w:t>15</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荣誉项目</w:t>
            </w:r>
            <w:r>
              <w:rPr>
                <w:rFonts w:ascii="SimSun" w:hAnsi="SimSun"/>
                <w:b w:val="false"/>
                <w:i w:val="false"/>
                <w:color w:val="000000"/>
                <w:sz w:val="21"/>
              </w:rPr>
              <w:t xml:space="preserve"> </w:t>
            </w:r>
            <w:r>
              <w:rPr>
                <w:rFonts w:ascii="SimSun" w:hAnsi="SimSun"/>
                <w:b w:val="false"/>
                <w:i w:val="false"/>
                <w:color w:val="000000"/>
                <w:sz w:val="21"/>
              </w:rPr>
              <w:t>0</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任意选修</w:t>
            </w:r>
            <w:r>
              <w:rPr>
                <w:rFonts w:ascii="SimSun" w:hAnsi="SimSun"/>
                <w:b w:val="false"/>
                <w:i w:val="false"/>
                <w:color w:val="000000"/>
                <w:sz w:val="21"/>
              </w:rPr>
              <w:t xml:space="preserve"> </w:t>
            </w:r>
            <w:r>
              <w:rPr>
                <w:rFonts w:ascii="SimSun" w:hAnsi="SimSun"/>
                <w:b w:val="false"/>
                <w:i w:val="false"/>
                <w:color w:val="000000"/>
                <w:sz w:val="21"/>
              </w:rPr>
              <w:t>0</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融合创新能力实验模块</w:t>
            </w:r>
            <w:r>
              <w:rPr>
                <w:rFonts w:ascii="SimSun" w:hAnsi="SimSun"/>
                <w:b w:val="false"/>
                <w:i w:val="false"/>
                <w:color w:val="000000"/>
                <w:sz w:val="21"/>
              </w:rPr>
              <w:t xml:space="preserve"> </w:t>
            </w:r>
            <w:r>
              <w:rPr>
                <w:rFonts w:ascii="SimSun" w:hAnsi="SimSun"/>
                <w:b w:val="false"/>
                <w:i w:val="false"/>
                <w:color w:val="000000"/>
                <w:sz w:val="21"/>
              </w:rPr>
              <w:t>13</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融合创新能力实践模块</w:t>
            </w:r>
            <w:r>
              <w:rPr>
                <w:rFonts w:ascii="SimSun" w:hAnsi="SimSun"/>
                <w:b w:val="false"/>
                <w:i w:val="false"/>
                <w:color w:val="000000"/>
                <w:sz w:val="21"/>
              </w:rPr>
              <w:t xml:space="preserve"> </w:t>
            </w:r>
            <w:r>
              <w:rPr>
                <w:rFonts w:ascii="SimSun" w:hAnsi="SimSun"/>
                <w:b w:val="false"/>
                <w:i w:val="false"/>
                <w:color w:val="000000"/>
                <w:sz w:val="21"/>
              </w:rPr>
              <w:t>8</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其他   </w:t>
            </w:r>
            <w:r>
              <w:rPr>
                <w:rFonts w:ascii="SimSun" w:hAnsi="SimSun"/>
                <w:b w:val="false"/>
                <w:i w:val="false"/>
                <w:color w:val="000000"/>
                <w:sz w:val="21"/>
              </w:rPr>
              <w:t xml:space="preserve"> </w:t>
            </w:r>
          </w:p>
        </w:tc>
      </w:tr>
      <w:tr>
        <w:trPr>
          <w:trHeight w:val="45" w:hRule="atLeast"/>
        </w:trPr>
        <w:tc>
          <w:tcPr>
            <w:tcW w:w="1637"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研究生学段（博士生资格考核分流）</w:t>
            </w:r>
          </w:p>
        </w:tc>
        <w:tc>
          <w:tcPr>
            <w:tcW w:w="2046"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r>
              <w:rPr>
                <w:rFonts w:ascii="SimSun" w:hAnsi="SimSun"/>
                <w:b w:val="false"/>
                <w:i w:val="false"/>
                <w:color w:val="000000"/>
                <w:sz w:val="21"/>
              </w:rPr>
              <w:t xml:space="preserve"> </w:t>
            </w:r>
            <w:r>
              <w:rPr>
                <w:rFonts w:ascii="SimSun" w:hAnsi="SimSun"/>
                <w:b w:val="false"/>
                <w:i w:val="false"/>
                <w:color w:val="000000"/>
                <w:sz w:val="21"/>
              </w:rPr>
              <w:t>年级</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工学硕士</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学术学位</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电子科学与技术</w:t>
            </w: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按照本硕融通培养方案进行毕业审核   </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按照硕士培养方案进行毕业审核   </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其他   </w:t>
            </w:r>
            <w:r>
              <w:rPr>
                <w:rFonts w:ascii="SimSun" w:hAnsi="SimSun"/>
                <w:b w:val="false"/>
                <w:i w:val="false"/>
                <w:color w:val="000000"/>
                <w:sz w:val="21"/>
              </w:rPr>
              <w:t xml:space="preserve"> </w:t>
            </w:r>
          </w:p>
        </w:tc>
      </w:tr>
      <w:tr>
        <w:trPr>
          <w:trHeight w:val="45" w:hRule="atLeast"/>
        </w:trPr>
        <w:tc>
          <w:tcPr>
            <w:tcW w:w="1637"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博士生学段
                    </w:t>
            </w:r>
          </w:p>
        </w:tc>
        <w:tc>
          <w:tcPr>
            <w:tcW w:w="2046"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r>
              <w:rPr>
                <w:rFonts w:ascii="SimSun" w:hAnsi="SimSun"/>
                <w:b w:val="false"/>
                <w:i w:val="false"/>
                <w:color w:val="000000"/>
                <w:sz w:val="21"/>
              </w:rPr>
              <w:t xml:space="preserve"> </w:t>
            </w:r>
            <w:r>
              <w:rPr>
                <w:rFonts w:ascii="SimSun" w:hAnsi="SimSun"/>
                <w:b w:val="false"/>
                <w:i w:val="false"/>
                <w:color w:val="000000"/>
                <w:sz w:val="21"/>
              </w:rPr>
              <w:t>年级</w:t>
            </w:r>
          </w:p>
        </w:tc>
        <w:tc>
          <w:tcPr>
            <w:tcW w:w="1772"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工学博士</w:t>
            </w:r>
          </w:p>
        </w:tc>
        <w:tc>
          <w:tcPr>
            <w:tcW w:w="1772"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学术学位</w:t>
            </w:r>
          </w:p>
        </w:tc>
        <w:tc>
          <w:tcPr>
            <w:tcW w:w="1772"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电子科学与技术</w:t>
            </w:r>
          </w:p>
        </w:tc>
        <w:tc>
          <w:tcPr>
            <w:tcW w:w="0" w:type="auto"/>
            <w:gridSpan w:val="2"/>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按照“2+X+Y”本博融通培养方案进行毕业审核   </w:t>
            </w:r>
          </w:p>
        </w:tc>
      </w:tr>
    </w:tbl>
    <w:p>
      <w:pPr>
        <w:spacing w:after="0"/>
        <w:ind w:left="0"/>
        <w:jc w:val="left"/>
      </w:pPr>
      <w:r>
        <w:rPr>
          <w:rFonts w:ascii="SimSun" w:hAnsi="SimSun"/>
          <w:b/>
          <w:i w:val="false"/>
          <w:color w:val="000000"/>
          <w:sz w:val="24"/>
        </w:rPr>
        <w:t xml:space="preserve">
       五.    学分要求
      </w:t>
      </w:r>
    </w:p>
    <w:p>
      <w:pPr>
        <w:spacing w:after="0"/>
        <w:ind w:left="0"/>
        <w:jc w:val="left"/>
      </w:pPr>
      <w:r>
        <w:rPr>
          <w:rFonts w:ascii="SimSun" w:hAnsi="SimSun"/>
          <w:b w:val="false"/>
          <w:i w:val="false"/>
          <w:color w:val="000000"/>
          <w:sz w:val="21"/>
        </w:rPr>
        <w:t xml:space="preserve">   </w:t>
      </w:r>
      <w:r>
        <w:drawing>
          <wp:inline distT="0" distB="0" distL="0" distR="0">
            <wp:extent cx="4605867" cy="1913467"/>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4605867" cy="1913467"/>
                    </a:xfrm>
                    <a:prstGeom prst="rect">
                      <a:avLst/>
                    </a:prstGeom>
                  </pic:spPr>
                </pic:pic>
              </a:graphicData>
            </a:graphic>
          </wp:inline>
        </w:drawing>
      </w:r>
      <w:r>
        <w:rPr>
          <w:rFonts w:ascii="SimSun" w:hAnsi="SimSun"/>
          <w:b w:val="false"/>
          <w:i w:val="false"/>
          <w:color w:val="000000"/>
          <w:sz w:val="21"/>
        </w:rPr>
        <w:t xml:space="preserve"> </w:t>
      </w:r>
    </w:p>
    <w:p>
      <w:pPr>
        <w:spacing w:after="0"/>
        <w:ind w:left="0"/>
        <w:jc w:val="left"/>
      </w:pPr>
      <w:r>
        <w:rPr>
          <w:rFonts w:ascii="SimSun" w:hAnsi="SimSun"/>
          <w:b w:val="false"/>
          <w:i w:val="false"/>
          <w:color w:val="000000"/>
          <w:sz w:val="21"/>
        </w:rPr>
        <w:t>1、专业进阶路径：171学分</w:t>
      </w:r>
    </w:p>
    <w:p>
      <w:pPr>
        <w:spacing w:after="0"/>
        <w:ind w:left="0"/>
        <w:jc w:val="left"/>
      </w:pPr>
      <w:r>
        <w:rPr>
          <w:rFonts w:ascii="SimSun" w:hAnsi="SimSun"/>
          <w:b w:val="false"/>
          <w:i w:val="false"/>
          <w:color w:val="000000"/>
          <w:sz w:val="21"/>
        </w:rPr>
        <w:t xml:space="preserve">  本路径学生本博期间必须修满教学计划规定的171学分，包括通识教育课程44学分、专业培养课程69学分、专业进阶I修读18学分（研究生课程不少于9学分）、专业进阶II修读14学分（研究生课程不少于10学分）、融合创新能力培养模块26学分的修读。</w:t>
      </w:r>
    </w:p>
    <w:p>
      <w:pPr>
        <w:spacing w:after="0"/>
        <w:ind w:left="0"/>
        <w:jc w:val="left"/>
      </w:pPr>
      <w:r>
        <w:rPr>
          <w:rFonts w:ascii="SimSun" w:hAnsi="SimSun"/>
          <w:b w:val="false"/>
          <w:i w:val="false"/>
          <w:color w:val="000000"/>
          <w:sz w:val="21"/>
        </w:rPr>
        <w:t xml:space="preserve">  其中，本科学段需要完成138学分（含实践学分不低于34.5学分；含美育学分不少于2学分，其中至少在“美学和艺术史论类”或“艺术鉴赏和评论类”课程中修读1学分，并至少参与一项艺术实践活动；劳动教育不少于32学时，并满足劳动周教育要求），包括通识教育课程42学分、专业培养课程60学分、专业进阶模块修读15学分、融合创新能力培养21学分。</w:t>
      </w:r>
    </w:p>
    <w:p>
      <w:pPr>
        <w:spacing w:after="0"/>
        <w:ind w:left="0"/>
        <w:jc w:val="left"/>
      </w:pPr>
      <w:r>
        <w:rPr>
          <w:rFonts w:ascii="SimSun" w:hAnsi="SimSun"/>
          <w:b w:val="false"/>
          <w:i w:val="false"/>
          <w:color w:val="000000"/>
          <w:sz w:val="21"/>
        </w:rPr>
        <w:t xml:space="preserve"> 2、荣誉项目：177学分</w:t>
      </w:r>
    </w:p>
    <w:p>
      <w:pPr>
        <w:spacing w:after="0"/>
        <w:ind w:left="0"/>
        <w:jc w:val="left"/>
      </w:pPr>
      <w:r>
        <w:rPr>
          <w:rFonts w:ascii="SimSun" w:hAnsi="SimSun"/>
          <w:b w:val="false"/>
          <w:i w:val="false"/>
          <w:color w:val="000000"/>
          <w:sz w:val="21"/>
        </w:rPr>
        <w:t xml:space="preserve">  在专业进阶路径基础上，修读荣誉课程不少于6门课。荣誉项目课程设置和修读要求请见信息学院“荣誉项目”实施方案。下载地址：https://jwc.fudan.edu.cn/（复旦大学教务处）专业培养-常用文档。</w:t>
      </w:r>
    </w:p>
    <w:p>
      <w:pPr>
        <w:spacing w:after="0"/>
        <w:ind w:left="0"/>
        <w:jc w:val="left"/>
      </w:pPr>
      <w:r>
        <w:rPr>
          <w:rFonts w:ascii="SimSun" w:hAnsi="SimSun"/>
          <w:b w:val="false"/>
          <w:i w:val="false"/>
          <w:color w:val="000000"/>
          <w:sz w:val="21"/>
        </w:rPr>
        <w:t>3、跨学科发展路径：186学分</w:t>
      </w:r>
    </w:p>
    <w:p>
      <w:pPr>
        <w:spacing w:after="0"/>
        <w:ind w:left="0"/>
        <w:jc w:val="left"/>
      </w:pPr>
      <w:r>
        <w:rPr>
          <w:rFonts w:ascii="SimSun" w:hAnsi="SimSun"/>
          <w:b w:val="false"/>
          <w:i w:val="false"/>
          <w:color w:val="000000"/>
          <w:sz w:val="21"/>
        </w:rPr>
        <w:t xml:space="preserve">  在专业进阶路径或荣誉项目基础上，修读1个非本专业独立开设的学程15学分，具体要求见教务处学程实施方案。</w:t>
      </w:r>
    </w:p>
    <w:p>
      <w:pPr>
        <w:spacing w:after="0"/>
        <w:ind w:left="0"/>
        <w:jc w:val="left"/>
      </w:pPr>
      <w:r>
        <w:rPr>
          <w:rFonts w:ascii="SimSun" w:hAnsi="SimSun"/>
          <w:b w:val="false"/>
          <w:i w:val="false"/>
          <w:color w:val="000000"/>
          <w:sz w:val="21"/>
        </w:rPr>
        <w:t>4、电子信息科学与技术+AI人工智能双学士学位项目：214学分</w:t>
      </w:r>
    </w:p>
    <w:p>
      <w:pPr>
        <w:spacing w:after="0"/>
        <w:ind w:left="0"/>
        <w:jc w:val="left"/>
      </w:pPr>
      <w:r>
        <w:rPr>
          <w:rFonts w:ascii="SimSun" w:hAnsi="SimSun"/>
          <w:b w:val="false"/>
          <w:i w:val="false"/>
          <w:color w:val="000000"/>
          <w:sz w:val="21"/>
        </w:rPr>
        <w:t xml:space="preserve">  在专业进阶路径或荣誉项目基础上，修读人工智能专业项目课程43学分。具体要求见信息学院-电子信息科学与技术-信息与计算科学（人工智能方向）双学士学位项目培养方案。</w:t>
      </w:r>
    </w:p>
    <w:p>
      <w:pPr>
        <w:spacing w:after="0"/>
        <w:ind w:left="0"/>
        <w:jc w:val="left"/>
      </w:pPr>
    </w:p>
    <w:p>
      <w:pPr>
        <w:spacing w:after="0"/>
        <w:ind w:left="0"/>
        <w:jc w:val="left"/>
      </w:pPr>
      <w:r>
        <w:rPr>
          <w:rFonts w:ascii="SimSun" w:hAnsi="SimSun"/>
          <w:b/>
          <w:i w:val="false"/>
          <w:color w:val="000000"/>
          <w:sz w:val="24"/>
        </w:rPr>
        <w:t xml:space="preserve">
       六.    学位要求
      </w:t>
      </w:r>
    </w:p>
    <w:p>
      <w:pPr>
        <w:spacing w:after="0"/>
        <w:ind w:left="0"/>
        <w:jc w:val="left"/>
      </w:pPr>
      <w:r>
        <w:rPr>
          <w:rFonts w:ascii="SimSun" w:hAnsi="SimSun"/>
          <w:b w:val="false"/>
          <w:i w:val="false"/>
          <w:color w:val="000000"/>
          <w:sz w:val="21"/>
        </w:rPr>
        <w:t>（一）本科学位</w:t>
      </w:r>
    </w:p>
    <w:p>
      <w:pPr>
        <w:spacing w:after="0"/>
        <w:ind w:left="0"/>
        <w:jc w:val="left"/>
      </w:pPr>
      <w:r>
        <w:rPr>
          <w:rFonts w:ascii="SimSun" w:hAnsi="SimSun"/>
          <w:b w:val="false"/>
          <w:i w:val="false"/>
          <w:color w:val="000000"/>
          <w:sz w:val="21"/>
        </w:rPr>
        <w:t xml:space="preserve">1. 4年级结束时，如达到学士学位要求者授予工学学士学位。                                                 </w:t>
      </w:r>
    </w:p>
    <w:p>
      <w:pPr>
        <w:spacing w:after="0"/>
        <w:ind w:left="0"/>
        <w:jc w:val="left"/>
      </w:pPr>
      <w:r>
        <w:rPr>
          <w:rFonts w:ascii="SimSun" w:hAnsi="SimSun"/>
          <w:b w:val="false"/>
          <w:i w:val="false"/>
          <w:color w:val="000000"/>
          <w:sz w:val="21"/>
        </w:rPr>
        <w:t>（1）修满规定的学分，达到本科教学培养方案规定的各项要求。</w:t>
      </w:r>
    </w:p>
    <w:p>
      <w:pPr>
        <w:spacing w:after="0"/>
        <w:ind w:left="0"/>
        <w:jc w:val="left"/>
      </w:pPr>
      <w:r>
        <w:rPr>
          <w:rFonts w:ascii="SimSun" w:hAnsi="SimSun"/>
          <w:b w:val="false"/>
          <w:i w:val="false"/>
          <w:color w:val="000000"/>
          <w:sz w:val="21"/>
        </w:rPr>
        <w:t>（2）以符合学生毕业时所在专业教学培养方案规定的所有课程的有效成绩为准计算平均绩点，且此平均绩点大于或等于2.0。</w:t>
      </w:r>
    </w:p>
    <w:p>
      <w:pPr>
        <w:spacing w:after="0"/>
        <w:ind w:left="0"/>
        <w:jc w:val="left"/>
      </w:pPr>
      <w:r>
        <w:rPr>
          <w:rFonts w:ascii="SimSun" w:hAnsi="SimSun"/>
          <w:b w:val="false"/>
          <w:i w:val="false"/>
          <w:color w:val="000000"/>
          <w:sz w:val="21"/>
        </w:rPr>
        <w:t>（3）在此基础上，达到信息学院“荣誉证书”获得条件的授予“荣誉证书”，具体要求请见信息学院“荣誉项目”实施方案。</w:t>
      </w:r>
    </w:p>
    <w:p>
      <w:pPr>
        <w:spacing w:after="0"/>
        <w:ind w:left="0"/>
        <w:jc w:val="left"/>
      </w:pPr>
      <w:r>
        <w:rPr>
          <w:rFonts w:ascii="SimSun" w:hAnsi="SimSun"/>
          <w:b w:val="false"/>
          <w:i w:val="false"/>
          <w:color w:val="000000"/>
          <w:sz w:val="21"/>
        </w:rPr>
        <w:t>2. 本科学段主动退出和转段考核不合格退出本博融通计划的学生，需按照电子信息科学与技术本科“2+X+Y”培养方案修读课程，如达到学士学位要求者授予工学学士学位。</w:t>
      </w:r>
    </w:p>
    <w:p>
      <w:pPr>
        <w:spacing w:after="0"/>
        <w:ind w:left="0"/>
        <w:jc w:val="left"/>
      </w:pPr>
      <w:r>
        <w:rPr>
          <w:rFonts w:ascii="SimSun" w:hAnsi="SimSun"/>
          <w:b w:val="false"/>
          <w:i w:val="false"/>
          <w:color w:val="000000"/>
          <w:sz w:val="21"/>
        </w:rPr>
        <w:t>（二）研究生学位</w:t>
      </w:r>
    </w:p>
    <w:p>
      <w:pPr>
        <w:spacing w:after="0"/>
        <w:ind w:left="0"/>
        <w:jc w:val="left"/>
      </w:pPr>
      <w:r>
        <w:rPr>
          <w:rFonts w:ascii="SimSun" w:hAnsi="SimSun"/>
          <w:b w:val="false"/>
          <w:i w:val="false"/>
          <w:color w:val="000000"/>
          <w:sz w:val="21"/>
        </w:rPr>
        <w:t>1. 达到博士学位要求者授予电子科学与技术工学博士学位，基本要求如下：</w:t>
      </w:r>
    </w:p>
    <w:p>
      <w:pPr>
        <w:spacing w:after="0"/>
        <w:ind w:left="0"/>
        <w:jc w:val="left"/>
      </w:pPr>
      <w:r>
        <w:rPr>
          <w:rFonts w:ascii="SimSun" w:hAnsi="SimSun"/>
          <w:b w:val="false"/>
          <w:i w:val="false"/>
          <w:color w:val="000000"/>
          <w:sz w:val="21"/>
        </w:rPr>
        <w:t>（1）申请人提出学位论文答辩申请时，必须已修满学校规定的学分数；所有课程成绩合格，其中学位课程平均绩点不低于2.5。</w:t>
      </w:r>
    </w:p>
    <w:p>
      <w:pPr>
        <w:spacing w:after="0"/>
        <w:ind w:left="0"/>
        <w:jc w:val="left"/>
      </w:pPr>
      <w:r>
        <w:rPr>
          <w:rFonts w:ascii="SimSun" w:hAnsi="SimSun"/>
          <w:b w:val="false"/>
          <w:i w:val="false"/>
          <w:color w:val="000000"/>
          <w:sz w:val="21"/>
        </w:rPr>
        <w:t>（2）通过博士生资格考试、通过开题。</w:t>
      </w:r>
    </w:p>
    <w:p>
      <w:pPr>
        <w:spacing w:after="0"/>
        <w:ind w:left="0"/>
        <w:jc w:val="left"/>
      </w:pPr>
      <w:r>
        <w:rPr>
          <w:rFonts w:ascii="SimSun" w:hAnsi="SimSun"/>
          <w:b w:val="false"/>
          <w:i w:val="false"/>
          <w:color w:val="000000"/>
          <w:sz w:val="21"/>
        </w:rPr>
        <w:t>（3）完成培养计划、中期考核。</w:t>
      </w:r>
    </w:p>
    <w:p>
      <w:pPr>
        <w:spacing w:after="0"/>
        <w:ind w:left="0"/>
        <w:jc w:val="left"/>
      </w:pPr>
      <w:r>
        <w:rPr>
          <w:rFonts w:ascii="SimSun" w:hAnsi="SimSun"/>
          <w:b w:val="false"/>
          <w:i w:val="false"/>
          <w:color w:val="000000"/>
          <w:sz w:val="21"/>
        </w:rPr>
        <w:t>（4）完成学位论文，并通过学位论文评阅（包括盲审）要求。</w:t>
      </w:r>
    </w:p>
    <w:p>
      <w:pPr>
        <w:spacing w:after="0"/>
        <w:ind w:left="0"/>
        <w:jc w:val="left"/>
      </w:pPr>
      <w:r>
        <w:rPr>
          <w:rFonts w:ascii="SimSun" w:hAnsi="SimSun"/>
          <w:b w:val="false"/>
          <w:i w:val="false"/>
          <w:color w:val="000000"/>
          <w:sz w:val="21"/>
        </w:rPr>
        <w:t>（5）本学科的博士生通过科研活动，对相对独立完成的课题或取得的阶段性成果进行总结，取得经同行评议认可的创新性成果，如在同行评议的高质量学术期刊上公开发表论文、或其他形式的经过同行评议认可的高质量学术成果，授予学位需满足以下情况之一：</w:t>
      </w:r>
    </w:p>
    <w:p>
      <w:pPr>
        <w:spacing w:after="0"/>
        <w:ind w:left="0"/>
        <w:jc w:val="left"/>
      </w:pPr>
      <w:r>
        <w:rPr>
          <w:rFonts w:ascii="SimSun" w:hAnsi="SimSun"/>
          <w:b w:val="false"/>
          <w:i w:val="false"/>
          <w:color w:val="000000"/>
          <w:sz w:val="21"/>
        </w:rPr>
        <w:t xml:space="preserve">  A.博士期间科研成果达到导师要求，且第一作者第一单位发表或录用论文等符合以下条件之一：</w:t>
      </w:r>
    </w:p>
    <w:p>
      <w:pPr>
        <w:spacing w:after="0"/>
        <w:ind w:left="0"/>
        <w:jc w:val="left"/>
      </w:pPr>
      <w:r>
        <w:rPr>
          <w:rFonts w:ascii="SimSun" w:hAnsi="SimSun"/>
          <w:b w:val="false"/>
          <w:i w:val="false"/>
          <w:color w:val="000000"/>
          <w:sz w:val="21"/>
        </w:rPr>
        <w:t xml:space="preserve">    a)1篇1区期刊论文；</w:t>
      </w:r>
    </w:p>
    <w:p>
      <w:pPr>
        <w:spacing w:after="0"/>
        <w:ind w:left="0"/>
        <w:jc w:val="left"/>
      </w:pPr>
      <w:r>
        <w:rPr>
          <w:rFonts w:ascii="SimSun" w:hAnsi="SimSun"/>
          <w:b w:val="false"/>
          <w:i w:val="false"/>
          <w:color w:val="000000"/>
          <w:sz w:val="21"/>
        </w:rPr>
        <w:t xml:space="preserve">    b)1篇A类期刊论文+1篇2-4区期刊论文；</w:t>
      </w:r>
    </w:p>
    <w:p>
      <w:pPr>
        <w:spacing w:after="0"/>
        <w:ind w:left="0"/>
        <w:jc w:val="left"/>
      </w:pPr>
      <w:r>
        <w:rPr>
          <w:rFonts w:ascii="SimSun" w:hAnsi="SimSun"/>
          <w:b w:val="false"/>
          <w:i w:val="false"/>
          <w:color w:val="000000"/>
          <w:sz w:val="21"/>
        </w:rPr>
        <w:t xml:space="preserve">    c)2篇2-3区期刊论文。</w:t>
      </w:r>
    </w:p>
    <w:p>
      <w:pPr>
        <w:spacing w:after="0"/>
        <w:ind w:left="0"/>
        <w:jc w:val="left"/>
      </w:pPr>
      <w:r>
        <w:rPr>
          <w:rFonts w:ascii="SimSun" w:hAnsi="SimSun"/>
          <w:b w:val="false"/>
          <w:i w:val="false"/>
          <w:color w:val="000000"/>
          <w:sz w:val="21"/>
        </w:rPr>
        <w:t xml:space="preserve">  B.从事国家重大工程系统、重大仪器设备或产业核心装备研制等特殊研究工作，博士期间科研成果为该研究做出关键贡献，导师需至少提前一年向学位分委会提出申请，并提供该重大项目验收证明材料，由学位分委员会进行认定。</w:t>
      </w:r>
    </w:p>
    <w:p>
      <w:pPr>
        <w:spacing w:after="0"/>
        <w:ind w:left="0"/>
        <w:jc w:val="left"/>
      </w:pPr>
      <w:r>
        <w:rPr>
          <w:rFonts w:ascii="SimSun" w:hAnsi="SimSun"/>
          <w:b w:val="false"/>
          <w:i w:val="false"/>
          <w:color w:val="000000"/>
          <w:sz w:val="21"/>
        </w:rPr>
        <w:t xml:space="preserve">  C.从事国防或国家安全相关重大科研任务的，因涉密要求而无法公开发表论文，博士期间科研成果为该任务做出关键贡献，导师需至少提前一年向学位分委会提出申请，并提供应用单位的应用证明材料，由学位分委员会进行认定。</w:t>
      </w:r>
    </w:p>
    <w:p>
      <w:pPr>
        <w:spacing w:after="0"/>
        <w:ind w:left="0"/>
        <w:jc w:val="left"/>
      </w:pPr>
      <w:r>
        <w:rPr>
          <w:rFonts w:ascii="SimSun" w:hAnsi="SimSun"/>
          <w:b w:val="false"/>
          <w:i w:val="false"/>
          <w:color w:val="000000"/>
          <w:sz w:val="21"/>
        </w:rPr>
        <w:t xml:space="preserve">  D.博士期间科研成果以主要完成人获得国家科技奖励（排名前十）、省部级一等奖（排名前五）或二等奖（排名前三），博士研究成果为该奖励的关键贡献点，导师需向学位分委会提出申请，并提供相关证明材料，由学位分委员会进行认定。</w:t>
      </w:r>
    </w:p>
    <w:p>
      <w:pPr>
        <w:spacing w:after="0"/>
        <w:ind w:left="0"/>
        <w:jc w:val="left"/>
      </w:pPr>
      <w:r>
        <w:rPr>
          <w:rFonts w:ascii="SimSun" w:hAnsi="SimSun"/>
          <w:b w:val="false"/>
          <w:i w:val="false"/>
          <w:color w:val="000000"/>
          <w:sz w:val="21"/>
        </w:rPr>
        <w:t xml:space="preserve">  E.博士期间作出其他重要学术成果或重大工程应用等特殊贡献，由导师向学位分委员会提出申请，由学位分委员会进行认定。</w:t>
      </w:r>
    </w:p>
    <w:p>
      <w:pPr>
        <w:spacing w:after="0"/>
        <w:ind w:left="0"/>
        <w:jc w:val="left"/>
      </w:pPr>
      <w:r>
        <w:rPr>
          <w:rFonts w:ascii="SimSun" w:hAnsi="SimSun"/>
          <w:b w:val="false"/>
          <w:i w:val="false"/>
          <w:color w:val="000000"/>
          <w:sz w:val="21"/>
        </w:rPr>
        <w:t xml:space="preserve">  注：SCI分区、A类期刊分别依据投稿当年或发表当年的中科院SCI期刊分区表、复旦大学学位与研究生教育国内期刊指导目录。</w:t>
      </w:r>
    </w:p>
    <w:p>
      <w:pPr>
        <w:spacing w:after="0"/>
        <w:ind w:left="0"/>
        <w:jc w:val="left"/>
      </w:pPr>
      <w:r>
        <w:rPr>
          <w:rFonts w:ascii="SimSun" w:hAnsi="SimSun"/>
          <w:b w:val="false"/>
          <w:i w:val="false"/>
          <w:color w:val="000000"/>
          <w:sz w:val="21"/>
        </w:rPr>
        <w:t>（6）通过学位论文答辩，通过学院学位评定委员会和学校学位评定委员会审议。</w:t>
      </w:r>
    </w:p>
    <w:p>
      <w:pPr>
        <w:spacing w:after="0"/>
        <w:ind w:left="0"/>
        <w:jc w:val="left"/>
      </w:pPr>
    </w:p>
    <w:p>
      <w:pPr>
        <w:spacing w:after="0"/>
        <w:ind w:left="0"/>
        <w:jc w:val="left"/>
      </w:pPr>
      <w:r>
        <w:rPr>
          <w:rFonts w:ascii="SimSun" w:hAnsi="SimSun"/>
          <w:b w:val="false"/>
          <w:i w:val="false"/>
          <w:color w:val="000000"/>
          <w:sz w:val="21"/>
        </w:rPr>
        <w:t>2. 第二学段主动退出和博士生资格考核不合格退出本博融通计划的学生，如达到电子科学与技术硕士学位要求者授予工学硕士学位，具体要求：</w:t>
      </w:r>
    </w:p>
    <w:p>
      <w:pPr>
        <w:spacing w:after="0"/>
        <w:ind w:left="0"/>
        <w:jc w:val="left"/>
      </w:pPr>
      <w:r>
        <w:rPr>
          <w:rFonts w:ascii="SimSun" w:hAnsi="SimSun"/>
          <w:b w:val="false"/>
          <w:i w:val="false"/>
          <w:color w:val="000000"/>
          <w:sz w:val="21"/>
        </w:rPr>
        <w:t>（1）申请人提出学位论文答辩申请时，必须已修满学校规定的学分数；所有课程成绩合格，其中学位课程平均绩点原则上不低于2.5。</w:t>
      </w:r>
    </w:p>
    <w:p>
      <w:pPr>
        <w:spacing w:after="0"/>
        <w:ind w:left="0"/>
        <w:jc w:val="left"/>
      </w:pPr>
      <w:r>
        <w:rPr>
          <w:rFonts w:ascii="SimSun" w:hAnsi="SimSun"/>
          <w:b w:val="false"/>
          <w:i w:val="false"/>
          <w:color w:val="000000"/>
          <w:sz w:val="21"/>
        </w:rPr>
        <w:t>（2）按本培养方案必修环节设置栏目中的要求完成2个学分学术活动和2个学分的实践活动。</w:t>
      </w:r>
    </w:p>
    <w:p>
      <w:pPr>
        <w:spacing w:after="0"/>
        <w:ind w:left="0"/>
        <w:jc w:val="left"/>
      </w:pPr>
      <w:r>
        <w:rPr>
          <w:rFonts w:ascii="SimSun" w:hAnsi="SimSun"/>
          <w:b w:val="false"/>
          <w:i w:val="false"/>
          <w:color w:val="000000"/>
          <w:sz w:val="21"/>
        </w:rPr>
        <w:t>（3）完成硕士学位论文和取得经同行评议认可的创新性成果。本学科的硕士生必须通过科研和技术开发活动，对相对独立完成的课题或取得的阶段性成果进行总结，取得经同行评议认可的创新性研究成果，如在同行评议的较高质量学术期刊上公开发表学术论文、或其它形式的经过同行评议认可的较高质量学术成果，该成果是学位论文主要内容，且满足以下几种情况之一:</w:t>
      </w:r>
    </w:p>
    <w:p>
      <w:pPr>
        <w:spacing w:after="0"/>
        <w:ind w:left="0"/>
        <w:jc w:val="left"/>
      </w:pPr>
      <w:r>
        <w:rPr>
          <w:rFonts w:ascii="SimSun" w:hAnsi="SimSun"/>
          <w:b w:val="false"/>
          <w:i w:val="false"/>
          <w:color w:val="000000"/>
          <w:sz w:val="21"/>
        </w:rPr>
        <w:t xml:space="preserve">  A.硕士期间科研成果达到导师要求，且第一作者（或导师第一学生第二）第一单位发表或录用1篇A类或1-4区期刊论文。</w:t>
      </w:r>
    </w:p>
    <w:p>
      <w:pPr>
        <w:spacing w:after="0"/>
        <w:ind w:left="0"/>
        <w:jc w:val="left"/>
      </w:pPr>
      <w:r>
        <w:rPr>
          <w:rFonts w:ascii="SimSun" w:hAnsi="SimSun"/>
          <w:b w:val="false"/>
          <w:i w:val="false"/>
          <w:color w:val="000000"/>
          <w:sz w:val="21"/>
        </w:rPr>
        <w:t xml:space="preserve">  B.硕士期间作出其他重要学术成果或重大工程应用等特殊贡献，导师向学位分委员会提出申请，由学位分委员会进行认定。</w:t>
      </w:r>
    </w:p>
    <w:p>
      <w:pPr>
        <w:spacing w:after="0"/>
        <w:ind w:left="0"/>
        <w:jc w:val="left"/>
      </w:pPr>
      <w:r>
        <w:rPr>
          <w:rFonts w:ascii="SimSun" w:hAnsi="SimSun"/>
          <w:b w:val="false"/>
          <w:i w:val="false"/>
          <w:color w:val="000000"/>
          <w:sz w:val="21"/>
        </w:rPr>
        <w:t xml:space="preserve">  注：SCI分区、A类期刊分别依据投稿当年或发表当年的中科院SCI期刊分区表、复旦大学学位与研究生教育国内期刊指导目录。</w:t>
      </w:r>
    </w:p>
    <w:p>
      <w:pPr>
        <w:spacing w:after="0"/>
        <w:ind w:left="0"/>
        <w:jc w:val="left"/>
      </w:pPr>
      <w:r>
        <w:rPr>
          <w:rFonts w:ascii="SimSun" w:hAnsi="SimSun"/>
          <w:b w:val="false"/>
          <w:i w:val="false"/>
          <w:color w:val="000000"/>
          <w:sz w:val="21"/>
        </w:rPr>
        <w:t>（4）通过学位论文评阅和学位论文答辩。</w:t>
      </w:r>
    </w:p>
    <w:p>
      <w:pPr>
        <w:spacing w:after="0"/>
        <w:ind w:left="0"/>
        <w:jc w:val="left"/>
      </w:pPr>
      <w:r>
        <w:rPr>
          <w:rFonts w:ascii="SimSun" w:hAnsi="SimSun"/>
          <w:b/>
          <w:i w:val="false"/>
          <w:color w:val="000000"/>
          <w:sz w:val="24"/>
        </w:rPr>
        <w:t xml:space="preserve">
       七.    课程体系与科研训练体系
      </w:t>
      </w:r>
    </w:p>
    <w:p>
      <w:pPr>
        <w:spacing w:after="0"/>
        <w:ind w:left="0"/>
        <w:jc w:val="left"/>
      </w:pPr>
      <w:r>
        <w:rPr>
          <w:rFonts w:ascii="SimSun" w:hAnsi="SimSun"/>
          <w:b w:val="false"/>
          <w:i w:val="false"/>
          <w:color w:val="000000"/>
          <w:sz w:val="21"/>
        </w:rPr>
        <w:t>1.课程体系</w:t>
      </w:r>
    </w:p>
    <w:p>
      <w:pPr>
        <w:spacing w:after="0"/>
        <w:ind w:left="0"/>
        <w:jc w:val="left"/>
      </w:pPr>
      <w:r>
        <w:rPr>
          <w:rFonts w:ascii="SimSun" w:hAnsi="SimSun"/>
          <w:b w:val="false"/>
          <w:i w:val="false"/>
          <w:color w:val="000000"/>
          <w:sz w:val="21"/>
        </w:rPr>
        <w:t xml:space="preserve">  以电子和通信核心课程为基础建立了本研融通的专业核心课程体系，以学科领域为横、课程内容梯度为纵建立了难度逐级提升的本研融通的专业进阶课程体系。为鼓励学生挑战自我，设立了7门荣誉课程可供修读，完成6门荣誉课程的基础上授予荣誉毕业证书。</w:t>
      </w:r>
    </w:p>
    <w:tbl>
      <w:tblPr>
        <w:tblW w:w="0" w:type="auto"/>
        <w:tblCellSpacing w:w="0" w:type="auto"/>
        <w:tblInd w:w="115" w:type="dxa"/>
        <w:tblBorders>
          <w:top w:val="single" w:color="000000" w:sz="8"/>
          <w:left w:val="single" w:color="000000" w:sz="8"/>
          <w:bottom w:val="none"/>
          <w:right w:val="none"/>
          <w:insideH w:val="none"/>
          <w:insideV w:val="none"/>
        </w:tblBorders>
      </w:tblPr>
      <w:tblGrid>
        <w:gridCol w:w="1240"/>
        <w:gridCol w:w="1126"/>
        <w:gridCol w:w="1126"/>
        <w:gridCol w:w="1126"/>
        <w:gridCol w:w="1126"/>
        <w:gridCol w:w="1126"/>
        <w:gridCol w:w="1126"/>
        <w:gridCol w:w="1127"/>
        <w:gridCol w:w="1127"/>
        <w:gridCol w:w="1128"/>
        <w:gridCol w:w="1128"/>
        <w:gridCol w:w="1128"/>
      </w:tblGrid>
      <w:tr>
        <w:trPr>
          <w:trHeight w:val="45" w:hRule="atLeast"/>
        </w:trPr>
        <w:tc>
          <w:tcPr>
            <w:tcW w:w="1240"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备注</w:t>
            </w:r>
          </w:p>
        </w:tc>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课程代码数字部分的第一位代表了课程难度等级。</w:t>
            </w:r>
          </w:p>
        </w:tc>
      </w:tr>
      <w:tr>
        <w:trPr>
          <w:trHeight w:val="45" w:hRule="atLeast"/>
        </w:trPr>
        <w:tc>
          <w:tcPr>
            <w:tcW w:w="0" w:type="auto"/>
            <w:vMerge/>
            <w:tcBorders>
              <w:top w:val="nil"/>
              <w:bottom w:val="single" w:color="000000" w:sz="8"/>
              <w:right w:val="single" w:color="000000" w:sz="8"/>
            </w:tcBorders>
          </w:tcPr>
          <w:p/>
        </w:tc>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每学期选修学分不得超过32学分。</w:t>
            </w:r>
          </w:p>
        </w:tc>
      </w:tr>
    </w:tbl>
    <w:p>
      <w:pPr>
        <w:spacing w:after="0"/>
        <w:ind w:left="0"/>
        <w:jc w:val="left"/>
      </w:pPr>
      <w:r>
        <w:rPr>
          <w:rFonts w:ascii="SimSun" w:hAnsi="SimSun"/>
          <w:b w:val="false"/>
          <w:i w:val="false"/>
          <w:color w:val="000000"/>
          <w:sz w:val="21"/>
        </w:rPr>
        <w:t>2.科研训练体系</w:t>
      </w:r>
    </w:p>
    <w:p>
      <w:pPr>
        <w:spacing w:after="0"/>
        <w:ind w:left="0"/>
        <w:jc w:val="left"/>
      </w:pPr>
      <w:r>
        <w:rPr>
          <w:rFonts w:ascii="SimSun" w:hAnsi="SimSun"/>
          <w:b w:val="false"/>
          <w:i w:val="false"/>
          <w:color w:val="000000"/>
          <w:sz w:val="21"/>
        </w:rPr>
        <w:t>本科阶段设立导论课程和无学分讨论班，引导学生早进课题组轮转，通过“复芏计划”激发创新志趣。研究生阶段强化科研训练，加强科学道德和学术规范教育，激励学生自主开展学术研究。多渠道支持学生参加国内国际高水平学术交流，鼓励学生参加国内外高水平创新竞赛，以赛促教、促学、促研。</w:t>
      </w:r>
    </w:p>
    <w:p>
      <w:pPr>
        <w:spacing w:after="0"/>
        <w:ind w:left="0"/>
        <w:jc w:val="left"/>
      </w:pPr>
      <w:r>
        <w:rPr>
          <w:rFonts w:ascii="SimSun" w:hAnsi="SimSun"/>
          <w:b w:val="false"/>
          <w:i w:val="false"/>
          <w:color w:val="000000"/>
          <w:sz w:val="21"/>
        </w:rPr>
        <w:t xml:space="preserve">  </w:t>
      </w:r>
      <w:r>
        <w:drawing>
          <wp:inline distT="0" distB="0" distL="0" distR="0">
            <wp:extent cx="5486400" cy="12192000"/>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486400" cy="12192000"/>
                    </a:xfrm>
                    <a:prstGeom prst="rect">
                      <a:avLst/>
                    </a:prstGeom>
                  </pic:spPr>
                </pic:pic>
              </a:graphicData>
            </a:graphic>
          </wp:inline>
        </w:drawing>
      </w:r>
    </w:p>
    <w:p>
      <w:pPr>
        <w:spacing w:after="0"/>
        <w:ind w:left="0"/>
        <w:jc w:val="left"/>
      </w:pPr>
      <w:r>
        <w:rPr>
          <w:rFonts w:ascii="SimSun" w:hAnsi="SimSun"/>
          <w:b/>
          <w:i w:val="false"/>
          <w:color w:val="000000"/>
          <w:sz w:val="24"/>
        </w:rPr>
        <w:t xml:space="preserve">
       八.    课程设置与修读要求
      </w:t>
      </w:r>
    </w:p>
    <w:p>
      <w:pPr>
        <w:spacing w:after="0"/>
        <w:ind w:left="0"/>
        <w:jc w:val="left"/>
      </w:pPr>
      <w:r>
        <w:rPr>
          <w:rFonts w:ascii="SimSun" w:hAnsi="SimSun"/>
          <w:b w:val="false"/>
          <w:i w:val="false"/>
          <w:color w:val="000000"/>
          <w:sz w:val="21"/>
        </w:rPr>
        <w:t xml:space="preserve">   通识教育课程包括通识教育核心课程和专项教育课程。</w:t>
      </w:r>
    </w:p>
    <w:p>
      <w:pPr>
        <w:spacing w:after="0"/>
        <w:ind w:left="0"/>
        <w:jc w:val="left"/>
      </w:pPr>
      <w:r>
        <w:rPr>
          <w:rFonts w:ascii="SimSun" w:hAnsi="SimSun"/>
          <w:b w:val="false"/>
          <w:i w:val="false"/>
          <w:color w:val="000000"/>
          <w:sz w:val="21"/>
        </w:rPr>
        <w:t>1. 通识教育核心课程（28学分）</w:t>
      </w:r>
    </w:p>
    <w:p>
      <w:pPr>
        <w:spacing w:after="0"/>
        <w:ind w:left="0"/>
        <w:jc w:val="left"/>
      </w:pPr>
      <w:r>
        <w:rPr>
          <w:rFonts w:ascii="SimSun" w:hAnsi="SimSun"/>
          <w:b w:val="false"/>
          <w:i w:val="false"/>
          <w:color w:val="000000"/>
          <w:sz w:val="21"/>
        </w:rPr>
        <w:t xml:space="preserve">  要求修读28学分，含思想政治理论课21学分（其中研究生学位课2学分），七大模块课程6学分（美育学分不少于2学分），大学生国家安全教育1学分。</w:t>
      </w:r>
    </w:p>
    <w:p>
      <w:pPr>
        <w:spacing w:after="0"/>
        <w:ind w:left="0"/>
        <w:jc w:val="left"/>
      </w:pPr>
      <w:r>
        <w:rPr>
          <w:rFonts w:ascii="SimSun" w:hAnsi="SimSun"/>
          <w:b w:val="false"/>
          <w:i w:val="false"/>
          <w:color w:val="000000"/>
          <w:sz w:val="21"/>
        </w:rPr>
        <w:t xml:space="preserve">  本研融通课程请在研究生课程类别一栏注明：学位课、选修课，该栏空白默认为本科生课程。</w:t>
      </w:r>
    </w:p>
    <w:tbl>
      <w:tblPr>
        <w:tblW w:w="0" w:type="auto"/>
        <w:tblCellSpacing w:w="0" w:type="auto"/>
        <w:tblInd w:w="115" w:type="dxa"/>
        <w:tblBorders>
          <w:top w:val="single" w:color="000000" w:sz="8"/>
          <w:left w:val="single" w:color="000000" w:sz="8"/>
          <w:bottom w:val="none"/>
          <w:right w:val="none"/>
          <w:insideH w:val="none"/>
          <w:insideV w:val="none"/>
        </w:tblBorders>
      </w:tblPr>
      <w:tblGrid>
        <w:gridCol w:w="2715"/>
        <w:gridCol w:w="719"/>
        <w:gridCol w:w="719"/>
        <w:gridCol w:w="702"/>
        <w:gridCol w:w="1649"/>
        <w:gridCol w:w="918"/>
        <w:gridCol w:w="697"/>
        <w:gridCol w:w="724"/>
        <w:gridCol w:w="788"/>
        <w:gridCol w:w="1246"/>
        <w:gridCol w:w="2757"/>
      </w:tblGrid>
      <w:tr>
        <w:trPr>
          <w:trHeight w:val="45" w:hRule="atLeast"/>
        </w:trPr>
        <w:tc>
          <w:tcPr>
            <w:tcW w:w="271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课程/模块名称</w:t>
            </w:r>
          </w:p>
        </w:tc>
        <w:tc>
          <w:tcPr>
            <w:tcW w:w="71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学分</w:t>
            </w:r>
          </w:p>
        </w:tc>
        <w:tc>
          <w:tcPr>
            <w:tcW w:w="71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周学时</w:t>
            </w:r>
          </w:p>
        </w:tc>
        <w:tc>
          <w:tcPr>
            <w:tcW w:w="70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修读要求</w:t>
            </w:r>
          </w:p>
        </w:tc>
        <w:tc>
          <w:tcPr>
            <w:tcW w:w="164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课程代码</w:t>
            </w:r>
          </w:p>
        </w:tc>
        <w:tc>
          <w:tcPr>
            <w:tcW w:w="91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含实践学分</w:t>
            </w:r>
          </w:p>
        </w:tc>
        <w:tc>
          <w:tcPr>
            <w:tcW w:w="69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含美育学分</w:t>
            </w:r>
          </w:p>
        </w:tc>
        <w:tc>
          <w:tcPr>
            <w:tcW w:w="72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含劳动教育总学时</w:t>
            </w:r>
          </w:p>
        </w:tc>
        <w:tc>
          <w:tcPr>
            <w:tcW w:w="78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开课学期</w:t>
            </w:r>
          </w:p>
        </w:tc>
        <w:tc>
          <w:tcPr>
            <w:tcW w:w="124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研究生课程类别</w:t>
            </w:r>
          </w:p>
        </w:tc>
        <w:tc>
          <w:tcPr>
            <w:tcW w:w="275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备注</w:t>
            </w:r>
          </w:p>
        </w:tc>
      </w:tr>
      <w:tr>
        <w:trPr>
          <w:trHeight w:val="45" w:hRule="atLeast"/>
        </w:trPr>
        <w:tc>
          <w:tcPr>
            <w:tcW w:w="271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习近平新时代中国特色社会主义思想概论</w:t>
            </w:r>
          </w:p>
        </w:tc>
        <w:tc>
          <w:tcPr>
            <w:tcW w:w="71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3</w:t>
            </w:r>
          </w:p>
        </w:tc>
        <w:tc>
          <w:tcPr>
            <w:tcW w:w="71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3</w:t>
            </w:r>
          </w:p>
        </w:tc>
        <w:tc>
          <w:tcPr>
            <w:tcW w:w="70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必修</w:t>
            </w:r>
          </w:p>
        </w:tc>
        <w:tc>
          <w:tcPr>
            <w:tcW w:w="164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GEIP30002</w:t>
            </w:r>
          </w:p>
        </w:tc>
        <w:tc>
          <w:tcPr>
            <w:tcW w:w="91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69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2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8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1</w:t>
            </w:r>
          </w:p>
        </w:tc>
        <w:tc>
          <w:tcPr>
            <w:tcW w:w="124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275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45" w:hRule="atLeast"/>
        </w:trPr>
        <w:tc>
          <w:tcPr>
            <w:tcW w:w="271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思想道德与法治</w:t>
            </w:r>
          </w:p>
        </w:tc>
        <w:tc>
          <w:tcPr>
            <w:tcW w:w="71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3</w:t>
            </w:r>
          </w:p>
        </w:tc>
        <w:tc>
          <w:tcPr>
            <w:tcW w:w="71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3</w:t>
            </w:r>
          </w:p>
        </w:tc>
        <w:tc>
          <w:tcPr>
            <w:tcW w:w="70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必修</w:t>
            </w:r>
          </w:p>
        </w:tc>
        <w:tc>
          <w:tcPr>
            <w:tcW w:w="164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GEIP20007</w:t>
            </w:r>
          </w:p>
        </w:tc>
        <w:tc>
          <w:tcPr>
            <w:tcW w:w="91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69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2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8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1</w:t>
            </w:r>
          </w:p>
        </w:tc>
        <w:tc>
          <w:tcPr>
            <w:tcW w:w="124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275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45" w:hRule="atLeast"/>
        </w:trPr>
        <w:tc>
          <w:tcPr>
            <w:tcW w:w="271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中国近现代史纲要</w:t>
            </w:r>
          </w:p>
        </w:tc>
        <w:tc>
          <w:tcPr>
            <w:tcW w:w="71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3</w:t>
            </w:r>
          </w:p>
        </w:tc>
        <w:tc>
          <w:tcPr>
            <w:tcW w:w="71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3</w:t>
            </w:r>
          </w:p>
        </w:tc>
        <w:tc>
          <w:tcPr>
            <w:tcW w:w="70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必修</w:t>
            </w:r>
          </w:p>
        </w:tc>
        <w:tc>
          <w:tcPr>
            <w:tcW w:w="164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GEIP20006</w:t>
            </w:r>
          </w:p>
        </w:tc>
        <w:tc>
          <w:tcPr>
            <w:tcW w:w="91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69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2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8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w:t>
            </w:r>
          </w:p>
        </w:tc>
        <w:tc>
          <w:tcPr>
            <w:tcW w:w="124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275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45" w:hRule="atLeast"/>
        </w:trPr>
        <w:tc>
          <w:tcPr>
            <w:tcW w:w="271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马克思主义基本原理</w:t>
            </w:r>
          </w:p>
        </w:tc>
        <w:tc>
          <w:tcPr>
            <w:tcW w:w="71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3</w:t>
            </w:r>
          </w:p>
        </w:tc>
        <w:tc>
          <w:tcPr>
            <w:tcW w:w="71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3</w:t>
            </w:r>
          </w:p>
        </w:tc>
        <w:tc>
          <w:tcPr>
            <w:tcW w:w="70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必修</w:t>
            </w:r>
          </w:p>
        </w:tc>
        <w:tc>
          <w:tcPr>
            <w:tcW w:w="164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GEIP40012</w:t>
            </w:r>
          </w:p>
        </w:tc>
        <w:tc>
          <w:tcPr>
            <w:tcW w:w="91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69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2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8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3</w:t>
            </w:r>
          </w:p>
        </w:tc>
        <w:tc>
          <w:tcPr>
            <w:tcW w:w="124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275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45" w:hRule="atLeast"/>
        </w:trPr>
        <w:tc>
          <w:tcPr>
            <w:tcW w:w="271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毛泽东思想和中国特色社会主义理论体系概论</w:t>
            </w:r>
          </w:p>
        </w:tc>
        <w:tc>
          <w:tcPr>
            <w:tcW w:w="71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3</w:t>
            </w:r>
          </w:p>
        </w:tc>
        <w:tc>
          <w:tcPr>
            <w:tcW w:w="71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3</w:t>
            </w:r>
          </w:p>
        </w:tc>
        <w:tc>
          <w:tcPr>
            <w:tcW w:w="70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必修</w:t>
            </w:r>
          </w:p>
        </w:tc>
        <w:tc>
          <w:tcPr>
            <w:tcW w:w="164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GEIP30001</w:t>
            </w:r>
          </w:p>
        </w:tc>
        <w:tc>
          <w:tcPr>
            <w:tcW w:w="91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69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2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8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4</w:t>
            </w:r>
          </w:p>
        </w:tc>
        <w:tc>
          <w:tcPr>
            <w:tcW w:w="124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275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45" w:hRule="atLeast"/>
        </w:trPr>
        <w:tc>
          <w:tcPr>
            <w:tcW w:w="271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xml:space="preserve">中国马克思主义与当代 </w:t>
            </w:r>
          </w:p>
        </w:tc>
        <w:tc>
          <w:tcPr>
            <w:tcW w:w="71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w:t>
            </w:r>
          </w:p>
        </w:tc>
        <w:tc>
          <w:tcPr>
            <w:tcW w:w="71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w:t>
            </w:r>
          </w:p>
        </w:tc>
        <w:tc>
          <w:tcPr>
            <w:tcW w:w="70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必修</w:t>
            </w:r>
          </w:p>
        </w:tc>
        <w:tc>
          <w:tcPr>
            <w:tcW w:w="164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GEIP40001</w:t>
            </w:r>
          </w:p>
        </w:tc>
        <w:tc>
          <w:tcPr>
            <w:tcW w:w="91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69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2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8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9</w:t>
            </w:r>
          </w:p>
        </w:tc>
        <w:tc>
          <w:tcPr>
            <w:tcW w:w="124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学位课</w:t>
            </w:r>
          </w:p>
        </w:tc>
        <w:tc>
          <w:tcPr>
            <w:tcW w:w="275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45" w:hRule="atLeast"/>
        </w:trPr>
        <w:tc>
          <w:tcPr>
            <w:tcW w:w="271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强国之路：形势、政策与使命</w:t>
            </w:r>
          </w:p>
        </w:tc>
        <w:tc>
          <w:tcPr>
            <w:tcW w:w="71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w:t>
            </w:r>
          </w:p>
        </w:tc>
        <w:tc>
          <w:tcPr>
            <w:tcW w:w="71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w:t>
            </w:r>
          </w:p>
        </w:tc>
        <w:tc>
          <w:tcPr>
            <w:tcW w:w="70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必修</w:t>
            </w:r>
          </w:p>
        </w:tc>
        <w:tc>
          <w:tcPr>
            <w:tcW w:w="1649"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见思想政治理论课模块课程列表</w:t>
            </w:r>
          </w:p>
        </w:tc>
        <w:tc>
          <w:tcPr>
            <w:tcW w:w="91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69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2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8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1~4</w:t>
            </w:r>
          </w:p>
        </w:tc>
        <w:tc>
          <w:tcPr>
            <w:tcW w:w="124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275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根据院系通知安排</w:t>
            </w:r>
          </w:p>
        </w:tc>
      </w:tr>
      <w:tr>
        <w:trPr>
          <w:trHeight w:val="45" w:hRule="atLeast"/>
        </w:trPr>
        <w:tc>
          <w:tcPr>
            <w:tcW w:w="271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思想政治理论课模块B组课程</w:t>
            </w:r>
          </w:p>
        </w:tc>
        <w:tc>
          <w:tcPr>
            <w:tcW w:w="71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w:t>
            </w:r>
          </w:p>
        </w:tc>
        <w:tc>
          <w:tcPr>
            <w:tcW w:w="71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w:t>
            </w:r>
          </w:p>
        </w:tc>
        <w:tc>
          <w:tcPr>
            <w:tcW w:w="70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必选</w:t>
            </w:r>
          </w:p>
        </w:tc>
        <w:tc>
          <w:tcPr>
            <w:tcW w:w="0" w:type="auto"/>
            <w:vMerge/>
            <w:tcBorders>
              <w:top w:val="nil"/>
              <w:bottom w:val="single" w:color="000000" w:sz="8"/>
              <w:right w:val="single" w:color="000000" w:sz="8"/>
            </w:tcBorders>
          </w:tcPr>
          <w:p/>
        </w:tc>
        <w:tc>
          <w:tcPr>
            <w:tcW w:w="91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69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2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8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24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275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45" w:hRule="atLeast"/>
        </w:trPr>
        <w:tc>
          <w:tcPr>
            <w:tcW w:w="271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1文史经典与文化传承模块课程</w:t>
            </w:r>
          </w:p>
        </w:tc>
        <w:tc>
          <w:tcPr>
            <w:tcW w:w="71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2~3</w:t>
            </w:r>
          </w:p>
        </w:tc>
        <w:tc>
          <w:tcPr>
            <w:tcW w:w="71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2~3</w:t>
            </w:r>
          </w:p>
        </w:tc>
        <w:tc>
          <w:tcPr>
            <w:tcW w:w="702"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必选6学分(每模块≤1门)</w:t>
            </w:r>
          </w:p>
        </w:tc>
        <w:tc>
          <w:tcPr>
            <w:tcW w:w="1649"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见核心课程七大模块课程列表</w:t>
            </w:r>
          </w:p>
        </w:tc>
        <w:tc>
          <w:tcPr>
            <w:tcW w:w="91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69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2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8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24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275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45" w:hRule="atLeast"/>
        </w:trPr>
        <w:tc>
          <w:tcPr>
            <w:tcW w:w="271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2哲学智慧与批判性思维模块课程</w:t>
            </w:r>
          </w:p>
        </w:tc>
        <w:tc>
          <w:tcPr>
            <w:tcW w:w="71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2~3</w:t>
            </w:r>
          </w:p>
        </w:tc>
        <w:tc>
          <w:tcPr>
            <w:tcW w:w="71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2~3</w:t>
            </w: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91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69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2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8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24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275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45" w:hRule="atLeast"/>
        </w:trPr>
        <w:tc>
          <w:tcPr>
            <w:tcW w:w="271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3文明对话与世界视野模块课程</w:t>
            </w:r>
          </w:p>
        </w:tc>
        <w:tc>
          <w:tcPr>
            <w:tcW w:w="71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2~3</w:t>
            </w:r>
          </w:p>
        </w:tc>
        <w:tc>
          <w:tcPr>
            <w:tcW w:w="71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2~3</w:t>
            </w: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91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69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2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8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24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275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45" w:hRule="atLeast"/>
        </w:trPr>
        <w:tc>
          <w:tcPr>
            <w:tcW w:w="271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4社会研究与当代中国模块课程</w:t>
            </w:r>
          </w:p>
        </w:tc>
        <w:tc>
          <w:tcPr>
            <w:tcW w:w="71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2~3</w:t>
            </w:r>
          </w:p>
        </w:tc>
        <w:tc>
          <w:tcPr>
            <w:tcW w:w="71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2~3</w:t>
            </w: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91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69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2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8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24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275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45" w:hRule="atLeast"/>
        </w:trPr>
        <w:tc>
          <w:tcPr>
            <w:tcW w:w="271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6生态环境与生命关怀模块课程</w:t>
            </w:r>
          </w:p>
        </w:tc>
        <w:tc>
          <w:tcPr>
            <w:tcW w:w="71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w:t>
            </w:r>
          </w:p>
        </w:tc>
        <w:tc>
          <w:tcPr>
            <w:tcW w:w="71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w:t>
            </w: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91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69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2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8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24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275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45" w:hRule="atLeast"/>
        </w:trPr>
        <w:tc>
          <w:tcPr>
            <w:tcW w:w="271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7艺术创作与审美体验模块课程</w:t>
            </w:r>
          </w:p>
        </w:tc>
        <w:tc>
          <w:tcPr>
            <w:tcW w:w="71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w:t>
            </w:r>
          </w:p>
        </w:tc>
        <w:tc>
          <w:tcPr>
            <w:tcW w:w="71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w:t>
            </w: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91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69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2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8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24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275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45" w:hRule="atLeast"/>
        </w:trPr>
        <w:tc>
          <w:tcPr>
            <w:tcW w:w="271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大学生国家安全教育</w:t>
            </w:r>
          </w:p>
        </w:tc>
        <w:tc>
          <w:tcPr>
            <w:tcW w:w="71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1</w:t>
            </w:r>
          </w:p>
        </w:tc>
        <w:tc>
          <w:tcPr>
            <w:tcW w:w="71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w:t>
            </w:r>
          </w:p>
        </w:tc>
        <w:tc>
          <w:tcPr>
            <w:tcW w:w="70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必修</w:t>
            </w:r>
          </w:p>
        </w:tc>
        <w:tc>
          <w:tcPr>
            <w:tcW w:w="164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GESS10001</w:t>
            </w:r>
          </w:p>
        </w:tc>
        <w:tc>
          <w:tcPr>
            <w:tcW w:w="91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69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2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8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246"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275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bl>
    <w:p>
      <w:pPr>
        <w:spacing w:after="0"/>
        <w:ind w:left="0"/>
        <w:jc w:val="left"/>
      </w:pPr>
      <w:r>
        <w:rPr>
          <w:rFonts w:ascii="SimSun" w:hAnsi="SimSun"/>
          <w:b w:val="false"/>
          <w:i w:val="false"/>
          <w:color w:val="000000"/>
          <w:sz w:val="21"/>
        </w:rPr>
        <w:t>2. 专项教育课程（16学分）</w:t>
      </w:r>
    </w:p>
    <w:p>
      <w:pPr>
        <w:spacing w:after="0"/>
        <w:ind w:left="0"/>
        <w:jc w:val="left"/>
      </w:pPr>
      <w:r>
        <w:rPr>
          <w:rFonts w:ascii="SimSun" w:hAnsi="SimSun"/>
          <w:b w:val="false"/>
          <w:i w:val="false"/>
          <w:color w:val="000000"/>
          <w:sz w:val="21"/>
        </w:rPr>
        <w:t xml:space="preserve">  要求修读16学分。</w:t>
      </w:r>
    </w:p>
    <w:tbl>
      <w:tblPr>
        <w:tblW w:w="0" w:type="auto"/>
        <w:tblCellSpacing w:w="0" w:type="auto"/>
        <w:tblInd w:w="115" w:type="dxa"/>
        <w:tblBorders>
          <w:top w:val="single" w:color="000000" w:sz="8"/>
          <w:left w:val="single" w:color="000000" w:sz="8"/>
          <w:bottom w:val="none"/>
          <w:right w:val="none"/>
          <w:insideH w:val="none"/>
          <w:insideV w:val="none"/>
        </w:tblBorders>
      </w:tblPr>
      <w:tblGrid>
        <w:gridCol w:w="2975"/>
        <w:gridCol w:w="723"/>
        <w:gridCol w:w="724"/>
        <w:gridCol w:w="609"/>
        <w:gridCol w:w="1268"/>
        <w:gridCol w:w="934"/>
        <w:gridCol w:w="709"/>
        <w:gridCol w:w="737"/>
        <w:gridCol w:w="794"/>
        <w:gridCol w:w="1268"/>
        <w:gridCol w:w="2893"/>
      </w:tblGrid>
      <w:tr>
        <w:trPr>
          <w:trHeight w:val="45" w:hRule="atLeast"/>
        </w:trPr>
        <w:tc>
          <w:tcPr>
            <w:tcW w:w="297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复旦大学英语水平测试</w:t>
            </w:r>
          </w:p>
        </w:tc>
        <w:tc>
          <w:tcPr>
            <w:tcW w:w="72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0</w:t>
            </w:r>
          </w:p>
        </w:tc>
        <w:tc>
          <w:tcPr>
            <w:tcW w:w="72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60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必考</w:t>
            </w:r>
          </w:p>
        </w:tc>
        <w:tc>
          <w:tcPr>
            <w:tcW w:w="126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93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0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3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9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26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289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45" w:hRule="atLeast"/>
        </w:trPr>
        <w:tc>
          <w:tcPr>
            <w:tcW w:w="297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大学英语基础课程</w:t>
            </w:r>
          </w:p>
        </w:tc>
        <w:tc>
          <w:tcPr>
            <w:tcW w:w="72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0~2</w:t>
            </w:r>
          </w:p>
        </w:tc>
        <w:tc>
          <w:tcPr>
            <w:tcW w:w="724"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4</w:t>
            </w:r>
          </w:p>
        </w:tc>
        <w:tc>
          <w:tcPr>
            <w:tcW w:w="609"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4</w:t>
            </w:r>
          </w:p>
        </w:tc>
        <w:tc>
          <w:tcPr>
            <w:tcW w:w="1268"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见大学外语课程列表</w:t>
            </w:r>
          </w:p>
        </w:tc>
        <w:tc>
          <w:tcPr>
            <w:tcW w:w="93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0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3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94"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1~2</w:t>
            </w:r>
          </w:p>
        </w:tc>
        <w:tc>
          <w:tcPr>
            <w:tcW w:w="126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289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45" w:hRule="atLeast"/>
        </w:trPr>
        <w:tc>
          <w:tcPr>
            <w:tcW w:w="297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大学英语进阶课程</w:t>
            </w:r>
          </w:p>
        </w:tc>
        <w:tc>
          <w:tcPr>
            <w:tcW w:w="723"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w:t>
            </w: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93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0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3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0" w:type="auto"/>
            <w:vMerge/>
            <w:tcBorders>
              <w:top w:val="nil"/>
              <w:bottom w:val="single" w:color="000000" w:sz="8"/>
              <w:right w:val="single" w:color="000000" w:sz="8"/>
            </w:tcBorders>
          </w:tcPr>
          <w:p/>
        </w:tc>
        <w:tc>
          <w:tcPr>
            <w:tcW w:w="126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289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45" w:hRule="atLeast"/>
        </w:trPr>
        <w:tc>
          <w:tcPr>
            <w:tcW w:w="297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大学英语高阶课程</w:t>
            </w: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93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0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3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0" w:type="auto"/>
            <w:vMerge/>
            <w:tcBorders>
              <w:top w:val="nil"/>
              <w:bottom w:val="single" w:color="000000" w:sz="8"/>
              <w:right w:val="single" w:color="000000" w:sz="8"/>
            </w:tcBorders>
          </w:tcPr>
          <w:p/>
        </w:tc>
        <w:tc>
          <w:tcPr>
            <w:tcW w:w="126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289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45" w:hRule="atLeast"/>
        </w:trPr>
        <w:tc>
          <w:tcPr>
            <w:tcW w:w="297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第二外语课程</w:t>
            </w:r>
          </w:p>
        </w:tc>
        <w:tc>
          <w:tcPr>
            <w:tcW w:w="72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0~2</w:t>
            </w: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93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0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3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0" w:type="auto"/>
            <w:vMerge/>
            <w:tcBorders>
              <w:top w:val="nil"/>
              <w:bottom w:val="single" w:color="000000" w:sz="8"/>
              <w:right w:val="single" w:color="000000" w:sz="8"/>
            </w:tcBorders>
          </w:tcPr>
          <w:p/>
        </w:tc>
        <w:tc>
          <w:tcPr>
            <w:tcW w:w="126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289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45" w:hRule="atLeast"/>
        </w:trPr>
        <w:tc>
          <w:tcPr>
            <w:tcW w:w="297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人工智能AI-B（B0类课程）</w:t>
            </w:r>
          </w:p>
        </w:tc>
        <w:tc>
          <w:tcPr>
            <w:tcW w:w="72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0~1</w:t>
            </w:r>
          </w:p>
        </w:tc>
        <w:tc>
          <w:tcPr>
            <w:tcW w:w="72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0~1</w:t>
            </w:r>
          </w:p>
        </w:tc>
        <w:tc>
          <w:tcPr>
            <w:tcW w:w="60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选修</w:t>
            </w:r>
          </w:p>
        </w:tc>
        <w:tc>
          <w:tcPr>
            <w:tcW w:w="126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见人工智能课程列表</w:t>
            </w:r>
          </w:p>
        </w:tc>
        <w:tc>
          <w:tcPr>
            <w:tcW w:w="93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0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3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9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1</w:t>
            </w:r>
          </w:p>
        </w:tc>
        <w:tc>
          <w:tcPr>
            <w:tcW w:w="126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289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建议无编程基础者必修</w:t>
            </w:r>
          </w:p>
        </w:tc>
      </w:tr>
      <w:tr>
        <w:trPr>
          <w:trHeight w:val="45" w:hRule="atLeast"/>
        </w:trPr>
        <w:tc>
          <w:tcPr>
            <w:tcW w:w="297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人工智能AI-B（B1类课程）</w:t>
            </w:r>
          </w:p>
        </w:tc>
        <w:tc>
          <w:tcPr>
            <w:tcW w:w="72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3</w:t>
            </w:r>
          </w:p>
        </w:tc>
        <w:tc>
          <w:tcPr>
            <w:tcW w:w="72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3</w:t>
            </w:r>
          </w:p>
        </w:tc>
        <w:tc>
          <w:tcPr>
            <w:tcW w:w="60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必修</w:t>
            </w:r>
          </w:p>
        </w:tc>
        <w:tc>
          <w:tcPr>
            <w:tcW w:w="126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93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0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3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9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w:t>
            </w:r>
          </w:p>
        </w:tc>
        <w:tc>
          <w:tcPr>
            <w:tcW w:w="126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289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45" w:hRule="atLeast"/>
        </w:trPr>
        <w:tc>
          <w:tcPr>
            <w:tcW w:w="297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体育课程</w:t>
            </w:r>
          </w:p>
        </w:tc>
        <w:tc>
          <w:tcPr>
            <w:tcW w:w="72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4</w:t>
            </w:r>
          </w:p>
        </w:tc>
        <w:tc>
          <w:tcPr>
            <w:tcW w:w="72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8</w:t>
            </w:r>
          </w:p>
        </w:tc>
        <w:tc>
          <w:tcPr>
            <w:tcW w:w="60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必修</w:t>
            </w:r>
          </w:p>
        </w:tc>
        <w:tc>
          <w:tcPr>
            <w:tcW w:w="126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见体育课程列表</w:t>
            </w:r>
          </w:p>
        </w:tc>
        <w:tc>
          <w:tcPr>
            <w:tcW w:w="93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0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3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9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1~4</w:t>
            </w:r>
          </w:p>
        </w:tc>
        <w:tc>
          <w:tcPr>
            <w:tcW w:w="126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289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45" w:hRule="atLeast"/>
        </w:trPr>
        <w:tc>
          <w:tcPr>
            <w:tcW w:w="297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军事理论</w:t>
            </w:r>
          </w:p>
        </w:tc>
        <w:tc>
          <w:tcPr>
            <w:tcW w:w="72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w:t>
            </w:r>
          </w:p>
        </w:tc>
        <w:tc>
          <w:tcPr>
            <w:tcW w:w="72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w:t>
            </w:r>
          </w:p>
        </w:tc>
        <w:tc>
          <w:tcPr>
            <w:tcW w:w="60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必修</w:t>
            </w:r>
          </w:p>
        </w:tc>
        <w:tc>
          <w:tcPr>
            <w:tcW w:w="126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见军事理论</w:t>
            </w:r>
          </w:p>
        </w:tc>
        <w:tc>
          <w:tcPr>
            <w:tcW w:w="93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0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3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9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w:t>
            </w:r>
          </w:p>
        </w:tc>
        <w:tc>
          <w:tcPr>
            <w:tcW w:w="126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289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45" w:hRule="atLeast"/>
        </w:trPr>
        <w:tc>
          <w:tcPr>
            <w:tcW w:w="297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军事技能</w:t>
            </w:r>
          </w:p>
        </w:tc>
        <w:tc>
          <w:tcPr>
            <w:tcW w:w="72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w:t>
            </w:r>
          </w:p>
        </w:tc>
        <w:tc>
          <w:tcPr>
            <w:tcW w:w="72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60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必修</w:t>
            </w:r>
          </w:p>
        </w:tc>
        <w:tc>
          <w:tcPr>
            <w:tcW w:w="126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见军事技能</w:t>
            </w:r>
          </w:p>
        </w:tc>
        <w:tc>
          <w:tcPr>
            <w:tcW w:w="93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0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3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9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26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289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r>
      <w:tr>
        <w:trPr>
          <w:trHeight w:val="45" w:hRule="atLeast"/>
        </w:trPr>
        <w:tc>
          <w:tcPr>
            <w:tcW w:w="297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心理健康教育</w:t>
            </w:r>
          </w:p>
        </w:tc>
        <w:tc>
          <w:tcPr>
            <w:tcW w:w="72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1~2</w:t>
            </w:r>
          </w:p>
        </w:tc>
        <w:tc>
          <w:tcPr>
            <w:tcW w:w="72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60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必选</w:t>
            </w:r>
          </w:p>
        </w:tc>
        <w:tc>
          <w:tcPr>
            <w:tcW w:w="126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见专项教育课程心理健康教育部分</w:t>
            </w:r>
          </w:p>
        </w:tc>
        <w:tc>
          <w:tcPr>
            <w:tcW w:w="93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0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3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9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1~2</w:t>
            </w:r>
          </w:p>
        </w:tc>
        <w:tc>
          <w:tcPr>
            <w:tcW w:w="126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289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总学时不少于32学时</w:t>
            </w:r>
          </w:p>
        </w:tc>
      </w:tr>
      <w:tr>
        <w:trPr>
          <w:trHeight w:val="45" w:hRule="atLeast"/>
        </w:trPr>
        <w:tc>
          <w:tcPr>
            <w:tcW w:w="297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实验室安全教育</w:t>
            </w:r>
          </w:p>
        </w:tc>
        <w:tc>
          <w:tcPr>
            <w:tcW w:w="72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72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60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必修</w:t>
            </w:r>
          </w:p>
        </w:tc>
        <w:tc>
          <w:tcPr>
            <w:tcW w:w="126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见专项教育课程实验室安全教育部分</w:t>
            </w:r>
          </w:p>
        </w:tc>
        <w:tc>
          <w:tcPr>
            <w:tcW w:w="93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09"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37"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79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268"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2893"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累计不少于16学时</w:t>
            </w: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(一) 通识教育课程</w:t>
      </w:r>
      <w:r>
        <w:rPr>
          <w:rFonts w:ascii="SimSun" w:hAnsi="SimSun"/>
          <w:b/>
          <w:i w:val="false"/>
          <w:color w:val="000000"/>
          <w:sz w:val="21"/>
        </w:rPr>
        <w:t>（44学分,本科要求42学分）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(二) 专业培养课程</w:t>
      </w:r>
      <w:r>
        <w:rPr>
          <w:rFonts w:ascii="SimSun" w:hAnsi="SimSun"/>
          <w:b/>
          <w:i w:val="false"/>
          <w:color w:val="000000"/>
          <w:sz w:val="21"/>
        </w:rPr>
        <w:t>（69学分,本科要求60学分）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专业培养课程包括学科基础课程和专业核心教育课程。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学科基础课程</w:t>
      </w:r>
      <w:r>
        <w:rPr>
          <w:rFonts w:ascii="SimSun" w:hAnsi="SimSun"/>
          <w:b/>
          <w:i w:val="false"/>
          <w:color w:val="000000"/>
          <w:sz w:val="21"/>
        </w:rPr>
        <w:t>（30学分,本科要求30学分）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工学基础课程</w:t>
      </w:r>
      <w:r>
        <w:rPr>
          <w:rFonts w:ascii="SimSun" w:hAnsi="SimSun"/>
          <w:b/>
          <w:i w:val="false"/>
          <w:color w:val="000000"/>
          <w:sz w:val="21"/>
        </w:rPr>
        <w:t>（30学分）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数学分析BⅠ</w:t>
            </w:r>
            <w:r>
              <w:br/>
            </w:r>
            <w:r>
              <w:br/>
            </w:r>
            <w:r>
              <w:rPr>
                <w:rFonts w:ascii="SimSun" w:hAnsi="SimSun"/>
                <w:b w:val="false"/>
                <w:i w:val="false"/>
                <w:color w:val="000000"/>
                <w:sz w:val="21"/>
              </w:rPr>
              <w:t>Mathematical Analysis BⅠ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数学分析BⅡ</w:t>
            </w:r>
            <w:r>
              <w:br/>
            </w:r>
            <w:r>
              <w:br/>
            </w:r>
            <w:r>
              <w:rPr>
                <w:rFonts w:ascii="SimSun" w:hAnsi="SimSun"/>
                <w:b w:val="false"/>
                <w:i w:val="false"/>
                <w:color w:val="000000"/>
                <w:sz w:val="21"/>
              </w:rPr>
              <w:t>Mathematical Analysis BⅡ</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线性代数</w:t>
            </w:r>
            <w:r>
              <w:br/>
            </w:r>
            <w:r>
              <w:br/>
            </w:r>
            <w:r>
              <w:rPr>
                <w:rFonts w:ascii="SimSun" w:hAnsi="SimSun"/>
                <w:b w:val="false"/>
                <w:i w:val="false"/>
                <w:color w:val="000000"/>
                <w:sz w:val="21"/>
              </w:rPr>
              <w:t>Linear Algebra</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CS10003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大学物理B(上)</w:t>
            </w:r>
            <w:r>
              <w:br/>
            </w:r>
            <w:r>
              <w:br/>
            </w:r>
            <w:r>
              <w:rPr>
                <w:rFonts w:ascii="SimSun" w:hAnsi="SimSun"/>
                <w:b w:val="false"/>
                <w:i w:val="false"/>
                <w:color w:val="000000"/>
                <w:sz w:val="21"/>
              </w:rPr>
              <w:t>College Physics B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大学物理B(下)</w:t>
            </w:r>
            <w:r>
              <w:br/>
            </w:r>
            <w:r>
              <w:br/>
            </w:r>
            <w:r>
              <w:rPr>
                <w:rFonts w:ascii="SimSun" w:hAnsi="SimSun"/>
                <w:b w:val="false"/>
                <w:i w:val="false"/>
                <w:color w:val="000000"/>
                <w:sz w:val="21"/>
              </w:rPr>
              <w:t>College Physics B II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基础物理实验</w:t>
            </w:r>
            <w:r>
              <w:br/>
            </w:r>
            <w:r>
              <w:br/>
            </w:r>
            <w:r>
              <w:rPr>
                <w:rFonts w:ascii="SimSun" w:hAnsi="SimSun"/>
                <w:b w:val="false"/>
                <w:i w:val="false"/>
                <w:color w:val="000000"/>
                <w:sz w:val="21"/>
              </w:rPr>
              <w:t>Fundamental Physics Experiments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程序设计</w:t>
            </w:r>
            <w:r>
              <w:br/>
            </w:r>
            <w:r>
              <w:br/>
            </w:r>
            <w:r>
              <w:rPr>
                <w:rFonts w:ascii="SimSun" w:hAnsi="SimSun"/>
                <w:b w:val="false"/>
                <w:i w:val="false"/>
                <w:color w:val="000000"/>
                <w:sz w:val="21"/>
              </w:rPr>
              <w:t>Programming</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CS10004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电子系统导论</w:t>
            </w:r>
            <w:r>
              <w:br/>
            </w:r>
            <w:r>
              <w:br/>
            </w:r>
            <w:r>
              <w:rPr>
                <w:rFonts w:ascii="SimSun" w:hAnsi="SimSun"/>
                <w:b w:val="false"/>
                <w:i w:val="false"/>
                <w:color w:val="000000"/>
                <w:sz w:val="21"/>
              </w:rPr>
              <w:t>Introduction to Electronic Systems</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EST10003</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专业核心教育课程</w:t>
      </w:r>
      <w:r>
        <w:rPr>
          <w:rFonts w:ascii="SimSun" w:hAnsi="SimSun"/>
          <w:b/>
          <w:i w:val="false"/>
          <w:color w:val="000000"/>
          <w:sz w:val="21"/>
        </w:rPr>
        <w:t>（39学分,本科要求30学分）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要求修读39学分（选修荣誉课程学分数每门加1分），其中研究生基础课9学分。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数字逻辑基础</w:t>
            </w:r>
            <w:r>
              <w:br/>
            </w:r>
            <w:r>
              <w:br/>
            </w:r>
            <w:r>
              <w:rPr>
                <w:rFonts w:ascii="SimSun" w:hAnsi="SimSun"/>
                <w:b w:val="false"/>
                <w:i w:val="false"/>
                <w:color w:val="000000"/>
                <w:sz w:val="21"/>
              </w:rPr>
              <w:t>Fundamentals of Digital Logic</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EST20013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模拟电子学基础</w:t>
            </w:r>
            <w:r>
              <w:br/>
            </w:r>
            <w:r>
              <w:br/>
            </w:r>
            <w:r>
              <w:rPr>
                <w:rFonts w:ascii="SimSun" w:hAnsi="SimSun"/>
                <w:b w:val="false"/>
                <w:i w:val="false"/>
                <w:color w:val="000000"/>
                <w:sz w:val="21"/>
              </w:rPr>
              <w:t>Analog Electronics Foundation Course</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EST20012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概率、数理统计与随机过程</w:t>
            </w:r>
            <w:r>
              <w:br/>
            </w:r>
            <w:r>
              <w:br/>
            </w:r>
            <w:r>
              <w:rPr>
                <w:rFonts w:ascii="SimSun" w:hAnsi="SimSun"/>
                <w:b w:val="false"/>
                <w:i w:val="false"/>
                <w:color w:val="000000"/>
                <w:sz w:val="21"/>
              </w:rPr>
              <w:t>Probability, Mathematical Statistics and Stochastic Process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EST20002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工程数学</w:t>
            </w:r>
            <w:r>
              <w:br/>
            </w:r>
            <w:r>
              <w:br/>
            </w:r>
            <w:r>
              <w:rPr>
                <w:rFonts w:ascii="SimSun" w:hAnsi="SimSun"/>
                <w:b w:val="false"/>
                <w:i w:val="false"/>
                <w:color w:val="000000"/>
                <w:sz w:val="21"/>
              </w:rPr>
              <w:t>Engineering Mathematics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EST20006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高频电子线路B</w:t>
            </w:r>
            <w:r>
              <w:br/>
            </w:r>
            <w:r>
              <w:br/>
            </w:r>
            <w:r>
              <w:rPr>
                <w:rFonts w:ascii="SimSun" w:hAnsi="SimSun"/>
                <w:b w:val="false"/>
                <w:i w:val="false"/>
                <w:color w:val="000000"/>
                <w:sz w:val="21"/>
              </w:rPr>
              <w:t>High Frequency Circuits B</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EST20005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可选荣誉课程《高频与射频电子学（H）》</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信号与通信系统</w:t>
            </w:r>
            <w:r>
              <w:br/>
            </w:r>
            <w:r>
              <w:br/>
            </w:r>
            <w:r>
              <w:rPr>
                <w:rFonts w:ascii="SimSun" w:hAnsi="SimSun"/>
                <w:b w:val="false"/>
                <w:i w:val="false"/>
                <w:color w:val="000000"/>
                <w:sz w:val="21"/>
              </w:rPr>
              <w:t>Signal and Communication System</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EST20004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可选荣誉课程《信号与通信系统（H）》</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信息论基础</w:t>
            </w:r>
            <w:r>
              <w:br/>
            </w:r>
            <w:r>
              <w:br/>
            </w:r>
            <w:r>
              <w:rPr>
                <w:rFonts w:ascii="SimSun" w:hAnsi="SimSun"/>
                <w:b w:val="false"/>
                <w:i w:val="false"/>
                <w:color w:val="000000"/>
                <w:sz w:val="21"/>
              </w:rPr>
              <w:t>Elements of Information Theory</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EST20008</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可选荣誉课程《信息论（H）》</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数字信号处理A</w:t>
            </w:r>
            <w:r>
              <w:br/>
            </w:r>
            <w:r>
              <w:br/>
            </w:r>
            <w:r>
              <w:rPr>
                <w:rFonts w:ascii="SimSun" w:hAnsi="SimSun"/>
                <w:b w:val="false"/>
                <w:i w:val="false"/>
                <w:color w:val="000000"/>
                <w:sz w:val="21"/>
              </w:rPr>
              <w:t>Introduction to Digital Signal Processing A</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EST30002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可选荣誉课程《数字信号处理（H）》</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计算机体系结构</w:t>
            </w:r>
            <w:r>
              <w:br/>
            </w:r>
            <w:r>
              <w:br/>
            </w:r>
            <w:r>
              <w:rPr>
                <w:rFonts w:ascii="SimSun" w:hAnsi="SimSun"/>
                <w:b w:val="false"/>
                <w:i w:val="false"/>
                <w:color w:val="000000"/>
                <w:sz w:val="21"/>
              </w:rPr>
              <w:t>Computer Architecture</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EST30005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可选荣誉课程《计算机原理与体系结构（H）》</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自动控制原理</w:t>
            </w:r>
            <w:r>
              <w:br/>
            </w:r>
            <w:r>
              <w:br/>
            </w:r>
            <w:r>
              <w:rPr>
                <w:rFonts w:ascii="SimSun" w:hAnsi="SimSun"/>
                <w:b w:val="false"/>
                <w:i w:val="false"/>
                <w:color w:val="000000"/>
                <w:sz w:val="21"/>
              </w:rPr>
              <w:t>Automatic Control Theory</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EST30003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可选荣誉课程《自动控制原理（H）》</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统计信号处理</w:t>
            </w:r>
            <w:r>
              <w:br/>
            </w:r>
            <w:r>
              <w:br/>
            </w:r>
            <w:r>
              <w:rPr>
                <w:rFonts w:ascii="SimSun" w:hAnsi="SimSun"/>
                <w:b w:val="false"/>
                <w:i w:val="false"/>
                <w:color w:val="000000"/>
                <w:sz w:val="21"/>
              </w:rPr>
              <w:t>Statistical Signal Processing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EST40023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最优化理论与方法</w:t>
            </w:r>
            <w:r>
              <w:br/>
            </w:r>
            <w:r>
              <w:br/>
            </w:r>
            <w:r>
              <w:rPr>
                <w:rFonts w:ascii="SimSun" w:hAnsi="SimSun"/>
                <w:b w:val="false"/>
                <w:i w:val="false"/>
                <w:color w:val="000000"/>
                <w:sz w:val="21"/>
              </w:rPr>
              <w:t>Optimization Theory and Methods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ICE60018</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本研学位基础课（三选二） </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应用随机过程</w:t>
            </w:r>
            <w:r>
              <w:br/>
            </w:r>
            <w:r>
              <w:br/>
            </w:r>
            <w:r>
              <w:rPr>
                <w:rFonts w:ascii="SimSun" w:hAnsi="SimSun"/>
                <w:b w:val="false"/>
                <w:i w:val="false"/>
                <w:color w:val="000000"/>
                <w:sz w:val="21"/>
              </w:rPr>
              <w:t>Applied Stochastic Processes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EST40031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本研学位基础课（三选二） </w:t>
            </w: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矩阵分析</w:t>
            </w:r>
            <w:r>
              <w:br/>
            </w:r>
            <w:r>
              <w:br/>
            </w:r>
            <w:r>
              <w:rPr>
                <w:rFonts w:ascii="SimSun" w:hAnsi="SimSun"/>
                <w:b w:val="false"/>
                <w:i w:val="false"/>
                <w:color w:val="000000"/>
                <w:sz w:val="21"/>
              </w:rPr>
              <w:t>Matrix Analysis</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ICE60016</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2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本研学位基础课（三选二） </w:t>
            </w: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(三) 多元发展课程</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包括专业进阶路径、荣誉项目、跨学科发展路径、博硕双学位项目，要求在院系专业导师指导下选择1条发展路径，按路径要求修读课程。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专业进阶路径</w:t>
      </w:r>
      <w:r>
        <w:rPr>
          <w:rFonts w:ascii="SimSun" w:hAnsi="SimSun"/>
          <w:b/>
          <w:i w:val="false"/>
          <w:color w:val="000000"/>
          <w:sz w:val="21"/>
        </w:rPr>
        <w:t>（32学分）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修满32学分。要求在本专业专业进阶模块I修读18学分（研究生课程不少于9学分）、专业进阶模块II修读14学分（研究生课程不少于10学分）。专业进阶模块I若有多修读学分，其可替代专业进阶模块II学分。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专业进阶模块</w:t>
      </w:r>
      <w:r>
        <w:rPr>
          <w:rFonts w:ascii="SimSun" w:hAnsi="SimSun"/>
          <w:b/>
          <w:i w:val="false"/>
          <w:color w:val="000000"/>
          <w:sz w:val="21"/>
        </w:rPr>
        <w:t>（32学分,本科要求15学分）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a) 专业进阶模块I</w:t>
      </w:r>
      <w:r>
        <w:rPr>
          <w:rFonts w:ascii="SimSun" w:hAnsi="SimSun"/>
          <w:b/>
          <w:i w:val="false"/>
          <w:color w:val="000000"/>
          <w:sz w:val="21"/>
        </w:rPr>
        <w:t>（18学分,本科要求9学分）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可编程器件与硬件描述语言</w:t>
            </w:r>
            <w:r>
              <w:br/>
            </w:r>
            <w:r>
              <w:br/>
            </w:r>
            <w:r>
              <w:rPr>
                <w:rFonts w:ascii="SimSun" w:hAnsi="SimSun"/>
                <w:b w:val="false"/>
                <w:i w:val="false"/>
                <w:color w:val="000000"/>
                <w:sz w:val="21"/>
              </w:rPr>
              <w:t>Programmable Logic Device and Hardware Description Language</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EST50013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信号检测与估计基础</w:t>
            </w:r>
            <w:r>
              <w:br/>
            </w:r>
            <w:r>
              <w:br/>
            </w:r>
            <w:r>
              <w:rPr>
                <w:rFonts w:ascii="SimSun" w:hAnsi="SimSun"/>
                <w:b w:val="false"/>
                <w:i w:val="false"/>
                <w:color w:val="000000"/>
                <w:sz w:val="21"/>
              </w:rPr>
              <w:t>Signal Detection and Estimation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EST50014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电磁场与电磁波</w:t>
            </w:r>
            <w:r>
              <w:br/>
            </w:r>
            <w:r>
              <w:br/>
            </w:r>
            <w:r>
              <w:rPr>
                <w:rFonts w:ascii="SimSun" w:hAnsi="SimSun"/>
                <w:b w:val="false"/>
                <w:i w:val="false"/>
                <w:color w:val="000000"/>
                <w:sz w:val="21"/>
              </w:rPr>
              <w:t xml:space="preserve">Electromagnetic Field and Wave </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ICE50009</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数据结构</w:t>
            </w:r>
            <w:r>
              <w:br/>
            </w:r>
            <w:r>
              <w:br/>
            </w:r>
            <w:r>
              <w:rPr>
                <w:rFonts w:ascii="SimSun" w:hAnsi="SimSun"/>
                <w:b w:val="false"/>
                <w:i w:val="false"/>
                <w:color w:val="000000"/>
                <w:sz w:val="21"/>
              </w:rPr>
              <w:t>Data Structure</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EST50016</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可选荣誉课程《数据结构与算法设计（H）》</w:t>
            </w: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 xml:space="preserve"> 研究生学位专业课</w:t>
      </w:r>
      <w:r>
        <w:rPr>
          <w:rFonts w:ascii="SimSun" w:hAnsi="SimSun"/>
          <w:b/>
          <w:i w:val="false"/>
          <w:color w:val="000000"/>
          <w:sz w:val="21"/>
        </w:rPr>
        <w:t>（9学分）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数字通信基础</w:t>
            </w:r>
            <w:r>
              <w:br/>
            </w:r>
            <w:r>
              <w:br/>
            </w:r>
            <w:r>
              <w:rPr>
                <w:rFonts w:ascii="SimSun" w:hAnsi="SimSun"/>
                <w:b w:val="false"/>
                <w:i w:val="false"/>
                <w:color w:val="000000"/>
                <w:sz w:val="21"/>
              </w:rPr>
              <w:t>Fundanmentals of Digital Communications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ICE60002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图像处理与机器视觉</w:t>
            </w:r>
            <w:r>
              <w:br/>
            </w:r>
            <w:r>
              <w:br/>
            </w:r>
            <w:r>
              <w:rPr>
                <w:rFonts w:ascii="SimSun" w:hAnsi="SimSun"/>
                <w:b w:val="false"/>
                <w:i w:val="false"/>
                <w:color w:val="000000"/>
                <w:sz w:val="21"/>
              </w:rPr>
              <w:t>Image Processing and Machine Vision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EST60008</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现代智能控制理论</w:t>
            </w:r>
            <w:r>
              <w:br/>
            </w:r>
            <w:r>
              <w:br/>
            </w:r>
            <w:r>
              <w:rPr>
                <w:rFonts w:ascii="SimSun" w:hAnsi="SimSun"/>
                <w:b w:val="false"/>
                <w:i w:val="false"/>
                <w:color w:val="000000"/>
                <w:sz w:val="21"/>
              </w:rPr>
              <w:t>Modern Intelligent Control Theory</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EST60014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网络动力学</w:t>
            </w:r>
            <w:r>
              <w:br/>
            </w:r>
            <w:r>
              <w:br/>
            </w:r>
            <w:r>
              <w:rPr>
                <w:rFonts w:ascii="SimSun" w:hAnsi="SimSun"/>
                <w:b w:val="false"/>
                <w:i w:val="false"/>
                <w:color w:val="000000"/>
                <w:sz w:val="21"/>
              </w:rPr>
              <w:t>Network Dynamics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EST60017</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机器学习</w:t>
            </w:r>
            <w:r>
              <w:br/>
            </w:r>
            <w:r>
              <w:br/>
            </w:r>
            <w:r>
              <w:rPr>
                <w:rFonts w:ascii="SimSun" w:hAnsi="SimSun"/>
                <w:b w:val="false"/>
                <w:i w:val="false"/>
                <w:color w:val="000000"/>
                <w:sz w:val="21"/>
              </w:rPr>
              <w:t>Machine Learning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EST70011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数据融合的理论及方法</w:t>
            </w:r>
            <w:r>
              <w:br/>
            </w:r>
            <w:r>
              <w:br/>
            </w:r>
            <w:r>
              <w:rPr>
                <w:rFonts w:ascii="SimSun" w:hAnsi="SimSun"/>
                <w:b w:val="false"/>
                <w:i w:val="false"/>
                <w:color w:val="000000"/>
                <w:sz w:val="21"/>
              </w:rPr>
              <w:t>Theory and Methods of Data Fusion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EST70040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神经网络及应用</w:t>
            </w:r>
            <w:r>
              <w:br/>
            </w:r>
            <w:r>
              <w:br/>
            </w:r>
            <w:r>
              <w:rPr>
                <w:rFonts w:ascii="SimSun" w:hAnsi="SimSun"/>
                <w:b w:val="false"/>
                <w:i w:val="false"/>
                <w:color w:val="000000"/>
                <w:sz w:val="21"/>
              </w:rPr>
              <w:t>Theory and Application of Neural Networks</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EST60021</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2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b) 专业进阶模块II</w:t>
      </w:r>
      <w:r>
        <w:rPr>
          <w:rFonts w:ascii="SimSun" w:hAnsi="SimSun"/>
          <w:b/>
          <w:i w:val="false"/>
          <w:color w:val="000000"/>
          <w:sz w:val="21"/>
        </w:rPr>
        <w:t>（14学分）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电工实验</w:t>
            </w:r>
            <w:r>
              <w:br/>
            </w:r>
            <w:r>
              <w:br/>
            </w:r>
            <w:r>
              <w:rPr>
                <w:rFonts w:ascii="SimSun" w:hAnsi="SimSun"/>
                <w:b w:val="false"/>
                <w:i w:val="false"/>
                <w:color w:val="000000"/>
                <w:sz w:val="21"/>
              </w:rPr>
              <w:t>Electronic Experiments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EST40006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电子系统设计</w:t>
            </w:r>
            <w:r>
              <w:br/>
            </w:r>
            <w:r>
              <w:br/>
            </w:r>
            <w:r>
              <w:rPr>
                <w:rFonts w:ascii="SimSun" w:hAnsi="SimSun"/>
                <w:b w:val="false"/>
                <w:i w:val="false"/>
                <w:color w:val="000000"/>
                <w:sz w:val="21"/>
              </w:rPr>
              <w:t>Electronic System Design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EST50012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数字图像处理B</w:t>
            </w:r>
            <w:r>
              <w:br/>
            </w:r>
            <w:r>
              <w:br/>
            </w:r>
            <w:r>
              <w:rPr>
                <w:rFonts w:ascii="SimSun" w:hAnsi="SimSun"/>
                <w:b w:val="false"/>
                <w:i w:val="false"/>
                <w:color w:val="000000"/>
                <w:sz w:val="21"/>
              </w:rPr>
              <w:t>Digital Image Processing B</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ICE40003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多媒体技术</w:t>
            </w:r>
            <w:r>
              <w:br/>
            </w:r>
            <w:r>
              <w:br/>
            </w:r>
            <w:r>
              <w:rPr>
                <w:rFonts w:ascii="SimSun" w:hAnsi="SimSun"/>
                <w:b w:val="false"/>
                <w:i w:val="false"/>
                <w:color w:val="000000"/>
                <w:sz w:val="21"/>
              </w:rPr>
              <w:t>Multimedia Technology</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EST40007</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通信编码原理与技术</w:t>
            </w:r>
            <w:r>
              <w:br/>
            </w:r>
            <w:r>
              <w:br/>
            </w:r>
            <w:r>
              <w:rPr>
                <w:rFonts w:ascii="SimSun" w:hAnsi="SimSun"/>
                <w:b w:val="false"/>
                <w:i w:val="false"/>
                <w:color w:val="000000"/>
                <w:sz w:val="21"/>
              </w:rPr>
              <w:t>Communication Code: Principle and Technology</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ICE50011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卫星与移动通信B</w:t>
            </w:r>
            <w:r>
              <w:br/>
            </w:r>
            <w:r>
              <w:br/>
            </w:r>
            <w:r>
              <w:rPr>
                <w:rFonts w:ascii="SimSun" w:hAnsi="SimSun"/>
                <w:b w:val="false"/>
                <w:i w:val="false"/>
                <w:color w:val="000000"/>
                <w:sz w:val="21"/>
              </w:rPr>
              <w:t>Satellite and Mobile Communication B</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ICE40004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智能系统设计</w:t>
            </w:r>
            <w:r>
              <w:br/>
            </w:r>
            <w:r>
              <w:br/>
            </w:r>
            <w:r>
              <w:rPr>
                <w:rFonts w:ascii="SimSun" w:hAnsi="SimSun"/>
                <w:b w:val="false"/>
                <w:i w:val="false"/>
                <w:color w:val="000000"/>
                <w:sz w:val="21"/>
              </w:rPr>
              <w:t>Intelligent System Design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EST40015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群体智能</w:t>
            </w:r>
            <w:r>
              <w:br/>
            </w:r>
            <w:r>
              <w:br/>
            </w:r>
            <w:r>
              <w:rPr>
                <w:rFonts w:ascii="SimSun" w:hAnsi="SimSun"/>
                <w:b w:val="false"/>
                <w:i w:val="false"/>
                <w:color w:val="000000"/>
                <w:sz w:val="21"/>
              </w:rPr>
              <w:t>Swarm Intelligence</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EST40016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智联网络系统</w:t>
            </w:r>
            <w:r>
              <w:br/>
            </w:r>
            <w:r>
              <w:br/>
            </w:r>
            <w:r>
              <w:rPr>
                <w:rFonts w:ascii="SimSun" w:hAnsi="SimSun"/>
                <w:b w:val="false"/>
                <w:i w:val="false"/>
                <w:color w:val="000000"/>
                <w:sz w:val="21"/>
              </w:rPr>
              <w:t>Networking Systems of AI</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EST30014</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 xml:space="preserve"> 研究生选修课</w:t>
      </w:r>
      <w:r>
        <w:rPr>
          <w:rFonts w:ascii="SimSun" w:hAnsi="SimSun"/>
          <w:b/>
          <w:i w:val="false"/>
          <w:color w:val="000000"/>
          <w:sz w:val="21"/>
        </w:rPr>
        <w:t>（10学分）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统计学习</w:t>
            </w:r>
            <w:r>
              <w:br/>
            </w:r>
            <w:r>
              <w:br/>
            </w:r>
            <w:r>
              <w:rPr>
                <w:rFonts w:ascii="SimSun" w:hAnsi="SimSun"/>
                <w:b w:val="false"/>
                <w:i w:val="false"/>
                <w:color w:val="000000"/>
                <w:sz w:val="21"/>
              </w:rPr>
              <w:t>Statistical Learning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EST70007</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遥感数字影像分析与解译</w:t>
            </w:r>
            <w:r>
              <w:br/>
            </w:r>
            <w:r>
              <w:br/>
            </w:r>
            <w:r>
              <w:rPr>
                <w:rFonts w:ascii="SimSun" w:hAnsi="SimSun"/>
                <w:b w:val="false"/>
                <w:i w:val="false"/>
                <w:color w:val="000000"/>
                <w:sz w:val="21"/>
              </w:rPr>
              <w:t>Remote Sensing Digital Image Analysis and Interpretation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EST70023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计算机工程</w:t>
            </w:r>
            <w:r>
              <w:br/>
            </w:r>
            <w:r>
              <w:br/>
            </w:r>
            <w:r>
              <w:rPr>
                <w:rFonts w:ascii="SimSun" w:hAnsi="SimSun"/>
                <w:b w:val="false"/>
                <w:i w:val="false"/>
                <w:color w:val="000000"/>
                <w:sz w:val="21"/>
              </w:rPr>
              <w:t>Computer Engineering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EST70008</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现代电子测量技术</w:t>
            </w:r>
            <w:r>
              <w:br/>
            </w:r>
            <w:r>
              <w:br/>
            </w:r>
            <w:r>
              <w:rPr>
                <w:rFonts w:ascii="SimSun" w:hAnsi="SimSun"/>
                <w:b w:val="false"/>
                <w:i w:val="false"/>
                <w:color w:val="000000"/>
                <w:sz w:val="21"/>
              </w:rPr>
              <w:t>Advanced Measurement Techniques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EST70013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线性自适应系统理论与控制</w:t>
            </w:r>
            <w:r>
              <w:br/>
            </w:r>
            <w:r>
              <w:br/>
            </w:r>
            <w:r>
              <w:rPr>
                <w:rFonts w:ascii="SimSun" w:hAnsi="SimSun"/>
                <w:b w:val="false"/>
                <w:i w:val="false"/>
                <w:color w:val="000000"/>
                <w:sz w:val="21"/>
              </w:rPr>
              <w:t>Theory and Control for Linear Adaptive Systems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EST70019</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先进工业过程控制讨论班</w:t>
            </w:r>
            <w:r>
              <w:br/>
            </w:r>
            <w:r>
              <w:br/>
            </w:r>
            <w:r>
              <w:rPr>
                <w:rFonts w:ascii="SimSun" w:hAnsi="SimSun"/>
                <w:b w:val="false"/>
                <w:i w:val="false"/>
                <w:color w:val="000000"/>
                <w:sz w:val="21"/>
              </w:rPr>
              <w:t>Advanced Industry Process Control</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38</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EST70027</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数字信息处理与传输（讨论班）</w:t>
            </w:r>
            <w:r>
              <w:br/>
            </w:r>
            <w:r>
              <w:br/>
            </w:r>
            <w:r>
              <w:rPr>
                <w:rFonts w:ascii="SimSun" w:hAnsi="SimSun"/>
                <w:b w:val="false"/>
                <w:i w:val="false"/>
                <w:color w:val="000000"/>
                <w:sz w:val="21"/>
              </w:rPr>
              <w:t>Processing and Transmission of Digital Information (Seminars)</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EST70015</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2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荣誉项目路径</w:t>
      </w:r>
      <w:r>
        <w:rPr>
          <w:rFonts w:ascii="SimSun" w:hAnsi="SimSun"/>
          <w:b/>
          <w:i w:val="false"/>
          <w:color w:val="000000"/>
          <w:sz w:val="21"/>
        </w:rPr>
        <w:t>（38学分）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38学分。要求修读荣誉课程不低于24学分（不少于6门课），且满足专业进阶模块I修读18学分（研究生课程不少于9学分）、专业进阶模块II修读14学分（研究生课程不少于10学分）。专业进阶模块I若有多修读学分，其可替代专业进阶模块II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3.  跨学科发展路径</w:t>
      </w:r>
      <w:r>
        <w:rPr>
          <w:rFonts w:ascii="SimSun" w:hAnsi="SimSun"/>
          <w:b/>
          <w:i w:val="false"/>
          <w:color w:val="000000"/>
          <w:sz w:val="21"/>
        </w:rPr>
        <w:t>（47学分）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47学分。要求在本专业进阶模块I修读18学分（研究生课程不少于9学分）、专业进阶模块II修读14学分（研究生课程不少于10学分）、1个非本专业独立开设的学程15学分。专业进阶模块I若有多修读学分，其可替代专业进阶模块II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4.  创新创业路径</w:t>
      </w:r>
      <w:r>
        <w:rPr>
          <w:rFonts w:ascii="SimSun" w:hAnsi="SimSun"/>
          <w:b/>
          <w:i w:val="false"/>
          <w:color w:val="000000"/>
          <w:sz w:val="21"/>
        </w:rPr>
        <w:t>（47学分）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47学分。要求在本专业进阶模块I修读18学分（研究生课程不少于9学分）、专业进阶模块II修读14学分（研究生课程不少于10学分）、1个创新创业学程15学分。专业进阶模块I若有多修读学分，其可替代专业进阶模块II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5.  辅修学士学位路径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其他</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(四) 融合创新能力</w:t>
      </w:r>
      <w:r>
        <w:rPr>
          <w:rFonts w:ascii="SimSun" w:hAnsi="SimSun"/>
          <w:b/>
          <w:i w:val="false"/>
          <w:color w:val="000000"/>
          <w:sz w:val="21"/>
        </w:rPr>
        <w:t>（26学分）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1. 全周期的科研训练体系，在1、2年级设立信息与通信领域前沿导论课和无学分讨论班，引导学生早进课题组轮转，培育兴趣。3年级通过2学期的科研实践训练，完成1项复芏计划（FDUROP）项目（䇹政、望道、登辉和曦源），激发创新志趣。
       </w:t>
      </w:r>
      <w:r>
        <w:br/>
      </w:r>
      <w:r>
        <w:rPr>
          <w:rFonts w:ascii="SimSun" w:hAnsi="SimSun"/>
          <w:b w:val="false"/>
          <w:i w:val="false"/>
          <w:color w:val="000000"/>
          <w:sz w:val="21"/>
        </w:rPr>
        <w:t xml:space="preserve">
       </w:t>
      </w:r>
      <w:r>
        <w:br/>
      </w:r>
      <w:r>
        <w:rPr>
          <w:rFonts w:ascii="SimSun" w:hAnsi="SimSun"/>
          <w:b w:val="false"/>
          <w:i w:val="false"/>
          <w:color w:val="000000"/>
          <w:sz w:val="21"/>
        </w:rPr>
        <w:t xml:space="preserve">2. 多渠道支持学生参加国内国际高水平学术交流，鼓励学生参加国内国际高水平创新竞赛（中国国际大学生创新大赛、全国大学生电子设计竞赛、全国大学生光电设计竞赛、“挑战杯”全国大学生课外学术科技作品竞赛、中国大学生工程实践与创新能力大赛等）。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模拟与数字电路实验</w:t>
            </w:r>
            <w:r>
              <w:br/>
            </w:r>
            <w:r>
              <w:br/>
            </w:r>
            <w:r>
              <w:rPr>
                <w:rFonts w:ascii="SimSun" w:hAnsi="SimSun"/>
                <w:b w:val="false"/>
                <w:i w:val="false"/>
                <w:color w:val="000000"/>
                <w:sz w:val="21"/>
              </w:rPr>
              <w:t>Analog and Digital Circuit Experiments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EST40012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信号与系统实验</w:t>
            </w:r>
            <w:r>
              <w:br/>
            </w:r>
            <w:r>
              <w:br/>
            </w:r>
            <w:r>
              <w:rPr>
                <w:rFonts w:ascii="SimSun" w:hAnsi="SimSun"/>
                <w:b w:val="false"/>
                <w:i w:val="false"/>
                <w:color w:val="000000"/>
                <w:sz w:val="21"/>
              </w:rPr>
              <w:t>Experiments in Signals and Systems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ICE40005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微机原理与接口实验</w:t>
            </w:r>
            <w:r>
              <w:br/>
            </w:r>
            <w:r>
              <w:br/>
            </w:r>
            <w:r>
              <w:rPr>
                <w:rFonts w:ascii="SimSun" w:hAnsi="SimSun"/>
                <w:b w:val="false"/>
                <w:i w:val="false"/>
                <w:color w:val="000000"/>
                <w:sz w:val="21"/>
              </w:rPr>
              <w:t>MicroComputer Architecture and Interfacing Experiments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EST40017</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高频电路实验</w:t>
            </w:r>
            <w:r>
              <w:br/>
            </w:r>
            <w:r>
              <w:br/>
            </w:r>
            <w:r>
              <w:rPr>
                <w:rFonts w:ascii="SimSun" w:hAnsi="SimSun"/>
                <w:b w:val="false"/>
                <w:i w:val="false"/>
                <w:color w:val="000000"/>
                <w:sz w:val="21"/>
              </w:rPr>
              <w:t>High Frequency Circuit Experiment</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EST40013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电子系统综合实验</w:t>
            </w:r>
            <w:r>
              <w:br/>
            </w:r>
            <w:r>
              <w:br/>
            </w:r>
            <w:r>
              <w:rPr>
                <w:rFonts w:ascii="SimSun" w:hAnsi="SimSun"/>
                <w:b w:val="false"/>
                <w:i w:val="false"/>
                <w:color w:val="000000"/>
                <w:sz w:val="21"/>
              </w:rPr>
              <w:t>Comprehensive Experiment of Electronic System</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EST40034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前沿讲座I</w:t>
            </w:r>
            <w:r>
              <w:br/>
            </w:r>
            <w:r>
              <w:br/>
            </w:r>
            <w:r>
              <w:rPr>
                <w:rFonts w:ascii="SimSun" w:hAnsi="SimSun"/>
                <w:b w:val="false"/>
                <w:i w:val="false"/>
                <w:color w:val="000000"/>
                <w:sz w:val="21"/>
              </w:rPr>
              <w:t>Frontiers in Information Science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EST50045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学术前沿介绍</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前沿讲座Ⅱ</w:t>
            </w:r>
            <w:r>
              <w:br/>
            </w:r>
            <w:r>
              <w:br/>
            </w:r>
            <w:r>
              <w:rPr>
                <w:rFonts w:ascii="SimSun" w:hAnsi="SimSun"/>
                <w:b w:val="false"/>
                <w:i w:val="false"/>
                <w:color w:val="000000"/>
                <w:sz w:val="21"/>
              </w:rPr>
              <w:t>Frontiers in Information ScienceⅡ</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EST50046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产业技术前沿介绍</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毕业论文</w:t>
            </w:r>
            <w:r>
              <w:br/>
            </w:r>
            <w:r>
              <w:br/>
            </w:r>
            <w:r>
              <w:rPr>
                <w:rFonts w:ascii="SimSun" w:hAnsi="SimSun"/>
                <w:b w:val="false"/>
                <w:i w:val="false"/>
                <w:color w:val="000000"/>
                <w:sz w:val="21"/>
              </w:rPr>
              <w:t>Graduation Thesis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EST40035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可用复芏计划成果为论文主要内容</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专业外语</w:t>
            </w:r>
            <w:r>
              <w:br/>
            </w:r>
            <w:r>
              <w:br/>
            </w:r>
            <w:r>
              <w:rPr>
                <w:rFonts w:ascii="SimSun" w:hAnsi="SimSun"/>
                <w:b w:val="false"/>
                <w:i w:val="false"/>
                <w:color w:val="000000"/>
                <w:sz w:val="21"/>
              </w:rPr>
              <w:t>Academic English</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EST50011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专业外语</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研究生专业论文写作训练</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相辉前沿专题</w:t>
            </w:r>
            <w:r>
              <w:br/>
            </w:r>
            <w:r>
              <w:br/>
            </w:r>
            <w:r>
              <w:rPr>
                <w:rFonts w:ascii="SimSun" w:hAnsi="SimSun"/>
                <w:b w:val="false"/>
                <w:i w:val="false"/>
                <w:color w:val="000000"/>
                <w:sz w:val="21"/>
              </w:rPr>
              <w:t>Xianghui Frontier Lecutres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MATH10025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无学分讨论班</w:t>
            </w:r>
            <w:r>
              <w:br/>
            </w:r>
            <w:r>
              <w:br/>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第3、4学期，需在各个研究方向的无学分讨论班轮转，学期结束需获得相应方向讨论班老师签字确认。</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科研实践I</w:t>
            </w:r>
            <w:r>
              <w:br/>
            </w:r>
            <w:r>
              <w:br/>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需承担1项复芏计划</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科研实践II</w:t>
            </w:r>
            <w:r>
              <w:br/>
            </w:r>
            <w:r>
              <w:br/>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需承担1项复芏计划</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复芏计划(FDUROP)</w:t>
            </w:r>
            <w:r>
              <w:br/>
            </w:r>
            <w:r>
              <w:br/>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第5、6学期，需要承担1项复芏计划，详见复旦大学本科生学术研究资助计划管理办法。</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研究生学术活动</w:t>
            </w:r>
            <w:r>
              <w:br/>
            </w:r>
            <w:r>
              <w:br/>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 研究生学段必选一个学期的前沿讲座课程（至少2学分）(在“智能无人系统前沿技术”（EIE70008），“卫星遥感进展”（EIE50004），“空间通信进展”（ICE50020），“新一代移动通信技术”（ICE70004）中任选一门)，期末时由课程负责老师对学生进行考核，并给出成绩。成绩为D-以上为通过。
2. 依托光伏科学与技术全国重点实验室、电磁波信息科学教育部重点实验室、上海市低轨卫星工程研究中心、上海市北斗智慧应用中心、上海市智能光电与感知前沿科学研究基地、上海市超精密光学制造工程技术研究中心、中英天空地融合网络实验室、中国铁塔-复旦大学位置计算创新实验室等科研平台，积极承担国家重大科研任务。</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研究生实践活动</w:t>
            </w:r>
            <w:r>
              <w:br/>
            </w:r>
            <w:r>
              <w:br/>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1.研究生学段必须完成2个学期全岗的本科生课程助教工作，指导老师评价为合格方为通过。
2.依托华为、赛力斯等企业（复旦大学-华为“智能基座”产教融合协同育人基地，复旦大学光本位科技未来计算硬件与系统校企联合实验室、复旦大学信息学院-千寻位置网络有限公司教学实习实训基地）等建立实习（实训）机制，以寒暑期训练营等形式开展产学交替培养。</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国际交流</w:t>
            </w:r>
            <w:r>
              <w:br/>
            </w:r>
            <w:r>
              <w:br/>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原则上应到具有世界一流水平的境外机构进行不少于一学期的学习、研究或联合培养。需参加至少1次高水平国际会议并作报告。</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博士学位论文开题</w:t>
            </w:r>
            <w:r>
              <w:br/>
            </w:r>
            <w:r>
              <w:br/>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在第10学期完成，详见未来信息创新学院论文开题实施细则</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博士生资格考核</w:t>
            </w:r>
            <w:r>
              <w:br/>
            </w:r>
            <w:r>
              <w:br/>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在第10学期完成（4~6年级期间有2次申请机会)</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博士论文中期考核</w:t>
            </w:r>
            <w:r>
              <w:br/>
            </w:r>
            <w:r>
              <w:br/>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在第12学期完成，见信息学院中期考核实施细则</w:t>
            </w: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博士学位论文预审</w:t>
            </w:r>
            <w:r>
              <w:br/>
            </w:r>
            <w:r>
              <w:br/>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博士学位论文预审由院系组织，具体参照《复旦大学博士、硕士学位论文预审办法》《复旦大学博士研究生培养分流退出实施办法》及院系相关文件规定执行。</w:t>
            </w:r>
          </w:p>
        </w:tc>
      </w:tr>
    </w:tbl>
    <w:sectPr>
      <w:pgSz w:w="11907" w:h="16839" w:code="9"/>
      <w:pgMar w:top="1440" w:right="1440" w:bottom="1440" w:left="1440"/>
    </w:sectPr>
  </w:body>
</w:document>
</file>

<file path=word/numbering.xml><?xml version="1.0" encoding="utf-8"?>
<w:numbering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file>

<file path=word/settings.xml><?xml version="1.0" encoding="utf-8"?>
<w:setting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mc:Ignorable="">
  <w:compat>
    <w:compatSetting w:name="overrideTableStyleFontSizeAndJustification" w:uri="http://schemas.microsoft.com/office/word" w:val="1"/>
  </w:compat>
</w:settings>
</file>

<file path=word/styles.xml><?xml version="1.0" encoding="utf-8"?>
<w:style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 Target="media/document_image_rId4.png" Type="http://schemas.openxmlformats.org/officeDocument/2006/relationships/image" Id="rId4"/>
   <Relationship Target="media/document_image_rId5.png" Type="http://schemas.openxmlformats.org/officeDocument/2006/relationships/image" Id="rId5"/>
   <Relationship Target="media/document_image_rId6.png" Type="http://schemas.openxmlformats.org/officeDocument/2006/relationships/image" Id="rId6"/>
   <Relationship Target="media/document_image_rId7.png" Type="http://schemas.openxmlformats.org/officeDocument/2006/relationships/image" Id="rId7"/>
</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dcterms="http://purl.org/dc/terms/" xmlns:cp="http://schemas.openxmlformats.org/package/2006/metadata/core-properties" xmlns:dc="http://purl.org/dc/elements/1.1/"/>
</file>